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E178F" w:rsidRPr="00EE178F" w:rsidP="00EE178F">
      <w:pPr>
        <w:pStyle w:val="BodyText"/>
        <w:jc w:val="center"/>
        <w:rPr>
          <w:rFonts w:cs="Times New Roman"/>
          <w:b/>
          <w:bCs/>
          <w:color w:val="auto"/>
          <w:sz w:val="24"/>
          <w:szCs w:val="24"/>
        </w:rPr>
      </w:pPr>
      <w:r w:rsidRPr="00EE178F">
        <w:rPr>
          <w:rFonts w:cs="Times New Roman"/>
          <w:b/>
          <w:bCs/>
          <w:color w:val="auto"/>
          <w:sz w:val="24"/>
          <w:szCs w:val="24"/>
        </w:rPr>
        <w:t>NÁRODNÁ RADA SLOVENSKEJ REPUBLIKY</w:t>
      </w:r>
    </w:p>
    <w:p w:rsidR="00EE178F" w:rsidRPr="00EE178F" w:rsidP="00EE178F">
      <w:pPr>
        <w:pStyle w:val="BodyText"/>
        <w:pBdr>
          <w:bottom w:val="single" w:sz="12" w:space="1" w:color="auto"/>
        </w:pBdr>
        <w:jc w:val="center"/>
        <w:rPr>
          <w:rFonts w:cs="Times New Roman"/>
          <w:b/>
          <w:bCs/>
          <w:color w:val="auto"/>
          <w:sz w:val="24"/>
          <w:szCs w:val="24"/>
        </w:rPr>
      </w:pPr>
      <w:r w:rsidRPr="00EE178F">
        <w:rPr>
          <w:rFonts w:cs="Times New Roman"/>
          <w:b/>
          <w:bCs/>
          <w:color w:val="auto"/>
          <w:sz w:val="24"/>
          <w:szCs w:val="24"/>
        </w:rPr>
        <w:t xml:space="preserve">III. volebné obdobie </w:t>
      </w:r>
    </w:p>
    <w:p w:rsidR="00EE178F" w:rsidP="00EE178F">
      <w:pPr>
        <w:pStyle w:val="Title"/>
        <w:jc w:val="left"/>
        <w:rPr>
          <w:rFonts w:cs="Times New Roman"/>
        </w:rPr>
      </w:pPr>
    </w:p>
    <w:p w:rsidR="00EE178F" w:rsidRPr="00EE178F" w:rsidP="00EE178F">
      <w:pPr>
        <w:pStyle w:val="Title"/>
        <w:rPr>
          <w:rFonts w:cs="Times New Roman"/>
          <w:b/>
          <w:sz w:val="28"/>
          <w:szCs w:val="28"/>
        </w:rPr>
      </w:pPr>
      <w:r w:rsidRPr="00EE178F">
        <w:rPr>
          <w:rFonts w:cs="Times New Roman"/>
          <w:b/>
          <w:sz w:val="28"/>
          <w:szCs w:val="28"/>
        </w:rPr>
        <w:t>749</w:t>
      </w:r>
    </w:p>
    <w:p w:rsidR="00EE178F" w:rsidRPr="00EE178F" w:rsidP="00EE178F">
      <w:pPr>
        <w:pStyle w:val="Title"/>
        <w:rPr>
          <w:rFonts w:cs="Times New Roman"/>
          <w:b/>
          <w:sz w:val="26"/>
          <w:szCs w:val="26"/>
        </w:rPr>
      </w:pPr>
    </w:p>
    <w:p w:rsidR="00662B1A">
      <w:pPr>
        <w:jc w:val="center"/>
        <w:rPr>
          <w:rFonts w:ascii="Times New Roman" w:hAnsi="Times New Roman" w:cs="Times New Roman"/>
          <w:b/>
          <w:sz w:val="24"/>
        </w:rPr>
      </w:pPr>
      <w:r w:rsidR="00EE178F">
        <w:rPr>
          <w:rFonts w:ascii="Times New Roman" w:hAnsi="Times New Roman" w:cs="Times New Roman"/>
          <w:b/>
          <w:sz w:val="24"/>
        </w:rPr>
        <w:t>VLÁDNY NÁVRH</w:t>
      </w:r>
    </w:p>
    <w:p w:rsidR="00662B1A">
      <w:pPr>
        <w:jc w:val="center"/>
        <w:rPr>
          <w:rFonts w:ascii="Times New Roman" w:hAnsi="Times New Roman" w:cs="Times New Roman"/>
          <w:b/>
          <w:sz w:val="24"/>
        </w:rPr>
      </w:pPr>
    </w:p>
    <w:p w:rsidR="00EE178F" w:rsidP="00EE178F">
      <w:pPr>
        <w:jc w:val="center"/>
        <w:rPr>
          <w:rFonts w:ascii="Times New Roman" w:hAnsi="Times New Roman" w:cs="Times New Roman"/>
          <w:b/>
          <w:sz w:val="24"/>
        </w:rPr>
      </w:pPr>
      <w:r>
        <w:rPr>
          <w:rFonts w:ascii="Times New Roman" w:hAnsi="Times New Roman" w:cs="Times New Roman"/>
          <w:b/>
          <w:sz w:val="24"/>
        </w:rPr>
        <w:t>Z</w:t>
      </w:r>
      <w:r w:rsidR="00B42B69">
        <w:rPr>
          <w:rFonts w:ascii="Times New Roman" w:hAnsi="Times New Roman" w:cs="Times New Roman"/>
          <w:b/>
          <w:sz w:val="24"/>
        </w:rPr>
        <w:t>ákon</w:t>
      </w:r>
    </w:p>
    <w:p w:rsidR="00662B1A">
      <w:pPr>
        <w:jc w:val="center"/>
        <w:rPr>
          <w:rFonts w:ascii="Times New Roman" w:hAnsi="Times New Roman" w:cs="Times New Roman"/>
          <w:b/>
          <w:sz w:val="24"/>
        </w:rPr>
      </w:pPr>
      <w:r>
        <w:rPr>
          <w:rFonts w:ascii="Times New Roman" w:hAnsi="Times New Roman" w:cs="Times New Roman"/>
          <w:b/>
          <w:sz w:val="24"/>
        </w:rPr>
        <w:t>z .................. 2004</w:t>
      </w:r>
    </w:p>
    <w:p w:rsidR="00662B1A">
      <w:pPr>
        <w:jc w:val="center"/>
        <w:rPr>
          <w:rFonts w:ascii="Times New Roman" w:hAnsi="Times New Roman" w:cs="Times New Roman"/>
          <w:b/>
          <w:sz w:val="24"/>
        </w:rPr>
      </w:pPr>
    </w:p>
    <w:p w:rsidR="00662B1A">
      <w:pPr>
        <w:jc w:val="center"/>
        <w:rPr>
          <w:rFonts w:ascii="Times New Roman" w:hAnsi="Times New Roman" w:cs="Times New Roman"/>
          <w:b/>
          <w:sz w:val="24"/>
        </w:rPr>
      </w:pPr>
      <w:r>
        <w:rPr>
          <w:rFonts w:ascii="Times New Roman" w:hAnsi="Times New Roman" w:cs="Times New Roman"/>
          <w:b/>
          <w:sz w:val="24"/>
        </w:rPr>
        <w:t xml:space="preserve">ktorým sa mení a dopĺňa zákon č. 193/2001 Z. z. o podpore na zriadenie priemyselných parkov a o doplnení zákona Národnej rady Slovenskej republiky č. 180/1995 Z. z. o niektorých opatreniach na usporiadanie vlastníctva k pozemkom v znení neskorších predpisov v znení zákona č. 156/2003 Z. z. </w:t>
      </w:r>
    </w:p>
    <w:p w:rsidR="00662B1A">
      <w:pPr>
        <w:jc w:val="center"/>
        <w:rPr>
          <w:rFonts w:ascii="Times New Roman" w:hAnsi="Times New Roman" w:cs="Times New Roman"/>
          <w:b/>
          <w:sz w:val="24"/>
        </w:rPr>
      </w:pPr>
    </w:p>
    <w:p w:rsidR="00662B1A">
      <w:pPr>
        <w:jc w:val="center"/>
        <w:rPr>
          <w:rFonts w:ascii="Times New Roman" w:hAnsi="Times New Roman" w:cs="Times New Roman"/>
          <w:b/>
          <w:sz w:val="24"/>
        </w:rPr>
      </w:pPr>
    </w:p>
    <w:p w:rsidR="00662B1A">
      <w:pPr>
        <w:jc w:val="both"/>
        <w:rPr>
          <w:rFonts w:ascii="Times New Roman" w:hAnsi="Times New Roman" w:cs="Times New Roman"/>
          <w:sz w:val="24"/>
        </w:rPr>
      </w:pPr>
      <w:r>
        <w:rPr>
          <w:rFonts w:ascii="Times New Roman" w:hAnsi="Times New Roman" w:cs="Times New Roman"/>
          <w:sz w:val="24"/>
        </w:rPr>
        <w:tab/>
        <w:t>Národná rada Slovenskej republiky sa uzniesla na tomto zákone:</w:t>
      </w:r>
    </w:p>
    <w:p w:rsidR="00662B1A">
      <w:pPr>
        <w:jc w:val="both"/>
        <w:rPr>
          <w:rFonts w:ascii="Times New Roman" w:hAnsi="Times New Roman" w:cs="Times New Roman"/>
          <w:sz w:val="24"/>
        </w:rPr>
      </w:pPr>
    </w:p>
    <w:p w:rsidR="00662B1A">
      <w:pPr>
        <w:jc w:val="center"/>
        <w:rPr>
          <w:rFonts w:ascii="Times New Roman" w:hAnsi="Times New Roman" w:cs="Times New Roman"/>
          <w:sz w:val="24"/>
        </w:rPr>
      </w:pPr>
    </w:p>
    <w:p w:rsidR="00662B1A">
      <w:pPr>
        <w:jc w:val="center"/>
        <w:rPr>
          <w:rFonts w:ascii="Times New Roman" w:hAnsi="Times New Roman" w:cs="Times New Roman"/>
          <w:sz w:val="24"/>
        </w:rPr>
      </w:pPr>
      <w:r>
        <w:rPr>
          <w:rFonts w:ascii="Times New Roman" w:hAnsi="Times New Roman" w:cs="Times New Roman"/>
          <w:sz w:val="24"/>
        </w:rPr>
        <w:t>Čl. I</w:t>
      </w:r>
    </w:p>
    <w:p w:rsidR="00662B1A">
      <w:pPr>
        <w:jc w:val="center"/>
        <w:rPr>
          <w:rFonts w:ascii="Times New Roman" w:hAnsi="Times New Roman" w:cs="Times New Roman"/>
          <w:sz w:val="24"/>
        </w:rPr>
      </w:pPr>
    </w:p>
    <w:p w:rsidR="00662B1A">
      <w:pPr>
        <w:jc w:val="both"/>
        <w:rPr>
          <w:rFonts w:ascii="Times New Roman" w:hAnsi="Times New Roman" w:cs="Times New Roman"/>
          <w:sz w:val="24"/>
        </w:rPr>
      </w:pPr>
      <w:r>
        <w:rPr>
          <w:rFonts w:ascii="Times New Roman" w:hAnsi="Times New Roman" w:cs="Times New Roman"/>
          <w:sz w:val="24"/>
        </w:rPr>
        <w:tab/>
        <w:t xml:space="preserve">Zákon č. 193/2001 Z. z. o podpore na zriadenie priemyselných parkov a o doplnení zákona Národnej rady Slovenskej republiky č. 180/1995 Z. z. o niektorých opatreniach na usporiadanie vlastníctva k pozemkom v znení neskorších predpisov v znení zákona č. 156/2003 Z. z. sa mení a dopĺňa takto: </w:t>
      </w:r>
    </w:p>
    <w:p w:rsidR="00662B1A">
      <w:pPr>
        <w:jc w:val="both"/>
        <w:rPr>
          <w:rFonts w:ascii="Times New Roman" w:hAnsi="Times New Roman" w:cs="Times New Roman"/>
          <w:sz w:val="24"/>
        </w:rPr>
      </w:pPr>
    </w:p>
    <w:p w:rsidR="00662B1A">
      <w:pPr>
        <w:numPr>
          <w:ilvl w:val="0"/>
          <w:numId w:val="1"/>
        </w:numPr>
        <w:tabs>
          <w:tab w:val="left" w:pos="312"/>
        </w:tabs>
        <w:jc w:val="both"/>
        <w:rPr>
          <w:rFonts w:ascii="Times New Roman" w:hAnsi="Times New Roman" w:cs="Times New Roman"/>
          <w:sz w:val="24"/>
        </w:rPr>
      </w:pPr>
      <w:r>
        <w:rPr>
          <w:rFonts w:ascii="Times New Roman" w:hAnsi="Times New Roman" w:cs="Times New Roman"/>
          <w:sz w:val="24"/>
        </w:rPr>
        <w:t>V celom zákone sa slová „poskytnutie podpory“ vo všetkých gramatických tvaroch nahrádzajú slovami „poskytnutie dotácie“ v príslušnom gramatickom tvare.</w:t>
      </w:r>
    </w:p>
    <w:p w:rsidR="00662B1A">
      <w:pPr>
        <w:jc w:val="both"/>
        <w:rPr>
          <w:rFonts w:ascii="Times New Roman" w:hAnsi="Times New Roman" w:cs="Times New Roman"/>
          <w:sz w:val="24"/>
        </w:rPr>
      </w:pPr>
    </w:p>
    <w:p w:rsidR="00662B1A">
      <w:pPr>
        <w:numPr>
          <w:ilvl w:val="0"/>
          <w:numId w:val="1"/>
        </w:numPr>
        <w:tabs>
          <w:tab w:val="left" w:pos="312"/>
        </w:tabs>
        <w:jc w:val="both"/>
        <w:rPr>
          <w:rFonts w:ascii="Times New Roman" w:hAnsi="Times New Roman" w:cs="Times New Roman"/>
          <w:sz w:val="24"/>
        </w:rPr>
      </w:pPr>
      <w:r>
        <w:rPr>
          <w:rFonts w:ascii="Times New Roman" w:hAnsi="Times New Roman" w:cs="Times New Roman"/>
          <w:sz w:val="24"/>
        </w:rPr>
        <w:t xml:space="preserve">§ 2 vrátane nadpisu znie: </w:t>
      </w:r>
    </w:p>
    <w:p w:rsidR="00662B1A">
      <w:pPr>
        <w:jc w:val="center"/>
        <w:rPr>
          <w:rFonts w:ascii="Times New Roman" w:hAnsi="Times New Roman" w:cs="Times New Roman"/>
          <w:sz w:val="24"/>
        </w:rPr>
      </w:pPr>
      <w:r>
        <w:rPr>
          <w:rFonts w:ascii="Times New Roman" w:hAnsi="Times New Roman" w:cs="Times New Roman"/>
          <w:sz w:val="24"/>
        </w:rPr>
        <w:t>„§ 2</w:t>
      </w:r>
    </w:p>
    <w:p w:rsidR="00662B1A">
      <w:pPr>
        <w:jc w:val="center"/>
        <w:rPr>
          <w:rFonts w:ascii="Times New Roman" w:hAnsi="Times New Roman" w:cs="Times New Roman"/>
          <w:sz w:val="24"/>
        </w:rPr>
      </w:pPr>
      <w:r>
        <w:rPr>
          <w:rFonts w:ascii="Times New Roman" w:hAnsi="Times New Roman" w:cs="Times New Roman"/>
          <w:sz w:val="24"/>
        </w:rPr>
        <w:t>Priemyselný park</w:t>
      </w:r>
    </w:p>
    <w:p w:rsidR="00662B1A">
      <w:pPr>
        <w:jc w:val="both"/>
        <w:rPr>
          <w:rFonts w:ascii="Times New Roman" w:hAnsi="Times New Roman" w:cs="Times New Roman"/>
          <w:sz w:val="24"/>
        </w:rPr>
      </w:pPr>
    </w:p>
    <w:p w:rsidR="00662B1A">
      <w:pPr>
        <w:ind w:firstLine="567"/>
        <w:jc w:val="both"/>
        <w:rPr>
          <w:rFonts w:ascii="Times New Roman" w:hAnsi="Times New Roman" w:cs="Times New Roman"/>
          <w:sz w:val="24"/>
        </w:rPr>
      </w:pPr>
      <w:r>
        <w:rPr>
          <w:rFonts w:ascii="Times New Roman" w:hAnsi="Times New Roman" w:cs="Times New Roman"/>
          <w:sz w:val="24"/>
        </w:rPr>
        <w:t>(1) Priemyselným parkom je územie vymedzené územným plánom obce alebo územným plánom zóny,</w:t>
      </w:r>
      <w:r>
        <w:rPr>
          <w:rFonts w:ascii="Times New Roman" w:hAnsi="Times New Roman" w:cs="Times New Roman"/>
          <w:sz w:val="24"/>
          <w:vertAlign w:val="superscript"/>
        </w:rPr>
        <w:t>2)</w:t>
      </w:r>
      <w:r>
        <w:rPr>
          <w:rFonts w:ascii="Times New Roman" w:hAnsi="Times New Roman" w:cs="Times New Roman"/>
          <w:sz w:val="24"/>
        </w:rPr>
        <w:t xml:space="preserve"> na ktorom sa vykonáva alebo má vykonávať priemyselná výroba alebo služby jedného podnikateľa alebo viacerých podnikateľov (ďalej len „podnikateľ“). </w:t>
      </w:r>
    </w:p>
    <w:p w:rsidR="00662B1A">
      <w:pPr>
        <w:jc w:val="both"/>
        <w:rPr>
          <w:rFonts w:ascii="Times New Roman" w:hAnsi="Times New Roman" w:cs="Times New Roman"/>
          <w:sz w:val="24"/>
        </w:rPr>
      </w:pPr>
    </w:p>
    <w:p w:rsidR="00662B1A">
      <w:pPr>
        <w:jc w:val="both"/>
        <w:rPr>
          <w:rFonts w:ascii="Times New Roman" w:hAnsi="Times New Roman" w:cs="Times New Roman"/>
          <w:strike/>
          <w:color w:val="000000"/>
          <w:sz w:val="24"/>
        </w:rPr>
      </w:pPr>
      <w:r>
        <w:rPr>
          <w:rFonts w:ascii="Times New Roman" w:hAnsi="Times New Roman" w:cs="Times New Roman"/>
          <w:sz w:val="24"/>
        </w:rPr>
        <w:tab/>
        <w:t>(2) Priemyselný park zriaďuje obec</w:t>
      </w:r>
      <w:r>
        <w:rPr>
          <w:rFonts w:ascii="Times New Roman" w:hAnsi="Times New Roman" w:cs="Times New Roman"/>
          <w:sz w:val="24"/>
          <w:vertAlign w:val="superscript"/>
        </w:rPr>
        <w:t>3)</w:t>
      </w:r>
      <w:r>
        <w:rPr>
          <w:rFonts w:ascii="Times New Roman" w:hAnsi="Times New Roman" w:cs="Times New Roman"/>
          <w:sz w:val="24"/>
        </w:rPr>
        <w:t xml:space="preserve"> </w:t>
      </w:r>
      <w:r>
        <w:rPr>
          <w:rFonts w:ascii="Times New Roman" w:hAnsi="Times New Roman" w:cs="Times New Roman"/>
          <w:color w:val="000000"/>
          <w:sz w:val="24"/>
        </w:rPr>
        <w:t>na svojom území. Ak sa zriaďuje priemyselný park na území dvoch alebo viac obcí, obce môžu uzatvoriť zmluvu na tento účel podľa osobitných predpisov.</w:t>
      </w:r>
      <w:r>
        <w:rPr>
          <w:rFonts w:ascii="Times New Roman" w:hAnsi="Times New Roman" w:cs="Times New Roman"/>
          <w:color w:val="000000"/>
          <w:sz w:val="24"/>
          <w:vertAlign w:val="superscript"/>
        </w:rPr>
        <w:t>3a)</w:t>
      </w:r>
      <w:r>
        <w:rPr>
          <w:rFonts w:ascii="Times New Roman" w:hAnsi="Times New Roman" w:cs="Times New Roman"/>
          <w:color w:val="000000"/>
          <w:sz w:val="24"/>
        </w:rPr>
        <w:t xml:space="preserve"> </w:t>
      </w:r>
    </w:p>
    <w:p w:rsidR="00662B1A">
      <w:pPr>
        <w:pStyle w:val="BodyText2"/>
        <w:rPr>
          <w:rFonts w:cs="Times New Roman"/>
          <w:sz w:val="24"/>
        </w:rPr>
      </w:pPr>
    </w:p>
    <w:p w:rsidR="00662B1A">
      <w:pPr>
        <w:pStyle w:val="BodyText2"/>
        <w:rPr>
          <w:rFonts w:cs="Times New Roman"/>
          <w:sz w:val="24"/>
        </w:rPr>
      </w:pPr>
      <w:r>
        <w:rPr>
          <w:rFonts w:cs="Times New Roman"/>
          <w:sz w:val="24"/>
        </w:rPr>
        <w:t xml:space="preserve">Poznámka pod čiarou k odkazu 3a znie: </w:t>
      </w:r>
    </w:p>
    <w:p w:rsidR="00662B1A">
      <w:pPr>
        <w:pStyle w:val="BodyText"/>
        <w:ind w:left="567" w:hanging="567"/>
        <w:rPr>
          <w:rFonts w:cs="Times New Roman"/>
          <w:color w:val="000000"/>
          <w:sz w:val="24"/>
        </w:rPr>
      </w:pPr>
      <w:r>
        <w:rPr>
          <w:rFonts w:cs="Times New Roman"/>
          <w:color w:val="000000"/>
          <w:sz w:val="24"/>
          <w:vertAlign w:val="superscript"/>
        </w:rPr>
        <w:t>„3a)</w:t>
      </w:r>
      <w:r>
        <w:rPr>
          <w:rFonts w:cs="Times New Roman"/>
          <w:color w:val="000000"/>
          <w:sz w:val="24"/>
        </w:rPr>
        <w:t xml:space="preserve"> § 829 až 841 Občianskeho zákonníka.“ </w:t>
      </w:r>
    </w:p>
    <w:p w:rsidR="00662B1A">
      <w:pPr>
        <w:pStyle w:val="BodyText"/>
        <w:rPr>
          <w:rFonts w:cs="Times New Roman"/>
          <w:color w:val="000000"/>
          <w:sz w:val="24"/>
        </w:rPr>
      </w:pPr>
    </w:p>
    <w:p w:rsidR="00662B1A">
      <w:pPr>
        <w:numPr>
          <w:ilvl w:val="0"/>
          <w:numId w:val="1"/>
        </w:numPr>
        <w:tabs>
          <w:tab w:val="left" w:pos="312"/>
        </w:tabs>
        <w:jc w:val="both"/>
        <w:rPr>
          <w:rFonts w:ascii="Times New Roman" w:hAnsi="Times New Roman" w:cs="Times New Roman"/>
          <w:sz w:val="24"/>
        </w:rPr>
      </w:pPr>
      <w:r>
        <w:rPr>
          <w:rFonts w:ascii="Times New Roman" w:hAnsi="Times New Roman" w:cs="Times New Roman"/>
          <w:sz w:val="24"/>
        </w:rPr>
        <w:t xml:space="preserve">V § 4 ods. 1 písmeno b) znie: </w:t>
      </w:r>
    </w:p>
    <w:p w:rsidR="00662B1A">
      <w:pPr>
        <w:pStyle w:val="BodyTextIndent"/>
        <w:ind w:left="720" w:hanging="408"/>
        <w:rPr>
          <w:rFonts w:cs="Times New Roman"/>
          <w:sz w:val="24"/>
        </w:rPr>
      </w:pPr>
      <w:r>
        <w:rPr>
          <w:rFonts w:cs="Times New Roman"/>
          <w:sz w:val="24"/>
        </w:rPr>
        <w:t>„b) má zabezpečené finančné prostriedky vo výške minimálne 10 % nákladov na obstaranie a  zriadenie priemyselného parku vrátane nákladov na kúpu alebo iný prevod, nájom alebo zámenu pozemkov a nákladov na zriadenie vecného bremena na pozemkoch určených na zriadenie priemyselného parku, nákladov na technickú vybavenosť územia a na inžinierske stavby nevyhnutné na zriadenie priemyselného parku podľa § 3 ods. 2 a</w:t>
      </w:r>
      <w:r w:rsidR="00EE178F">
        <w:rPr>
          <w:rFonts w:cs="Times New Roman"/>
          <w:sz w:val="24"/>
        </w:rPr>
        <w:t> </w:t>
      </w:r>
      <w:r>
        <w:rPr>
          <w:rFonts w:cs="Times New Roman"/>
          <w:sz w:val="24"/>
        </w:rPr>
        <w:t>3</w:t>
      </w:r>
      <w:r w:rsidR="00EE178F">
        <w:rPr>
          <w:rFonts w:cs="Times New Roman"/>
          <w:sz w:val="24"/>
        </w:rPr>
        <w:t>.“.</w:t>
      </w:r>
      <w:r>
        <w:rPr>
          <w:rFonts w:cs="Times New Roman"/>
          <w:sz w:val="24"/>
        </w:rPr>
        <w:t xml:space="preserve"> </w:t>
      </w:r>
    </w:p>
    <w:p w:rsidR="00662B1A">
      <w:pPr>
        <w:jc w:val="both"/>
        <w:rPr>
          <w:rFonts w:ascii="Times New Roman" w:hAnsi="Times New Roman" w:cs="Times New Roman"/>
          <w:sz w:val="24"/>
        </w:rPr>
      </w:pPr>
    </w:p>
    <w:p w:rsidR="00662B1A">
      <w:pPr>
        <w:numPr>
          <w:ilvl w:val="0"/>
          <w:numId w:val="1"/>
        </w:numPr>
        <w:tabs>
          <w:tab w:val="left" w:pos="312"/>
        </w:tabs>
        <w:jc w:val="both"/>
        <w:rPr>
          <w:rFonts w:ascii="Times New Roman" w:hAnsi="Times New Roman" w:cs="Times New Roman"/>
          <w:sz w:val="24"/>
        </w:rPr>
      </w:pPr>
      <w:r>
        <w:rPr>
          <w:rFonts w:ascii="Times New Roman" w:hAnsi="Times New Roman" w:cs="Times New Roman"/>
          <w:sz w:val="24"/>
        </w:rPr>
        <w:t>V § 4 ods. 1 písm. d) sa na konci pripájajú tieto vety:</w:t>
      </w:r>
    </w:p>
    <w:p w:rsidR="00662B1A">
      <w:pPr>
        <w:ind w:left="312"/>
        <w:jc w:val="both"/>
        <w:rPr>
          <w:rFonts w:ascii="Times New Roman" w:hAnsi="Times New Roman" w:cs="Times New Roman"/>
          <w:sz w:val="24"/>
        </w:rPr>
      </w:pPr>
      <w:r>
        <w:rPr>
          <w:rFonts w:ascii="Times New Roman" w:hAnsi="Times New Roman" w:cs="Times New Roman"/>
          <w:sz w:val="24"/>
        </w:rPr>
        <w:t xml:space="preserve">„a vrátane záväzkov podnikateľa na obstaranie investície a jej výšky v priemyselnom parku, záväzkov podnikateľa na vytvorenie nových pracovných miest v prevádzkach, ktoré zriadí v priemyselnom parku a ich udržania najmenej po dobu piatich rokov od začatia prevádzky a prípadného záväzku podnikateľa alebo podnikateľov na spolufinancovanie nákladov na zriadenie priemyselného parku. </w:t>
      </w:r>
    </w:p>
    <w:p w:rsidR="00662B1A">
      <w:pPr>
        <w:ind w:left="312" w:firstLine="567"/>
        <w:jc w:val="both"/>
        <w:rPr>
          <w:rFonts w:ascii="Times New Roman" w:hAnsi="Times New Roman" w:cs="Times New Roman"/>
          <w:sz w:val="24"/>
        </w:rPr>
      </w:pPr>
      <w:r>
        <w:rPr>
          <w:rFonts w:ascii="Times New Roman" w:hAnsi="Times New Roman" w:cs="Times New Roman"/>
          <w:sz w:val="24"/>
        </w:rPr>
        <w:t xml:space="preserve">Táto zmluva zároveň obsahuje záväzok obce, že po zriadení priemyselného parku prenajme obec podnikateľovi </w:t>
      </w:r>
      <w:r>
        <w:rPr>
          <w:rFonts w:ascii="Times New Roman" w:hAnsi="Times New Roman" w:cs="Times New Roman"/>
          <w:color w:val="000000"/>
          <w:sz w:val="24"/>
        </w:rPr>
        <w:t>na dobu najmenej 20 rokov</w:t>
      </w:r>
      <w:r>
        <w:rPr>
          <w:rFonts w:ascii="Times New Roman" w:hAnsi="Times New Roman" w:cs="Times New Roman"/>
          <w:sz w:val="24"/>
        </w:rPr>
        <w:t xml:space="preserve"> pozemky a technickú vybavenosť priemyselného parku uvedenú v § 3 ods. 2 a 3</w:t>
      </w:r>
      <w:r>
        <w:rPr>
          <w:rFonts w:ascii="Times New Roman" w:hAnsi="Times New Roman" w:cs="Times New Roman"/>
          <w:sz w:val="24"/>
          <w:lang w:val="en-US"/>
        </w:rPr>
        <w:t xml:space="preserve">; </w:t>
      </w:r>
      <w:r>
        <w:rPr>
          <w:rFonts w:ascii="Times New Roman" w:hAnsi="Times New Roman" w:cs="Times New Roman"/>
          <w:sz w:val="24"/>
        </w:rPr>
        <w:t>môže obsahovať aj predkupné právo na kúpu pozemkov a technickej vybavenosti priemyselného parku pre podnikateľa,  ktorý poskytol obci finančné prostriedky na zabezpečenie jej podielu na spolufinancovaní nákladov na zriadenie priemyselného parku.“.</w:t>
      </w:r>
    </w:p>
    <w:p w:rsidR="00662B1A">
      <w:pPr>
        <w:ind w:left="312"/>
        <w:jc w:val="both"/>
        <w:rPr>
          <w:rFonts w:ascii="Times New Roman" w:hAnsi="Times New Roman" w:cs="Times New Roman"/>
          <w:sz w:val="24"/>
        </w:rPr>
      </w:pPr>
    </w:p>
    <w:p w:rsidR="00662B1A">
      <w:pPr>
        <w:numPr>
          <w:ilvl w:val="0"/>
          <w:numId w:val="1"/>
        </w:numPr>
        <w:tabs>
          <w:tab w:val="left" w:pos="312"/>
        </w:tabs>
        <w:jc w:val="both"/>
        <w:rPr>
          <w:rFonts w:ascii="Times New Roman" w:hAnsi="Times New Roman" w:cs="Times New Roman"/>
          <w:sz w:val="24"/>
        </w:rPr>
      </w:pPr>
      <w:r>
        <w:rPr>
          <w:rFonts w:ascii="Times New Roman" w:hAnsi="Times New Roman" w:cs="Times New Roman"/>
          <w:sz w:val="24"/>
        </w:rPr>
        <w:t>V § 4 odsek 2 zn</w:t>
      </w:r>
      <w:r>
        <w:rPr>
          <w:rFonts w:ascii="Times New Roman" w:hAnsi="Times New Roman" w:cs="Times New Roman"/>
          <w:sz w:val="24"/>
        </w:rPr>
        <w:t xml:space="preserve">ie: </w:t>
      </w:r>
    </w:p>
    <w:p w:rsidR="00662B1A">
      <w:pPr>
        <w:ind w:firstLine="567"/>
        <w:jc w:val="both"/>
        <w:rPr>
          <w:rFonts w:ascii="Times New Roman" w:hAnsi="Times New Roman" w:cs="Times New Roman"/>
          <w:sz w:val="24"/>
        </w:rPr>
      </w:pPr>
    </w:p>
    <w:p w:rsidR="00662B1A">
      <w:pPr>
        <w:ind w:firstLine="567"/>
        <w:jc w:val="both"/>
        <w:rPr>
          <w:rFonts w:ascii="Times New Roman" w:hAnsi="Times New Roman" w:cs="Times New Roman"/>
          <w:sz w:val="24"/>
        </w:rPr>
      </w:pPr>
      <w:r>
        <w:rPr>
          <w:rFonts w:ascii="Times New Roman" w:hAnsi="Times New Roman" w:cs="Times New Roman"/>
          <w:sz w:val="24"/>
        </w:rPr>
        <w:t xml:space="preserve">„(2) Finančné zabezpečenie podľa odseku 1 písm. b) sa preukazuje schváleným rozpočtom obce alebo záväzným vyhlásením podnikateľa alebo podnikateľov o poskytnutí finančných prostriedkov obci na zabezpečenie jej podielu na spolufinancovaní nákladov na zriadenie priemyselného parku alebo záväzným prísľubom banky na poskytnutie úveru obci vo výške jej podielu na spolufinancovaní nákladov na zriadenie priemyselného parku. </w:t>
      </w:r>
    </w:p>
    <w:p w:rsidR="00662B1A">
      <w:pPr>
        <w:ind w:firstLine="567"/>
        <w:jc w:val="both"/>
        <w:rPr>
          <w:rFonts w:ascii="Times New Roman" w:hAnsi="Times New Roman" w:cs="Times New Roman"/>
          <w:sz w:val="24"/>
        </w:rPr>
      </w:pPr>
      <w:r>
        <w:rPr>
          <w:rFonts w:ascii="Times New Roman" w:hAnsi="Times New Roman" w:cs="Times New Roman"/>
          <w:sz w:val="24"/>
        </w:rPr>
        <w:t>Finančné zabezpečenie podľa odseku 1 písm. d) sa preukazuje súvahou a výkazom ziskov a strát podnikateľa v plnom rozsahu za ostatné dva roky, ako aj daňovým priznaním za dve zdaňovacie obdobia predchádzajúce roku, v ktorom bola žiadosť o zriadenie priemyselného parku obcou podaná alebo výpisom z účtu podnikateľa alebo podnikateľov s potvrdením banky alebo pobočky zahraničnej banky (ďalej len „banka“) o viazaní prostriedkov podnikateľa na uskutočnenie jeho podnikateľského zámeru v priemyselnom parku alebo záväzným prísľubom banky na poskytnutie úveru podnikateľovi na uskutočn</w:t>
      </w:r>
      <w:r>
        <w:rPr>
          <w:rFonts w:ascii="Times New Roman" w:hAnsi="Times New Roman" w:cs="Times New Roman"/>
          <w:sz w:val="24"/>
        </w:rPr>
        <w:t>enie jeho podnikateľského zámeru v priemyselnom parku.“</w:t>
      </w:r>
    </w:p>
    <w:p w:rsidR="00662B1A">
      <w:pPr>
        <w:jc w:val="both"/>
        <w:rPr>
          <w:rFonts w:ascii="Times New Roman" w:hAnsi="Times New Roman" w:cs="Times New Roman"/>
          <w:sz w:val="24"/>
        </w:rPr>
      </w:pPr>
    </w:p>
    <w:p w:rsidR="00662B1A">
      <w:pPr>
        <w:numPr>
          <w:ilvl w:val="0"/>
          <w:numId w:val="21"/>
        </w:numPr>
        <w:tabs>
          <w:tab w:val="left" w:pos="340"/>
        </w:tabs>
        <w:jc w:val="both"/>
        <w:rPr>
          <w:rFonts w:ascii="Times New Roman" w:hAnsi="Times New Roman" w:cs="Times New Roman"/>
          <w:sz w:val="24"/>
        </w:rPr>
      </w:pPr>
      <w:r>
        <w:rPr>
          <w:rFonts w:ascii="Times New Roman" w:hAnsi="Times New Roman" w:cs="Times New Roman"/>
          <w:sz w:val="24"/>
        </w:rPr>
        <w:t>V poznámke pod čiarou k odkazu 10a sa citácia „ § 24 ods. 3 písm. a) zákona č. 366/1999 Z. z. o daniach z príjmov“ nahrádza citáciou „§ 19 ods. 2 písmeno a) zákona č.595/2003 Z. z. o dani z príjmov.“.</w:t>
      </w:r>
    </w:p>
    <w:p w:rsidR="00662B1A">
      <w:pPr>
        <w:jc w:val="both"/>
        <w:rPr>
          <w:rFonts w:ascii="Times New Roman" w:hAnsi="Times New Roman" w:cs="Times New Roman"/>
          <w:color w:val="FF0000"/>
          <w:sz w:val="24"/>
        </w:rPr>
      </w:pPr>
    </w:p>
    <w:p w:rsidR="00662B1A">
      <w:pPr>
        <w:numPr>
          <w:ilvl w:val="0"/>
          <w:numId w:val="10"/>
        </w:numPr>
        <w:tabs>
          <w:tab w:val="left" w:pos="397"/>
        </w:tabs>
        <w:jc w:val="both"/>
        <w:rPr>
          <w:rFonts w:ascii="Times New Roman" w:hAnsi="Times New Roman" w:cs="Times New Roman"/>
          <w:sz w:val="24"/>
        </w:rPr>
      </w:pPr>
      <w:r>
        <w:rPr>
          <w:rFonts w:ascii="Times New Roman" w:hAnsi="Times New Roman" w:cs="Times New Roman"/>
          <w:sz w:val="24"/>
        </w:rPr>
        <w:t xml:space="preserve">§ 5 vrátane nadpisu znie: </w:t>
      </w:r>
    </w:p>
    <w:p w:rsidR="00662B1A">
      <w:pPr>
        <w:jc w:val="center"/>
        <w:rPr>
          <w:rFonts w:ascii="Times New Roman" w:hAnsi="Times New Roman" w:cs="Times New Roman"/>
          <w:sz w:val="24"/>
        </w:rPr>
      </w:pPr>
      <w:r>
        <w:rPr>
          <w:rFonts w:ascii="Times New Roman" w:hAnsi="Times New Roman" w:cs="Times New Roman"/>
          <w:sz w:val="24"/>
        </w:rPr>
        <w:t xml:space="preserve">„§ 5 </w:t>
      </w:r>
    </w:p>
    <w:p w:rsidR="00662B1A">
      <w:pPr>
        <w:jc w:val="center"/>
        <w:rPr>
          <w:rFonts w:ascii="Times New Roman" w:hAnsi="Times New Roman" w:cs="Times New Roman"/>
          <w:sz w:val="24"/>
        </w:rPr>
      </w:pPr>
      <w:r>
        <w:rPr>
          <w:rFonts w:ascii="Times New Roman" w:hAnsi="Times New Roman" w:cs="Times New Roman"/>
          <w:sz w:val="24"/>
        </w:rPr>
        <w:t>Výška podpory</w:t>
      </w:r>
    </w:p>
    <w:p w:rsidR="00662B1A">
      <w:pPr>
        <w:jc w:val="center"/>
        <w:rPr>
          <w:rFonts w:ascii="Times New Roman" w:hAnsi="Times New Roman" w:cs="Times New Roman"/>
          <w:sz w:val="24"/>
        </w:rPr>
      </w:pPr>
    </w:p>
    <w:p w:rsidR="00662B1A">
      <w:pPr>
        <w:pStyle w:val="BodyTextIndent2"/>
        <w:rPr>
          <w:rFonts w:cs="Times New Roman"/>
          <w:sz w:val="24"/>
          <w:vertAlign w:val="superscript"/>
        </w:rPr>
      </w:pPr>
      <w:r>
        <w:rPr>
          <w:rFonts w:cs="Times New Roman"/>
          <w:sz w:val="24"/>
        </w:rPr>
        <w:t>(1) Dotácia obci na technickú vybavenosť územia a na inžinierske stavby, ktoré sú nevyhnutné na zriadenie priemyselného parku možno poskytnúť do 90 % nákladov určených na tieto účely, najviac však do výšky 50 % z hodnoty nákladov na obstaranie investície podnikateľa v priemyselnom parku, ktorý má s obcou uzavretú zmluvu podľa § 4 ods. 1 písm. d); výška týchto nákladov sa overuje znaleckým posudkom vyhotoveným podľa osobitných predpisov.</w:t>
      </w:r>
      <w:r>
        <w:rPr>
          <w:rFonts w:cs="Times New Roman"/>
          <w:sz w:val="24"/>
          <w:vertAlign w:val="superscript"/>
        </w:rPr>
        <w:t>11)</w:t>
      </w:r>
    </w:p>
    <w:p w:rsidR="00662B1A">
      <w:pPr>
        <w:jc w:val="both"/>
        <w:rPr>
          <w:rFonts w:ascii="Times New Roman" w:hAnsi="Times New Roman" w:cs="Times New Roman"/>
          <w:color w:val="FF0000"/>
          <w:sz w:val="24"/>
        </w:rPr>
      </w:pPr>
    </w:p>
    <w:p w:rsidR="00662B1A">
      <w:pPr>
        <w:jc w:val="both"/>
        <w:rPr>
          <w:rFonts w:ascii="Times New Roman" w:hAnsi="Times New Roman" w:cs="Times New Roman"/>
          <w:sz w:val="24"/>
          <w:vertAlign w:val="superscript"/>
        </w:rPr>
      </w:pPr>
      <w:r>
        <w:rPr>
          <w:rFonts w:ascii="Times New Roman" w:hAnsi="Times New Roman" w:cs="Times New Roman"/>
          <w:color w:val="FF0000"/>
          <w:sz w:val="24"/>
        </w:rPr>
        <w:tab/>
      </w:r>
      <w:r>
        <w:rPr>
          <w:rFonts w:ascii="Times New Roman" w:hAnsi="Times New Roman" w:cs="Times New Roman"/>
          <w:sz w:val="24"/>
        </w:rPr>
        <w:t>(2) Dotácia na kúpu alebo nájom pozemkov alebo na úhradu nákladov na prevod alebo zámenu pozemkov alebo na úhradu nákladov za zriadenie vecného bremena na pozemkoch určených na zriadenie priemyselného parku sa môže poskytnúť do 90 % nákladov určených na tieto účely najviac však do výšky ceny pozemkov zistenej zna</w:t>
      </w:r>
      <w:r w:rsidR="00EE178F">
        <w:rPr>
          <w:rFonts w:ascii="Times New Roman" w:hAnsi="Times New Roman" w:cs="Times New Roman"/>
          <w:sz w:val="24"/>
        </w:rPr>
        <w:t>leckým posudkom podľa osobitných</w:t>
      </w:r>
      <w:r>
        <w:rPr>
          <w:rFonts w:ascii="Times New Roman" w:hAnsi="Times New Roman" w:cs="Times New Roman"/>
          <w:sz w:val="24"/>
        </w:rPr>
        <w:t xml:space="preserve"> predpis</w:t>
      </w:r>
      <w:r w:rsidR="00EE178F">
        <w:rPr>
          <w:rFonts w:ascii="Times New Roman" w:hAnsi="Times New Roman" w:cs="Times New Roman"/>
          <w:sz w:val="24"/>
        </w:rPr>
        <w:t>ov</w:t>
      </w:r>
      <w:r>
        <w:rPr>
          <w:rFonts w:ascii="Times New Roman" w:hAnsi="Times New Roman" w:cs="Times New Roman"/>
          <w:sz w:val="24"/>
        </w:rPr>
        <w:t>,</w:t>
      </w:r>
      <w:r>
        <w:rPr>
          <w:rFonts w:ascii="Times New Roman" w:hAnsi="Times New Roman" w:cs="Times New Roman"/>
          <w:sz w:val="24"/>
          <w:vertAlign w:val="superscript"/>
        </w:rPr>
        <w:t>11)</w:t>
      </w:r>
      <w:r>
        <w:rPr>
          <w:rFonts w:ascii="Times New Roman" w:hAnsi="Times New Roman" w:cs="Times New Roman"/>
          <w:sz w:val="24"/>
        </w:rPr>
        <w:t xml:space="preserve"> alebo ak ide o nájom pozemkov do 90 % dohodnutého nájomného za prvých desať rokov ich nájmu. Nájomné za toto obdobie nemôže byť vyššie ako 10 % z ceny pozemku zistenej znaleckým posudkom podľa osobitných predpisov.</w:t>
      </w:r>
      <w:r>
        <w:rPr>
          <w:rFonts w:ascii="Times New Roman" w:hAnsi="Times New Roman" w:cs="Times New Roman"/>
          <w:sz w:val="24"/>
          <w:vertAlign w:val="superscript"/>
        </w:rPr>
        <w:t xml:space="preserve">11) </w:t>
      </w:r>
    </w:p>
    <w:p w:rsidR="00EE178F">
      <w:pPr>
        <w:jc w:val="both"/>
        <w:rPr>
          <w:rFonts w:ascii="Times New Roman" w:hAnsi="Times New Roman" w:cs="Times New Roman"/>
          <w:color w:val="FF0000"/>
          <w:sz w:val="24"/>
        </w:rPr>
      </w:pPr>
      <w:r w:rsidR="00662B1A">
        <w:rPr>
          <w:rFonts w:ascii="Times New Roman" w:hAnsi="Times New Roman" w:cs="Times New Roman"/>
          <w:color w:val="FF0000"/>
          <w:sz w:val="24"/>
        </w:rPr>
        <w:t xml:space="preserve"> </w:t>
      </w:r>
    </w:p>
    <w:p w:rsidR="00662B1A">
      <w:pPr>
        <w:jc w:val="both"/>
        <w:rPr>
          <w:rFonts w:ascii="Times New Roman" w:hAnsi="Times New Roman" w:cs="Times New Roman"/>
          <w:sz w:val="24"/>
        </w:rPr>
      </w:pPr>
      <w:r>
        <w:rPr>
          <w:rFonts w:ascii="Times New Roman" w:hAnsi="Times New Roman" w:cs="Times New Roman"/>
          <w:sz w:val="24"/>
        </w:rPr>
        <w:t>Poznámka pod čiarou k odkazu 11 znie:</w:t>
      </w:r>
    </w:p>
    <w:p w:rsidR="00662B1A">
      <w:pPr>
        <w:pStyle w:val="BodyText2"/>
        <w:rPr>
          <w:rFonts w:cs="Times New Roman"/>
          <w:sz w:val="24"/>
        </w:rPr>
      </w:pPr>
      <w:r w:rsidR="00EE178F">
        <w:rPr>
          <w:rFonts w:cs="Times New Roman"/>
          <w:sz w:val="24"/>
          <w:szCs w:val="24"/>
          <w:vertAlign w:val="superscript"/>
        </w:rPr>
        <w:t>„</w:t>
      </w:r>
      <w:r>
        <w:rPr>
          <w:rFonts w:cs="Times New Roman"/>
          <w:sz w:val="24"/>
          <w:vertAlign w:val="superscript"/>
        </w:rPr>
        <w:t xml:space="preserve">11) </w:t>
      </w:r>
      <w:r>
        <w:rPr>
          <w:rFonts w:cs="Times New Roman"/>
          <w:sz w:val="24"/>
        </w:rPr>
        <w:t xml:space="preserve">Zákon č. 36/1967 Zb. o znalcoch a tlmočníkoch v znení neskorších predpisov. </w:t>
      </w:r>
    </w:p>
    <w:p w:rsidR="00662B1A">
      <w:pPr>
        <w:pStyle w:val="BodyText2"/>
        <w:ind w:left="360" w:hanging="567"/>
        <w:rPr>
          <w:rFonts w:cs="Times New Roman"/>
          <w:sz w:val="24"/>
        </w:rPr>
      </w:pPr>
      <w:r>
        <w:rPr>
          <w:rFonts w:cs="Times New Roman"/>
          <w:sz w:val="24"/>
        </w:rPr>
        <w:t xml:space="preserve">          Vyhláška Ministerstva spravodlivosti Slovenskej republiky č. 86/2002 Z. z. o stanovení  všeobecnej hodnoty majetku v znení vyhlášky Ministerstva spravodlivosti Slovenskej republiky č. 576/2003 Z. z..“. </w:t>
      </w:r>
    </w:p>
    <w:p w:rsidR="00662B1A">
      <w:pPr>
        <w:jc w:val="both"/>
        <w:rPr>
          <w:rFonts w:ascii="Times New Roman" w:hAnsi="Times New Roman" w:cs="Times New Roman"/>
          <w:sz w:val="24"/>
        </w:rPr>
      </w:pPr>
    </w:p>
    <w:p w:rsidR="00662B1A">
      <w:pPr>
        <w:pStyle w:val="BodyText2"/>
        <w:numPr>
          <w:ilvl w:val="0"/>
          <w:numId w:val="10"/>
        </w:numPr>
        <w:tabs>
          <w:tab w:val="left" w:pos="397"/>
        </w:tabs>
        <w:rPr>
          <w:rFonts w:cs="Times New Roman"/>
          <w:sz w:val="24"/>
        </w:rPr>
      </w:pPr>
      <w:r>
        <w:rPr>
          <w:rFonts w:cs="Times New Roman"/>
          <w:sz w:val="24"/>
        </w:rPr>
        <w:t>V § 6 ods. 2 v písmene f) sa za slovom „identifikáciu“ doplňujú slová „ podnikateľa alebo“.</w:t>
      </w:r>
    </w:p>
    <w:p w:rsidR="00662B1A">
      <w:pPr>
        <w:pStyle w:val="BodyText2"/>
        <w:rPr>
          <w:rFonts w:cs="Times New Roman"/>
          <w:sz w:val="24"/>
        </w:rPr>
      </w:pPr>
    </w:p>
    <w:p w:rsidR="00662B1A">
      <w:pPr>
        <w:pStyle w:val="BodyText2"/>
        <w:numPr>
          <w:ilvl w:val="0"/>
          <w:numId w:val="10"/>
        </w:numPr>
        <w:tabs>
          <w:tab w:val="left" w:pos="397"/>
        </w:tabs>
        <w:rPr>
          <w:rFonts w:cs="Times New Roman"/>
          <w:sz w:val="24"/>
        </w:rPr>
      </w:pPr>
      <w:r>
        <w:rPr>
          <w:rFonts w:cs="Times New Roman"/>
          <w:sz w:val="24"/>
        </w:rPr>
        <w:t xml:space="preserve">V § 6 ods. 4 znie: </w:t>
      </w:r>
    </w:p>
    <w:p w:rsidR="00662B1A">
      <w:pPr>
        <w:pStyle w:val="BodyText2"/>
        <w:rPr>
          <w:rFonts w:cs="Times New Roman"/>
          <w:sz w:val="24"/>
        </w:rPr>
      </w:pPr>
    </w:p>
    <w:p w:rsidR="00662B1A">
      <w:pPr>
        <w:pStyle w:val="BodyText2"/>
        <w:ind w:firstLine="567"/>
        <w:rPr>
          <w:rFonts w:cs="Times New Roman"/>
          <w:sz w:val="24"/>
        </w:rPr>
      </w:pPr>
      <w:r>
        <w:rPr>
          <w:rFonts w:cs="Times New Roman"/>
          <w:sz w:val="24"/>
        </w:rPr>
        <w:t>„(4) Ak sa konanie o poskytnutie podpory nezastavilo podľa odseku 3, ministerstvo zabezpečí k predloženej žiadosti odborný posudok z hľadiska prínosu uskutočnenia a prevádzkovania priemyselného parku pre verejné financie, pre rozvoj r</w:t>
      </w:r>
      <w:r w:rsidR="00EE178F">
        <w:rPr>
          <w:rFonts w:cs="Times New Roman"/>
          <w:sz w:val="24"/>
        </w:rPr>
        <w:t>egiónu a nárast zamestnanosti a vypracuje návrh o poskytnutí podpory obci (ďalej len „návrh na podporu“).“.</w:t>
      </w:r>
    </w:p>
    <w:p w:rsidR="00662B1A">
      <w:pPr>
        <w:jc w:val="both"/>
        <w:rPr>
          <w:rFonts w:ascii="Times New Roman" w:hAnsi="Times New Roman" w:cs="Times New Roman"/>
          <w:sz w:val="24"/>
        </w:rPr>
      </w:pPr>
    </w:p>
    <w:p w:rsidR="00662B1A">
      <w:pPr>
        <w:numPr>
          <w:ilvl w:val="0"/>
          <w:numId w:val="28"/>
        </w:numPr>
        <w:tabs>
          <w:tab w:val="left" w:pos="360"/>
        </w:tabs>
        <w:jc w:val="both"/>
        <w:rPr>
          <w:rFonts w:ascii="Times New Roman" w:hAnsi="Times New Roman" w:cs="Times New Roman"/>
          <w:sz w:val="24"/>
        </w:rPr>
      </w:pPr>
      <w:r>
        <w:rPr>
          <w:rFonts w:ascii="Times New Roman" w:hAnsi="Times New Roman" w:cs="Times New Roman"/>
          <w:sz w:val="24"/>
        </w:rPr>
        <w:t xml:space="preserve">Za § 8 sa vkladá nový § 8a, ktorý vrátane nadpisu znie: </w:t>
      </w:r>
    </w:p>
    <w:p w:rsidR="00662B1A">
      <w:pPr>
        <w:jc w:val="both"/>
        <w:rPr>
          <w:rFonts w:ascii="Times New Roman" w:hAnsi="Times New Roman" w:cs="Times New Roman"/>
          <w:sz w:val="24"/>
        </w:rPr>
      </w:pPr>
    </w:p>
    <w:p w:rsidR="00662B1A">
      <w:pPr>
        <w:jc w:val="center"/>
        <w:rPr>
          <w:rFonts w:ascii="Times New Roman" w:hAnsi="Times New Roman" w:cs="Times New Roman"/>
          <w:sz w:val="24"/>
        </w:rPr>
      </w:pPr>
      <w:r>
        <w:rPr>
          <w:rFonts w:ascii="Times New Roman" w:hAnsi="Times New Roman" w:cs="Times New Roman"/>
          <w:sz w:val="24"/>
        </w:rPr>
        <w:t xml:space="preserve">„§ 8a </w:t>
      </w:r>
    </w:p>
    <w:p w:rsidR="00662B1A">
      <w:pPr>
        <w:jc w:val="center"/>
        <w:rPr>
          <w:rFonts w:ascii="Times New Roman" w:hAnsi="Times New Roman" w:cs="Times New Roman"/>
          <w:sz w:val="24"/>
        </w:rPr>
      </w:pPr>
      <w:r>
        <w:rPr>
          <w:rFonts w:ascii="Times New Roman" w:hAnsi="Times New Roman" w:cs="Times New Roman"/>
          <w:sz w:val="24"/>
        </w:rPr>
        <w:t xml:space="preserve">Prevod pozemkov, technickej vybavenosti územia a inžinierskych stavieb nevyhnutných </w:t>
      </w:r>
    </w:p>
    <w:p w:rsidR="00662B1A">
      <w:pPr>
        <w:jc w:val="center"/>
        <w:rPr>
          <w:rFonts w:ascii="Times New Roman" w:hAnsi="Times New Roman" w:cs="Times New Roman"/>
          <w:sz w:val="24"/>
        </w:rPr>
      </w:pPr>
      <w:r>
        <w:rPr>
          <w:rFonts w:ascii="Times New Roman" w:hAnsi="Times New Roman" w:cs="Times New Roman"/>
          <w:sz w:val="24"/>
        </w:rPr>
        <w:t>na zriadenie priemyselného parku podnikateľovi v priemyselnom parku</w:t>
      </w:r>
    </w:p>
    <w:p w:rsidR="00662B1A">
      <w:pPr>
        <w:jc w:val="center"/>
        <w:rPr>
          <w:rFonts w:ascii="Times New Roman" w:hAnsi="Times New Roman" w:cs="Times New Roman"/>
          <w:sz w:val="24"/>
        </w:rPr>
      </w:pPr>
    </w:p>
    <w:p w:rsidR="00662B1A">
      <w:pPr>
        <w:ind w:firstLine="567"/>
        <w:jc w:val="both"/>
        <w:rPr>
          <w:rFonts w:ascii="Times New Roman" w:hAnsi="Times New Roman" w:cs="Times New Roman"/>
          <w:sz w:val="24"/>
          <w:vertAlign w:val="superscript"/>
        </w:rPr>
      </w:pPr>
      <w:r>
        <w:rPr>
          <w:rFonts w:ascii="Times New Roman" w:hAnsi="Times New Roman" w:cs="Times New Roman"/>
          <w:sz w:val="24"/>
        </w:rPr>
        <w:t xml:space="preserve">(1) Obec môže pozemky alebo technickú vybavenosť územia a inžinierske stavby nevyhnutné na zriadenie priemyselného parku previesť za odplatu podnikateľovi, ktorý podniká na území priemyselného parku. Tento prevod sa uskutoční za všeobecnú hodnotu celého pozemku, všeobecnú hodnotu technickej vybavenosti a všeobecnú hodnotu inžinierskych stavieb v celom priemyselnom parku, ktorá bude stanovená znaleckým posudkom podľa osobitných predpisov </w:t>
      </w:r>
      <w:r>
        <w:rPr>
          <w:rFonts w:ascii="Times New Roman" w:hAnsi="Times New Roman" w:cs="Times New Roman"/>
          <w:sz w:val="24"/>
          <w:vertAlign w:val="superscript"/>
        </w:rPr>
        <w:t>11)</w:t>
      </w:r>
      <w:r>
        <w:rPr>
          <w:rFonts w:ascii="Times New Roman" w:hAnsi="Times New Roman" w:cs="Times New Roman"/>
          <w:sz w:val="24"/>
        </w:rPr>
        <w:t>. Ak pôjde o predaj len časti územia priemyselného parku, odplatný prevod sa uskutoční za všeobecnú hodnotu vyčleneného pozemku, všeobecnú hodnotu vyčlenenej technickej vybavenosti a vyčlenených inžinierskych stavieb v časti priemyselného parku, ktorá bude stanovená znaleckým posudkom podľa osobitných predpisov.</w:t>
      </w:r>
      <w:r>
        <w:rPr>
          <w:rFonts w:ascii="Times New Roman" w:hAnsi="Times New Roman" w:cs="Times New Roman"/>
          <w:sz w:val="24"/>
          <w:vertAlign w:val="superscript"/>
        </w:rPr>
        <w:t>11)</w:t>
      </w:r>
    </w:p>
    <w:p w:rsidR="00662B1A">
      <w:pPr>
        <w:pStyle w:val="BodyText2"/>
        <w:ind w:firstLine="567"/>
        <w:rPr>
          <w:rFonts w:cs="Times New Roman"/>
          <w:sz w:val="24"/>
        </w:rPr>
      </w:pPr>
    </w:p>
    <w:p w:rsidR="00662B1A">
      <w:pPr>
        <w:pStyle w:val="BodyText2"/>
        <w:ind w:firstLine="567"/>
        <w:rPr>
          <w:rFonts w:cs="Times New Roman"/>
          <w:sz w:val="24"/>
        </w:rPr>
      </w:pPr>
      <w:r>
        <w:rPr>
          <w:rFonts w:cs="Times New Roman"/>
          <w:sz w:val="24"/>
        </w:rPr>
        <w:t>(2) Príjmy z prevodu podľa odseku 1 sú príjmom rozpočtu obce a príjmom štátneho rozpočtu v pomere v akom sa tieto zdroje podieľali na financovaní nákladov na zriadenie priemyselného parku.“.</w:t>
      </w:r>
    </w:p>
    <w:p w:rsidR="00662B1A">
      <w:pPr>
        <w:jc w:val="both"/>
        <w:rPr>
          <w:rFonts w:ascii="Times New Roman" w:hAnsi="Times New Roman" w:cs="Times New Roman"/>
          <w:sz w:val="24"/>
        </w:rPr>
      </w:pPr>
    </w:p>
    <w:p w:rsidR="00662B1A">
      <w:pPr>
        <w:numPr>
          <w:ilvl w:val="0"/>
          <w:numId w:val="27"/>
        </w:numPr>
        <w:tabs>
          <w:tab w:val="left" w:pos="360"/>
        </w:tabs>
        <w:jc w:val="both"/>
        <w:rPr>
          <w:rFonts w:ascii="Times New Roman" w:hAnsi="Times New Roman" w:cs="Times New Roman"/>
          <w:sz w:val="24"/>
        </w:rPr>
      </w:pPr>
      <w:r>
        <w:rPr>
          <w:rFonts w:ascii="Times New Roman" w:hAnsi="Times New Roman" w:cs="Times New Roman"/>
          <w:sz w:val="24"/>
        </w:rPr>
        <w:t xml:space="preserve"> V § 1</w:t>
      </w:r>
      <w:r w:rsidR="00EE178F">
        <w:rPr>
          <w:rFonts w:ascii="Times New Roman" w:hAnsi="Times New Roman" w:cs="Times New Roman"/>
          <w:sz w:val="24"/>
        </w:rPr>
        <w:t>1 ods. 4 sa slovo „podnikateľom</w:t>
      </w:r>
      <w:r>
        <w:rPr>
          <w:rFonts w:ascii="Times New Roman" w:hAnsi="Times New Roman" w:cs="Times New Roman"/>
          <w:sz w:val="24"/>
        </w:rPr>
        <w:t xml:space="preserve">“ nahrádza slovom „podnikateľovi“.  </w:t>
      </w:r>
    </w:p>
    <w:p w:rsidR="00662B1A">
      <w:pPr>
        <w:rPr>
          <w:rFonts w:ascii="Times New Roman" w:hAnsi="Times New Roman" w:cs="Times New Roman"/>
          <w:sz w:val="24"/>
        </w:rPr>
      </w:pPr>
    </w:p>
    <w:p w:rsidR="00EE178F">
      <w:pPr>
        <w:jc w:val="center"/>
        <w:rPr>
          <w:rFonts w:ascii="Times New Roman" w:hAnsi="Times New Roman" w:cs="Times New Roman"/>
          <w:sz w:val="24"/>
        </w:rPr>
      </w:pPr>
    </w:p>
    <w:p w:rsidR="00662B1A">
      <w:pPr>
        <w:jc w:val="center"/>
        <w:rPr>
          <w:rFonts w:ascii="Times New Roman" w:hAnsi="Times New Roman" w:cs="Times New Roman"/>
          <w:sz w:val="24"/>
        </w:rPr>
      </w:pPr>
      <w:r>
        <w:rPr>
          <w:rFonts w:ascii="Times New Roman" w:hAnsi="Times New Roman" w:cs="Times New Roman"/>
          <w:sz w:val="24"/>
        </w:rPr>
        <w:t>Čl. II</w:t>
      </w:r>
    </w:p>
    <w:p w:rsidR="00662B1A">
      <w:pPr>
        <w:jc w:val="center"/>
        <w:rPr>
          <w:rFonts w:ascii="Times New Roman" w:hAnsi="Times New Roman" w:cs="Times New Roman"/>
          <w:sz w:val="24"/>
        </w:rPr>
      </w:pPr>
    </w:p>
    <w:p w:rsidR="00662B1A">
      <w:pPr>
        <w:jc w:val="both"/>
        <w:rPr>
          <w:rFonts w:ascii="Times New Roman" w:hAnsi="Times New Roman" w:cs="Times New Roman"/>
          <w:sz w:val="24"/>
        </w:rPr>
      </w:pPr>
      <w:r>
        <w:rPr>
          <w:rFonts w:ascii="Times New Roman" w:hAnsi="Times New Roman" w:cs="Times New Roman"/>
          <w:sz w:val="24"/>
        </w:rPr>
        <w:tab/>
        <w:t xml:space="preserve">Tento zákon nadobúda účinnosť 1. septembra 2004. </w:t>
      </w:r>
    </w:p>
    <w:p w:rsidR="00662B1A">
      <w:pPr>
        <w:rPr>
          <w:rFonts w:ascii="Times New Roman" w:hAnsi="Times New Roman" w:cs="Times New Roman"/>
          <w:sz w:val="23"/>
        </w:rPr>
      </w:pPr>
    </w:p>
    <w:sectPr>
      <w:footerReference w:type="even" r:id="rId4"/>
      <w:footerReference w:type="default" r:id="rId5"/>
      <w:pgSz w:w="11906" w:h="16838"/>
      <w:pgMar w:top="1418" w:right="1361" w:bottom="1418" w:left="1474"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mic Sans MS">
    <w:panose1 w:val="030F0702030302020204"/>
    <w:charset w:val="00"/>
    <w:family w:val="script"/>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B1A">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rsidR="00662B1A">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B1A">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sidR="00B42B69">
      <w:rPr>
        <w:rStyle w:val="PageNumber"/>
        <w:rFonts w:ascii="Times New Roman" w:hAnsi="Times New Roman" w:cs="Times New Roman"/>
        <w:noProof/>
        <w:sz w:val="22"/>
      </w:rPr>
      <w:t>2</w:t>
    </w:r>
    <w:r>
      <w:rPr>
        <w:rStyle w:val="PageNumber"/>
        <w:rFonts w:ascii="Times New Roman" w:hAnsi="Times New Roman" w:cs="Times New Roman"/>
        <w:sz w:val="22"/>
      </w:rPr>
      <w:fldChar w:fldCharType="end"/>
    </w:r>
  </w:p>
  <w:p w:rsidR="00662B1A">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6F20"/>
    <w:multiLevelType w:val="multilevel"/>
    <w:tmpl w:val="949EF1B0"/>
    <w:lvl w:ilvl="0">
      <w:start w:val="1"/>
      <w:numFmt w:val="decimal"/>
      <w:lvlText w:val="%1."/>
      <w:lvlJc w:val="left"/>
      <w:pPr>
        <w:tabs>
          <w:tab w:val="num" w:pos="312"/>
        </w:tabs>
        <w:ind w:left="312" w:hanging="31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130482"/>
    <w:multiLevelType w:val="singleLevel"/>
    <w:tmpl w:val="248A091A"/>
    <w:lvl w:ilvl="0">
      <w:start w:val="1"/>
      <w:numFmt w:val="decimal"/>
      <w:lvlText w:val="(%1)"/>
      <w:lvlJc w:val="left"/>
      <w:pPr>
        <w:tabs>
          <w:tab w:val="num" w:pos="360"/>
        </w:tabs>
        <w:ind w:left="360" w:hanging="360"/>
      </w:pPr>
    </w:lvl>
  </w:abstractNum>
  <w:abstractNum w:abstractNumId="2">
    <w:nsid w:val="085E3C80"/>
    <w:multiLevelType w:val="hybridMultilevel"/>
    <w:tmpl w:val="811CA3E2"/>
    <w:lvl w:ilvl="0">
      <w:start w:val="5"/>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8A2B6F"/>
    <w:multiLevelType w:val="singleLevel"/>
    <w:tmpl w:val="490EF178"/>
    <w:lvl w:ilvl="0">
      <w:start w:val="1"/>
      <w:numFmt w:val="decimal"/>
      <w:lvlText w:val="(%1)"/>
      <w:lvlJc w:val="left"/>
      <w:pPr>
        <w:tabs>
          <w:tab w:val="num" w:pos="465"/>
        </w:tabs>
        <w:ind w:left="465" w:hanging="465"/>
      </w:pPr>
      <w:rPr>
        <w:rFonts w:ascii="Times New Roman" w:hAnsi="Times New Roman" w:cs="Times New Roman"/>
        <w:rtl w:val="0"/>
      </w:rPr>
    </w:lvl>
  </w:abstractNum>
  <w:abstractNum w:abstractNumId="4">
    <w:nsid w:val="0C752124"/>
    <w:multiLevelType w:val="multilevel"/>
    <w:tmpl w:val="4FC47E82"/>
    <w:lvl w:ilvl="0">
      <w:start w:val="7"/>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575B10"/>
    <w:multiLevelType w:val="multilevel"/>
    <w:tmpl w:val="C750D264"/>
    <w:lvl w:ilvl="0">
      <w:start w:val="10"/>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4F6ABB"/>
    <w:multiLevelType w:val="multilevel"/>
    <w:tmpl w:val="732826B4"/>
    <w:lvl w:ilvl="0">
      <w:start w:val="6"/>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5EF6E02"/>
    <w:multiLevelType w:val="hybridMultilevel"/>
    <w:tmpl w:val="3C7CC74C"/>
    <w:lvl w:ilvl="0">
      <w:start w:val="14"/>
      <w:numFmt w:val="decimal"/>
      <w:lvlText w:val="%1."/>
      <w:lvlJc w:val="left"/>
      <w:pPr>
        <w:tabs>
          <w:tab w:val="num" w:pos="397"/>
        </w:tabs>
        <w:ind w:left="397" w:hanging="397"/>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653774D"/>
    <w:multiLevelType w:val="multilevel"/>
    <w:tmpl w:val="2864E66A"/>
    <w:lvl w:ilvl="0">
      <w:start w:val="1"/>
      <w:numFmt w:val="decimal"/>
      <w:lvlText w:val="%1."/>
      <w:lvlJc w:val="left"/>
      <w:pPr>
        <w:tabs>
          <w:tab w:val="num" w:pos="312"/>
        </w:tabs>
        <w:ind w:left="312" w:hanging="31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311FC3"/>
    <w:multiLevelType w:val="hybridMultilevel"/>
    <w:tmpl w:val="7B169900"/>
    <w:lvl w:ilvl="0">
      <w:start w:val="12"/>
      <w:numFmt w:val="decimal"/>
      <w:lvlText w:val="%1."/>
      <w:lvlJc w:val="left"/>
      <w:pPr>
        <w:tabs>
          <w:tab w:val="num" w:pos="397"/>
        </w:tabs>
        <w:ind w:left="397" w:hanging="397"/>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BC7772"/>
    <w:multiLevelType w:val="multilevel"/>
    <w:tmpl w:val="5B401140"/>
    <w:lvl w:ilvl="0">
      <w:start w:val="13"/>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3C72690"/>
    <w:multiLevelType w:val="multilevel"/>
    <w:tmpl w:val="52B20228"/>
    <w:lvl w:ilvl="0">
      <w:start w:val="10"/>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136B66"/>
    <w:multiLevelType w:val="multilevel"/>
    <w:tmpl w:val="F6805828"/>
    <w:lvl w:ilvl="0">
      <w:start w:val="1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6282296"/>
    <w:multiLevelType w:val="singleLevel"/>
    <w:tmpl w:val="041B000F"/>
    <w:lvl w:ilvl="0">
      <w:start w:val="1"/>
      <w:numFmt w:val="decimal"/>
      <w:lvlText w:val="%1."/>
      <w:lvlJc w:val="left"/>
      <w:pPr>
        <w:tabs>
          <w:tab w:val="num" w:pos="360"/>
        </w:tabs>
        <w:ind w:left="360" w:hanging="360"/>
      </w:pPr>
    </w:lvl>
  </w:abstractNum>
  <w:abstractNum w:abstractNumId="14">
    <w:nsid w:val="4D487E3E"/>
    <w:multiLevelType w:val="singleLevel"/>
    <w:tmpl w:val="A93A8F96"/>
    <w:lvl w:ilvl="0">
      <w:start w:val="1"/>
      <w:numFmt w:val="decimal"/>
      <w:lvlText w:val="(%1)"/>
      <w:lvlJc w:val="left"/>
      <w:pPr>
        <w:tabs>
          <w:tab w:val="num" w:pos="927"/>
        </w:tabs>
        <w:ind w:left="927" w:hanging="360"/>
      </w:pPr>
    </w:lvl>
  </w:abstractNum>
  <w:abstractNum w:abstractNumId="15">
    <w:nsid w:val="519471D6"/>
    <w:multiLevelType w:val="hybridMultilevel"/>
    <w:tmpl w:val="0054EB96"/>
    <w:lvl w:ilvl="0">
      <w:start w:val="6"/>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3150979"/>
    <w:multiLevelType w:val="multilevel"/>
    <w:tmpl w:val="BA026C60"/>
    <w:lvl w:ilvl="0">
      <w:start w:val="7"/>
      <w:numFmt w:val="decimal"/>
      <w:lvlText w:val="%1."/>
      <w:lvlJc w:val="left"/>
      <w:pPr>
        <w:tabs>
          <w:tab w:val="num" w:pos="340"/>
        </w:tabs>
        <w:ind w:left="340" w:hanging="340"/>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3A073F4"/>
    <w:multiLevelType w:val="multilevel"/>
    <w:tmpl w:val="18F61C7E"/>
    <w:lvl w:ilvl="0">
      <w:start w:val="7"/>
      <w:numFmt w:val="decimal"/>
      <w:lvlText w:val="%1."/>
      <w:lvlJc w:val="left"/>
      <w:pPr>
        <w:tabs>
          <w:tab w:val="num" w:pos="397"/>
        </w:tabs>
        <w:ind w:left="397" w:hanging="397"/>
      </w:pPr>
      <w:rPr>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5625D19"/>
    <w:multiLevelType w:val="hybridMultilevel"/>
    <w:tmpl w:val="A224CF54"/>
    <w:lvl w:ilvl="0">
      <w:start w:val="5"/>
      <w:numFmt w:val="decimal"/>
      <w:lvlText w:val="%1."/>
      <w:lvlJc w:val="left"/>
      <w:pPr>
        <w:tabs>
          <w:tab w:val="num" w:pos="312"/>
        </w:tabs>
        <w:ind w:left="312" w:hanging="312"/>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6B655FF"/>
    <w:multiLevelType w:val="hybridMultilevel"/>
    <w:tmpl w:val="2864E66A"/>
    <w:lvl w:ilvl="0">
      <w:start w:val="1"/>
      <w:numFmt w:val="decimal"/>
      <w:lvlText w:val="%1."/>
      <w:lvlJc w:val="left"/>
      <w:pPr>
        <w:tabs>
          <w:tab w:val="num" w:pos="312"/>
        </w:tabs>
        <w:ind w:left="312" w:hanging="31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B82A76"/>
    <w:multiLevelType w:val="multilevel"/>
    <w:tmpl w:val="732826B4"/>
    <w:lvl w:ilvl="0">
      <w:start w:val="6"/>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4914C00"/>
    <w:multiLevelType w:val="multilevel"/>
    <w:tmpl w:val="7FF4248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C670B4"/>
    <w:multiLevelType w:val="singleLevel"/>
    <w:tmpl w:val="041B000F"/>
    <w:lvl w:ilvl="0">
      <w:start w:val="1"/>
      <w:numFmt w:val="decimal"/>
      <w:lvlText w:val="%1."/>
      <w:lvlJc w:val="left"/>
      <w:pPr>
        <w:tabs>
          <w:tab w:val="num" w:pos="360"/>
        </w:tabs>
        <w:ind w:left="360" w:hanging="360"/>
      </w:pPr>
    </w:lvl>
  </w:abstractNum>
  <w:abstractNum w:abstractNumId="23">
    <w:nsid w:val="6BE61837"/>
    <w:multiLevelType w:val="multilevel"/>
    <w:tmpl w:val="949EF1B0"/>
    <w:lvl w:ilvl="0">
      <w:start w:val="1"/>
      <w:numFmt w:val="decimal"/>
      <w:lvlText w:val="%1."/>
      <w:lvlJc w:val="left"/>
      <w:pPr>
        <w:tabs>
          <w:tab w:val="num" w:pos="312"/>
        </w:tabs>
        <w:ind w:left="312" w:hanging="312"/>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09C4EF8"/>
    <w:multiLevelType w:val="multilevel"/>
    <w:tmpl w:val="6E7C1314"/>
    <w:lvl w:ilvl="0">
      <w:start w:val="9"/>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65311EE"/>
    <w:multiLevelType w:val="multilevel"/>
    <w:tmpl w:val="073CC7D2"/>
    <w:lvl w:ilvl="0">
      <w:start w:val="9"/>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D1419C"/>
    <w:multiLevelType w:val="multilevel"/>
    <w:tmpl w:val="6CC42AAE"/>
    <w:lvl w:ilvl="0">
      <w:start w:val="10"/>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FA64B02"/>
    <w:multiLevelType w:val="multilevel"/>
    <w:tmpl w:val="811CA3E2"/>
    <w:lvl w:ilvl="0">
      <w:start w:val="5"/>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23"/>
  </w:num>
  <w:num w:numId="3">
    <w:abstractNumId w:val="0"/>
  </w:num>
  <w:num w:numId="4">
    <w:abstractNumId w:val="2"/>
  </w:num>
  <w:num w:numId="5">
    <w:abstractNumId w:val="8"/>
  </w:num>
  <w:num w:numId="6">
    <w:abstractNumId w:val="27"/>
  </w:num>
  <w:num w:numId="7">
    <w:abstractNumId w:val="18"/>
  </w:num>
  <w:num w:numId="8">
    <w:abstractNumId w:val="21"/>
  </w:num>
  <w:num w:numId="9">
    <w:abstractNumId w:val="4"/>
  </w:num>
  <w:num w:numId="10">
    <w:abstractNumId w:val="17"/>
  </w:num>
  <w:num w:numId="11">
    <w:abstractNumId w:val="22"/>
  </w:num>
  <w:num w:numId="12">
    <w:abstractNumId w:val="25"/>
  </w:num>
  <w:num w:numId="13">
    <w:abstractNumId w:val="13"/>
  </w:num>
  <w:num w:numId="14">
    <w:abstractNumId w:val="3"/>
  </w:num>
  <w:num w:numId="15">
    <w:abstractNumId w:val="26"/>
  </w:num>
  <w:num w:numId="16">
    <w:abstractNumId w:val="24"/>
  </w:num>
  <w:num w:numId="17">
    <w:abstractNumId w:val="5"/>
  </w:num>
  <w:num w:numId="18">
    <w:abstractNumId w:val="10"/>
  </w:num>
  <w:num w:numId="19">
    <w:abstractNumId w:val="14"/>
  </w:num>
  <w:num w:numId="20">
    <w:abstractNumId w:val="1"/>
  </w:num>
  <w:num w:numId="21">
    <w:abstractNumId w:val="15"/>
  </w:num>
  <w:num w:numId="22">
    <w:abstractNumId w:val="20"/>
  </w:num>
  <w:num w:numId="23">
    <w:abstractNumId w:val="6"/>
  </w:num>
  <w:num w:numId="24">
    <w:abstractNumId w:val="9"/>
  </w:num>
  <w:num w:numId="25">
    <w:abstractNumId w:val="16"/>
  </w:num>
  <w:num w:numId="26">
    <w:abstractNumId w:val="7"/>
  </w:num>
  <w:num w:numId="27">
    <w:abstractNumId w:val="1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stylePaneFormatFilter w:val="3F01"/>
  <w:defaultTabStop w:val="567"/>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62B1A"/>
    <w:rsid w:val="00B42B69"/>
    <w:rsid w:val="00EE178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rFonts w:ascii="Comic Sans MS" w:hAnsi="Comic Sans MS"/>
      <w:sz w:val="20"/>
      <w:szCs w:val="20"/>
      <w:rtl w:val="0"/>
      <w:lang w:val="sk-SK" w:bidi="ar-SA"/>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BodyText">
    <w:name w:val="Body Text"/>
    <w:basedOn w:val="Normal"/>
    <w:pPr>
      <w:jc w:val="both"/>
    </w:pPr>
    <w:rPr>
      <w:rFonts w:ascii="Times New Roman" w:hAnsi="Times New Roman"/>
      <w:color w:val="FF0000"/>
      <w:sz w:val="23"/>
    </w:rPr>
  </w:style>
  <w:style w:type="paragraph" w:styleId="BodyText2">
    <w:name w:val="Body Text 2"/>
    <w:basedOn w:val="Normal"/>
    <w:pPr>
      <w:jc w:val="both"/>
    </w:pPr>
    <w:rPr>
      <w:rFonts w:ascii="Times New Roman" w:hAnsi="Times New Roman"/>
      <w:sz w:val="23"/>
    </w:rPr>
  </w:style>
  <w:style w:type="paragraph" w:styleId="BodyTextIndent">
    <w:name w:val="Body Text Indent"/>
    <w:basedOn w:val="Normal"/>
    <w:pPr>
      <w:ind w:left="312"/>
      <w:jc w:val="both"/>
    </w:pPr>
    <w:rPr>
      <w:rFonts w:ascii="Times New Roman" w:hAnsi="Times New Roman"/>
      <w:sz w:val="23"/>
    </w:rPr>
  </w:style>
  <w:style w:type="paragraph" w:styleId="BodyTextIndent2">
    <w:name w:val="Body Text Indent 2"/>
    <w:basedOn w:val="Normal"/>
    <w:pPr>
      <w:ind w:firstLine="567"/>
      <w:jc w:val="both"/>
    </w:pPr>
    <w:rPr>
      <w:rFonts w:ascii="Times New Roman" w:hAnsi="Times New Roman"/>
      <w:sz w:val="23"/>
    </w:rPr>
  </w:style>
  <w:style w:type="paragraph" w:styleId="BodyTextIndent3">
    <w:name w:val="Body Text Indent 3"/>
    <w:basedOn w:val="Normal"/>
    <w:pPr>
      <w:ind w:left="360" w:hanging="360"/>
      <w:jc w:val="both"/>
    </w:pPr>
    <w:rPr>
      <w:rFonts w:ascii="Times New Roman" w:hAnsi="Times New Roman"/>
      <w:sz w:val="24"/>
    </w:rPr>
  </w:style>
  <w:style w:type="paragraph" w:styleId="BalloonText">
    <w:name w:val="Balloon Text"/>
    <w:basedOn w:val="Normal"/>
    <w:semiHidden/>
    <w:pPr>
      <w:jc w:val="left"/>
    </w:pPr>
    <w:rPr>
      <w:rFonts w:ascii="Tahoma" w:hAnsi="Tahoma" w:cs="Tahoma"/>
      <w:sz w:val="16"/>
      <w:szCs w:val="16"/>
    </w:rPr>
  </w:style>
  <w:style w:type="paragraph" w:styleId="Title">
    <w:name w:val="Title"/>
    <w:basedOn w:val="Normal"/>
    <w:uiPriority w:val="10"/>
    <w:qFormat/>
    <w:pPr>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Pages>
  <Words>1089</Words>
  <Characters>6212</Characters>
  <Application>Microsoft Office Word</Application>
  <DocSecurity>0</DocSecurity>
  <Lines>0</Lines>
  <Paragraphs>0</Paragraphs>
  <ScaleCrop>false</ScaleCrop>
  <Company>MH SR</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MH</dc:creator>
  <cp:lastModifiedBy>MH</cp:lastModifiedBy>
  <cp:revision>4</cp:revision>
  <cp:lastPrinted>2004-06-07T11:44:00Z</cp:lastPrinted>
  <dcterms:created xsi:type="dcterms:W3CDTF">2004-06-07T11:05:00Z</dcterms:created>
  <dcterms:modified xsi:type="dcterms:W3CDTF">2004-06-07T11:45:00Z</dcterms:modified>
</cp:coreProperties>
</file>