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ô v o d o v á    s p r á v a</w:t>
      </w: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</w:rPr>
        <w:tab/>
        <w:t>Ustanovenie § 74 zákona č. 131/2002 Z.z. o vysokých školách a o zmene a doplnení niektorých zákonov v znení neskorších predpisov (ďalej len „zákon o vysokých školách“) rieši postavenie zamestnancov vysokýc</w:t>
      </w:r>
      <w:r>
        <w:rPr>
          <w:rFonts w:ascii="Times New Roman" w:hAnsi="Times New Roman" w:cs="Times New Roman"/>
        </w:rPr>
        <w:t xml:space="preserve">h škôl. </w:t>
      </w:r>
      <w:r>
        <w:rPr>
          <w:rFonts w:ascii="Times New Roman" w:hAnsi="Times New Roman" w:cs="Times New Roman"/>
          <w:color w:val="000000"/>
          <w:szCs w:val="20"/>
        </w:rPr>
        <w:t>Na vysokých školách ako zamestnanci pôsobia vysokoškolskí učitelia, výskumní</w:t>
      </w:r>
      <w:r>
        <w:rPr>
          <w:rFonts w:ascii="Times New Roman" w:hAnsi="Times New Roman" w:cs="Times New Roman"/>
          <w:color w:val="000000"/>
          <w:szCs w:val="20"/>
        </w:rPr>
        <w:t xml:space="preserve"> pracovníci, umeleckí pracovníci a ostatní zamestnanci. Zamestnanci </w:t>
      </w:r>
      <w:r>
        <w:rPr>
          <w:rFonts w:ascii="Times New Roman" w:hAnsi="Times New Roman" w:cs="Times New Roman"/>
          <w:color w:val="000000"/>
          <w:szCs w:val="20"/>
        </w:rPr>
        <w:t>vysokých škôl pôsobiaci v klinickej a praktickej výučbe v špecializovaných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 xml:space="preserve">výučbových zariadeniach verejných vysokých škôl podľa § 36 </w:t>
      </w:r>
      <w:r>
        <w:rPr>
          <w:rFonts w:ascii="Times New Roman" w:hAnsi="Times New Roman" w:cs="Times New Roman"/>
          <w:color w:val="000000"/>
          <w:szCs w:val="20"/>
        </w:rPr>
        <w:t xml:space="preserve">zákona o vysokých školách </w:t>
      </w:r>
      <w:r>
        <w:rPr>
          <w:rFonts w:ascii="Times New Roman" w:hAnsi="Times New Roman" w:cs="Times New Roman"/>
          <w:color w:val="000000"/>
          <w:szCs w:val="20"/>
        </w:rPr>
        <w:t>poskytujú zdravotnú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starostlivosť podľa osobitného predpisu. Týždenný pracovný čas</w:t>
      </w:r>
      <w:r>
        <w:rPr>
          <w:rFonts w:ascii="Times New Roman" w:hAnsi="Times New Roman" w:cs="Times New Roman"/>
          <w:color w:val="000000"/>
          <w:szCs w:val="20"/>
        </w:rPr>
        <w:t xml:space="preserve"> zamestnancov vysokých škôl uvedených vyššie, ktorí vykonávajú prácu na ustanovený </w:t>
      </w:r>
      <w:r>
        <w:rPr>
          <w:rFonts w:ascii="Times New Roman" w:hAnsi="Times New Roman" w:cs="Times New Roman"/>
          <w:color w:val="000000"/>
          <w:szCs w:val="20"/>
        </w:rPr>
        <w:t>týždenný pracovný čas podľa Zákonníka práce, vrátane práce nadčas, je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najviac 58 hodín, aj keď pracujú pre viacerých zamestnávateľov.</w:t>
      </w:r>
      <w:r>
        <w:rPr>
          <w:rFonts w:ascii="Times New Roman" w:hAnsi="Times New Roman" w:cs="Times New Roman"/>
          <w:color w:val="000000"/>
          <w:szCs w:val="20"/>
        </w:rPr>
        <w:t xml:space="preserve"> Toto ustanovenie je pre mnohých zamestnancov vysokých škôl nevýhodné a obmedzujúce. Mnohí učitelia vysokých škôl majú aj viac úväzkov a aj týmto spôsobom si vylepšujú svoju finančnú situáciu, ale práve obmedzenie týždenného pracovného času na najviac 58 hodín je pre nich prekážkou. Tvorivá práca vysokoškolských učiteľov je často nárazová a krátkodobo presiahne zákonom stanovený limit. Limit svojho pracovného času by si mal každý stanoviť sám.</w:t>
      </w:r>
    </w:p>
    <w:p>
      <w:pPr>
        <w:jc w:val="both"/>
        <w:rPr>
          <w:rFonts w:ascii="Times New Roman" w:hAnsi="Times New Roman" w:cs="Times New Roman"/>
          <w:color w:val="000000"/>
          <w:szCs w:val="20"/>
        </w:rPr>
      </w:pPr>
    </w:p>
    <w:p>
      <w:pPr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ab/>
        <w:t>Takéto obmedzenie pôvodne poznal aj Zákonník práce v § 252 ods. 2, podľa ktorého „pracovný čas zamestnanca vrátane práce nadčas, ustanovený v § 85 ods. 6, je v období od 1. apríla 2002 do 31. marca 2007 najviac 58 hodín týždenne“. Toto obmedzenie bolo novelou Zákonníka práce č. 210/2003 Z.z. skrátené iba do 31. decembra 2003, a teda od 1. januára 2004 už neplatí. Napriek tomu ale zostalo pri vysokoškolských učiteľoch a iných zamestnancoch vysokých škôl. Argument, že pri terajšom stave nezamestnanosti nie je správne, aby niekto mal aj napr. 4 či 5 úväzkov nie je a iní boli bez práce nie je správny, pretože riešením nezamestnanosti nie je obmedzovanie možnosti pracovať pre iných.</w:t>
      </w:r>
    </w:p>
    <w:p>
      <w:pPr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ab/>
      </w:r>
    </w:p>
    <w:p>
      <w:pPr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ab/>
        <w:t>Cieľom predloženého návrhu zákona je zo zákona o vysokých školách vypustiť ustanovenie § 74 ods. 3, ktorý toto obmedzenie obsahuje.</w:t>
      </w:r>
    </w:p>
    <w:p>
      <w:pPr>
        <w:jc w:val="both"/>
        <w:rPr>
          <w:rFonts w:ascii="Times New Roman" w:hAnsi="Times New Roman" w:cs="Times New Roman"/>
          <w:color w:val="000000"/>
          <w:szCs w:val="20"/>
        </w:rPr>
      </w:pPr>
    </w:p>
    <w:p>
      <w:pPr>
        <w:pStyle w:val="BodyTextIndent"/>
        <w:ind w:left="0" w:firstLine="708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Predložený návrh zákona nebude mať vplyv na štátny rozpočet, ani na rozpočty obcí a vyšších územných celkov. Predložený návrh zákona nebude zvyšovať nároky na pracovné zabezpečenie. Predložený návrh zákona nebude mať vplyv na životné prostredie.</w:t>
      </w:r>
    </w:p>
    <w:p>
      <w:pPr>
        <w:pStyle w:val="BodyTextIndent"/>
        <w:ind w:left="0" w:firstLine="708"/>
        <w:rPr>
          <w:rFonts w:ascii="Times New Roman" w:hAnsi="Times New Roman" w:cs="Times New Roman"/>
          <w:color w:val="000000"/>
          <w:szCs w:val="20"/>
        </w:rPr>
      </w:pPr>
    </w:p>
    <w:p>
      <w:pPr>
        <w:pStyle w:val="BodyTextIndent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0"/>
        </w:rPr>
        <w:t>Predložený návrh zákona je v súlade s Ústavou Slovenskej republiky a s medzinárodnými zmluvami, ktorými je Slovenská republika viazaná.</w:t>
      </w: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</w:t>
      </w:r>
      <w:r>
        <w:rPr>
          <w:rFonts w:ascii="Times New Roman" w:hAnsi="Times New Roman" w:cs="Times New Roman"/>
          <w:b/>
          <w:bCs/>
        </w:rPr>
        <w:t>rhu zákona s právom Európskej únie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1"/>
        </w:numPr>
        <w:tabs>
          <w:tab w:val="left" w:pos="720"/>
        </w:tabs>
        <w:ind w:left="2880" w:hanging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Navrhovateľ zákona: poslanci Národnej rady Slovenskej republiky Jirko Malchárek a Beáta Brestenská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návrhu zákona: Zákon, ktorým sa mení zákon č. 131/2002 Z.z. o vysokých školách a o zmene a doplnení niektorých zákonov v znení neskorších predpisov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práve Európskej únie je problematika návrhu zákona: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neupravená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svojou problematikou: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nepatrí medzi prioritné oblasti aproximácie práva uvedené v čl. 70 Európskej dohody o pridružení a svojou problematikou nepatrí ani medzi priority odporúčané v Bielej knihe.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Charakteristika právnych noriem Európskej únie, ktorými je upravená problematika návrhu zákona: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Vyjadrenie stupňa kompatibility s právnou normou Európskej únie: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bezpredmet</w:t>
      </w:r>
      <w:r>
        <w:rPr>
          <w:rFonts w:ascii="Times New Roman" w:hAnsi="Times New Roman" w:cs="Times New Roman"/>
        </w:rPr>
        <w:t>né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pStyle w:val="Heading1"/>
        <w:ind w:left="0"/>
        <w:rPr>
          <w:rFonts w:ascii="Times New Roman" w:hAnsi="Times New Roman" w:cs="Times New Roman"/>
        </w:rPr>
      </w:pPr>
    </w:p>
    <w:p>
      <w:pPr>
        <w:pStyle w:val="Heading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Osobitná časť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súlade so všeobecnou časťou dôvodovej správy odporúčame z vysokoškolského zákona vypustiť ustanovenie § 74 ods. 3. Toto ustanovenie obmedzuje týždenný pracovný čas zamestnancov vysokoškolských učiteľov, výskumných pracovníkov, umeleckých pracovníkov a ostatných zamestnancov vysokých škôl na 58 hodín týždenne, aj keď pracujú pre viacerých zamestnávateľov.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Navrhujeme účinnosť zákona od 1. augusta 2004.</w:t>
      </w: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32BF3"/>
    <w:multiLevelType w:val="hybridMultilevel"/>
    <w:tmpl w:val="A67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ind w:left="36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546</Words>
  <Characters>3114</Characters>
  <Application>Microsoft Office Word</Application>
  <DocSecurity>0</DocSecurity>
  <Lines>0</Lines>
  <Paragraphs>0</Paragraphs>
  <ScaleCrop>false</ScaleCrop>
  <Company>MH SR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 s p r á v a</dc:title>
  <dc:creator>Balog</dc:creator>
  <cp:lastModifiedBy>Balog</cp:lastModifiedBy>
  <cp:revision>7</cp:revision>
  <cp:lastPrinted>2004-05-27T04:55:00Z</cp:lastPrinted>
  <dcterms:created xsi:type="dcterms:W3CDTF">2004-05-11T07:39:00Z</dcterms:created>
  <dcterms:modified xsi:type="dcterms:W3CDTF">2004-05-27T04:55:00Z</dcterms:modified>
</cp:coreProperties>
</file>