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pStyle w:val="Title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Poslanci </w:t>
      </w:r>
    </w:p>
    <w:p>
      <w:pPr>
        <w:pStyle w:val="Title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Národnej rady Slovenskej republiky</w:t>
      </w:r>
    </w:p>
    <w:p>
      <w:pPr>
        <w:pStyle w:val="Title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Igor Šulaj</w:t>
      </w:r>
    </w:p>
    <w:p>
      <w:pPr>
        <w:pStyle w:val="Title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Róbert Fico</w:t>
      </w:r>
    </w:p>
    <w:p>
      <w:pPr>
        <w:pStyle w:val="Title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Pavol Paška</w:t>
      </w:r>
    </w:p>
    <w:p>
      <w:pPr>
        <w:pStyle w:val="Title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Jozef Burian</w:t>
      </w:r>
    </w:p>
    <w:p>
      <w:pPr>
        <w:pStyle w:val="Title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Jozef Buček</w:t>
      </w:r>
    </w:p>
    <w:p>
      <w:pPr>
        <w:pStyle w:val="Title"/>
        <w:jc w:val="left"/>
        <w:rPr>
          <w:rFonts w:ascii="Times New Roman" w:hAnsi="Times New Roman" w:cs="Times New Roman"/>
          <w:sz w:val="22"/>
          <w:szCs w:val="22"/>
        </w:rPr>
      </w:pPr>
    </w:p>
    <w:p>
      <w:pPr>
        <w:pStyle w:val="Title"/>
        <w:jc w:val="left"/>
        <w:rPr>
          <w:rFonts w:ascii="Times New Roman" w:hAnsi="Times New Roman" w:cs="Times New Roman"/>
          <w:sz w:val="22"/>
          <w:szCs w:val="22"/>
        </w:rPr>
      </w:pPr>
    </w:p>
    <w:p>
      <w:pPr>
        <w:pStyle w:val="Title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>
      <w:pPr>
        <w:pStyle w:val="Title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Bratislava 25. 5. 2004</w:t>
      </w:r>
    </w:p>
    <w:p>
      <w:pPr>
        <w:pStyle w:val="Title"/>
        <w:jc w:val="left"/>
        <w:rPr>
          <w:rFonts w:ascii="Times New Roman" w:hAnsi="Times New Roman" w:cs="Times New Roman"/>
          <w:sz w:val="22"/>
          <w:szCs w:val="22"/>
        </w:rPr>
      </w:pPr>
    </w:p>
    <w:p>
      <w:pPr>
        <w:pStyle w:val="Title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Vážený pán predseda, </w:t>
      </w:r>
    </w:p>
    <w:p>
      <w:pPr>
        <w:pStyle w:val="Title"/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spacing w:before="120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Podľa zákona Národnej rady Slovenskej republiky č. 350/1996   Z. z. o rokovacom poriadku Náro</w:t>
      </w:r>
      <w:r>
        <w:rPr>
          <w:rFonts w:ascii="Times New Roman" w:hAnsi="Times New Roman" w:cs="Times New Roman"/>
          <w:sz w:val="22"/>
          <w:szCs w:val="22"/>
        </w:rPr>
        <w:t>d</w:t>
      </w:r>
      <w:r>
        <w:rPr>
          <w:rFonts w:ascii="Times New Roman" w:hAnsi="Times New Roman" w:cs="Times New Roman"/>
          <w:sz w:val="22"/>
          <w:szCs w:val="22"/>
        </w:rPr>
        <w:t>nej rady Slovenskej republiky v znení neskorších predpisov dovoľujem si Vám za skupinu poslancov N</w:t>
      </w:r>
      <w:r>
        <w:rPr>
          <w:rFonts w:ascii="Times New Roman" w:hAnsi="Times New Roman" w:cs="Times New Roman"/>
          <w:sz w:val="22"/>
          <w:szCs w:val="22"/>
        </w:rPr>
        <w:t>á</w:t>
      </w:r>
      <w:r>
        <w:rPr>
          <w:rFonts w:ascii="Times New Roman" w:hAnsi="Times New Roman" w:cs="Times New Roman"/>
          <w:sz w:val="22"/>
          <w:szCs w:val="22"/>
        </w:rPr>
        <w:t>rodnej rady Slovenskej republiky predložiť návrh zákona, ktorým sa mení   zákon Národnej rady Slovenskej republiky č.  98/2004 Z. z. o spotrebnej dani z minerálneho oleja v znení nesko</w:t>
      </w:r>
      <w:r>
        <w:rPr>
          <w:rFonts w:ascii="Times New Roman" w:hAnsi="Times New Roman" w:cs="Times New Roman"/>
          <w:sz w:val="22"/>
          <w:szCs w:val="22"/>
        </w:rPr>
        <w:t>r</w:t>
      </w:r>
      <w:r>
        <w:rPr>
          <w:rFonts w:ascii="Times New Roman" w:hAnsi="Times New Roman" w:cs="Times New Roman"/>
          <w:sz w:val="22"/>
          <w:szCs w:val="22"/>
        </w:rPr>
        <w:t>ších predp</w:t>
      </w:r>
      <w:r>
        <w:rPr>
          <w:rFonts w:ascii="Times New Roman" w:hAnsi="Times New Roman" w:cs="Times New Roman"/>
          <w:sz w:val="22"/>
          <w:szCs w:val="22"/>
        </w:rPr>
        <w:t>i</w:t>
      </w:r>
      <w:r>
        <w:rPr>
          <w:rFonts w:ascii="Times New Roman" w:hAnsi="Times New Roman" w:cs="Times New Roman"/>
          <w:sz w:val="22"/>
          <w:szCs w:val="22"/>
        </w:rPr>
        <w:t>sov. Zároveň Vás žiadam o stiahnutie pôvodného návrhu k uvedenému zákonu, ktorý bol skupinou poslancov podaná  dňa 21. 5.</w:t>
      </w:r>
      <w:r>
        <w:rPr>
          <w:rFonts w:ascii="Times New Roman" w:hAnsi="Times New Roman" w:cs="Times New Roman"/>
          <w:sz w:val="22"/>
          <w:szCs w:val="22"/>
        </w:rPr>
        <w:t xml:space="preserve"> 2004.</w:t>
      </w:r>
    </w:p>
    <w:p>
      <w:pPr>
        <w:spacing w:before="120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>
      <w:pPr>
        <w:spacing w:before="120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Poslanecký návrh zákona vo výboroch uvedú navrhovatelia a na schôdzi Národnej rady Slovenskej republiky za skupinu poslancov uvedie Igor Šulaj</w:t>
      </w:r>
    </w:p>
    <w:p>
      <w:pPr>
        <w:spacing w:before="120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>
      <w:pPr>
        <w:spacing w:before="120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S pozdravom</w:t>
      </w:r>
    </w:p>
    <w:p>
      <w:pPr>
        <w:spacing w:before="120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>
      <w:pPr>
        <w:spacing w:before="120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>
      <w:pPr>
        <w:spacing w:before="120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>
      <w:pPr>
        <w:spacing w:before="120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>
      <w:pPr>
        <w:spacing w:before="120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>
      <w:pPr>
        <w:spacing w:before="120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>
      <w:pPr>
        <w:spacing w:before="120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>
      <w:pPr>
        <w:spacing w:before="120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>
      <w:pPr>
        <w:spacing w:before="120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>
      <w:pPr>
        <w:spacing w:before="120"/>
        <w:jc w:val="both"/>
        <w:outlineLvl w:val="0"/>
        <w:rPr>
          <w:rFonts w:ascii="Times New Roman" w:hAnsi="Times New Roman" w:cs="Times New Roman"/>
          <w:b/>
          <w:sz w:val="22"/>
          <w:szCs w:val="22"/>
        </w:rPr>
      </w:pPr>
    </w:p>
    <w:p>
      <w:pPr>
        <w:spacing w:before="120"/>
        <w:jc w:val="both"/>
        <w:outlineLvl w:val="0"/>
        <w:rPr>
          <w:rFonts w:ascii="Times New Roman" w:hAnsi="Times New Roman" w:cs="Times New Roman"/>
          <w:b/>
          <w:sz w:val="22"/>
          <w:szCs w:val="22"/>
        </w:rPr>
      </w:pPr>
    </w:p>
    <w:p>
      <w:pPr>
        <w:spacing w:before="120"/>
        <w:jc w:val="both"/>
        <w:outlineLvl w:val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Vážený pán</w:t>
      </w:r>
    </w:p>
    <w:p>
      <w:pPr>
        <w:spacing w:before="120"/>
        <w:jc w:val="both"/>
        <w:outlineLvl w:val="0"/>
        <w:rPr>
          <w:rFonts w:ascii="Times New Roman" w:hAnsi="Times New Roman" w:cs="Times New Roman"/>
          <w:b/>
          <w:sz w:val="22"/>
          <w:szCs w:val="22"/>
        </w:rPr>
      </w:pPr>
    </w:p>
    <w:p>
      <w:pPr>
        <w:spacing w:before="120"/>
        <w:jc w:val="both"/>
        <w:outlineLvl w:val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Pavol Hrušovský</w:t>
      </w:r>
    </w:p>
    <w:p>
      <w:pPr>
        <w:spacing w:before="120"/>
        <w:jc w:val="both"/>
        <w:outlineLvl w:val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Predseda Národnej rady</w:t>
      </w:r>
    </w:p>
    <w:p>
      <w:pPr>
        <w:spacing w:before="120"/>
        <w:jc w:val="both"/>
        <w:outlineLvl w:val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Slovenskej republiky</w:t>
      </w:r>
    </w:p>
    <w:p>
      <w:pPr>
        <w:spacing w:before="120"/>
        <w:jc w:val="both"/>
        <w:outlineLvl w:val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Brati</w:t>
      </w:r>
      <w:r>
        <w:rPr>
          <w:rFonts w:ascii="Times New Roman" w:hAnsi="Times New Roman" w:cs="Times New Roman"/>
          <w:b/>
          <w:sz w:val="22"/>
          <w:szCs w:val="22"/>
        </w:rPr>
        <w:t>slava</w:t>
      </w:r>
    </w:p>
    <w:p>
      <w:pPr>
        <w:pStyle w:val="BodyText"/>
        <w:rPr>
          <w:rFonts w:ascii="Times New Roman" w:hAnsi="Times New Roman" w:cs="Times New Roman"/>
        </w:rPr>
      </w:pPr>
    </w:p>
    <w:p>
      <w:pPr>
        <w:pStyle w:val="BodyText"/>
        <w:rPr>
          <w:rFonts w:ascii="Times New Roman" w:hAnsi="Times New Roman" w:cs="Times New Roman"/>
        </w:rPr>
      </w:pPr>
    </w:p>
    <w:p>
      <w:pPr>
        <w:pStyle w:val="BodyText"/>
        <w:pBdr>
          <w:bottom w:val="single" w:sz="12" w:space="1" w:color="auto"/>
        </w:pBdr>
        <w:jc w:val="center"/>
        <w:rPr>
          <w:rFonts w:ascii="Bookman Old Style" w:hAnsi="Bookman Old Style" w:cs="Times New Roman"/>
          <w:b/>
          <w:bCs/>
        </w:rPr>
      </w:pPr>
      <w:r>
        <w:rPr>
          <w:rFonts w:ascii="Bookman Old Style" w:hAnsi="Bookman Old Style" w:cs="Times New Roman"/>
          <w:b/>
          <w:bCs/>
        </w:rPr>
        <w:t>N Á R O D N Á   R A D A   S L O V E N S K E J   R E P U B L I K Y</w:t>
      </w:r>
    </w:p>
    <w:p>
      <w:pPr>
        <w:pStyle w:val="BodyText"/>
        <w:jc w:val="center"/>
        <w:rPr>
          <w:rFonts w:ascii="Bookman Old Style" w:hAnsi="Bookman Old Style" w:cs="Times New Roman"/>
          <w:b/>
          <w:bCs/>
        </w:rPr>
      </w:pPr>
    </w:p>
    <w:p>
      <w:pPr>
        <w:pStyle w:val="BodyText"/>
        <w:jc w:val="center"/>
        <w:rPr>
          <w:rFonts w:ascii="Bookman Old Style" w:hAnsi="Bookman Old Style" w:cs="Times New Roman"/>
          <w:b/>
          <w:bCs/>
        </w:rPr>
      </w:pPr>
    </w:p>
    <w:p>
      <w:pPr>
        <w:pStyle w:val="BodyText"/>
        <w:jc w:val="center"/>
        <w:rPr>
          <w:rFonts w:ascii="Bookman Old Style" w:hAnsi="Bookman Old Style" w:cs="Times New Roman"/>
          <w:b/>
          <w:bCs/>
        </w:rPr>
      </w:pPr>
      <w:r>
        <w:rPr>
          <w:rFonts w:ascii="Bookman Old Style" w:hAnsi="Bookman Old Style" w:cs="Times New Roman"/>
          <w:b/>
          <w:bCs/>
        </w:rPr>
        <w:t>III. volebné obdobie</w:t>
      </w:r>
    </w:p>
    <w:p>
      <w:pPr>
        <w:pStyle w:val="BodyText"/>
        <w:jc w:val="center"/>
        <w:rPr>
          <w:rFonts w:ascii="Bookman Old Style" w:hAnsi="Bookman Old Style" w:cs="Times New Roman"/>
          <w:b/>
          <w:bCs/>
        </w:rPr>
      </w:pPr>
    </w:p>
    <w:p>
      <w:pPr>
        <w:pStyle w:val="BodyText"/>
        <w:jc w:val="center"/>
        <w:rPr>
          <w:rFonts w:ascii="Bookman Old Style" w:hAnsi="Bookman Old Style" w:cs="Times New Roman"/>
          <w:b/>
          <w:bCs/>
        </w:rPr>
      </w:pPr>
    </w:p>
    <w:p>
      <w:pPr>
        <w:pStyle w:val="BodyText"/>
        <w:jc w:val="center"/>
        <w:rPr>
          <w:rFonts w:ascii="Bookman Old Style" w:hAnsi="Bookman Old Style" w:cs="Times New Roman"/>
          <w:b/>
          <w:bCs/>
        </w:rPr>
      </w:pPr>
    </w:p>
    <w:p>
      <w:pPr>
        <w:pStyle w:val="BodyText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Na rokovanie</w:t>
        <w:tab/>
        <w:tab/>
        <w:tab/>
        <w:tab/>
        <w:tab/>
        <w:tab/>
        <w:tab/>
        <w:t>Číslo:</w:t>
      </w:r>
    </w:p>
    <w:p>
      <w:pPr>
        <w:pStyle w:val="BodyText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Národnej rady</w:t>
      </w:r>
    </w:p>
    <w:p>
      <w:pPr>
        <w:pStyle w:val="BodyText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Slovenskej republiky</w:t>
      </w:r>
    </w:p>
    <w:p>
      <w:pPr>
        <w:pStyle w:val="BodyText"/>
        <w:rPr>
          <w:rFonts w:ascii="Bookman Old Style" w:hAnsi="Bookman Old Style" w:cs="Times New Roman"/>
        </w:rPr>
      </w:pPr>
    </w:p>
    <w:p>
      <w:pPr>
        <w:pStyle w:val="BodyText"/>
        <w:rPr>
          <w:rFonts w:ascii="Bookman Old Style" w:hAnsi="Bookman Old Style" w:cs="Times New Roman"/>
        </w:rPr>
      </w:pPr>
    </w:p>
    <w:p>
      <w:pPr>
        <w:pStyle w:val="BodyText"/>
        <w:rPr>
          <w:rFonts w:ascii="Bookman Old Style" w:hAnsi="Bookman Old Style" w:cs="Times New Roman"/>
        </w:rPr>
      </w:pPr>
    </w:p>
    <w:p>
      <w:pPr>
        <w:pStyle w:val="BodyText"/>
        <w:rPr>
          <w:rFonts w:ascii="Bookman Old Style" w:hAnsi="Bookman Old Style" w:cs="Times New Roman"/>
        </w:rPr>
      </w:pPr>
    </w:p>
    <w:p>
      <w:pPr>
        <w:pStyle w:val="BodyText"/>
        <w:rPr>
          <w:rFonts w:ascii="Bookman Old Style" w:hAnsi="Bookman Old Style" w:cs="Times New Roman"/>
        </w:rPr>
      </w:pPr>
    </w:p>
    <w:p>
      <w:pPr>
        <w:pStyle w:val="BodyText"/>
        <w:rPr>
          <w:rFonts w:ascii="Bookman Old Style" w:hAnsi="Bookman Old Style" w:cs="Times New Roman"/>
        </w:rPr>
      </w:pPr>
    </w:p>
    <w:p>
      <w:pPr>
        <w:pStyle w:val="BodyText"/>
        <w:jc w:val="center"/>
        <w:rPr>
          <w:rFonts w:ascii="Bookman Old Style" w:hAnsi="Bookman Old Style" w:cs="Times New Roman"/>
          <w:b/>
          <w:bCs/>
        </w:rPr>
      </w:pPr>
      <w:r>
        <w:rPr>
          <w:rFonts w:ascii="Bookman Old Style" w:hAnsi="Bookman Old Style" w:cs="Times New Roman"/>
          <w:b/>
          <w:bCs/>
        </w:rPr>
        <w:t>N á v r h</w:t>
      </w:r>
    </w:p>
    <w:p>
      <w:pPr>
        <w:pStyle w:val="BodyText"/>
        <w:jc w:val="center"/>
        <w:rPr>
          <w:rFonts w:ascii="Bookman Old Style" w:hAnsi="Bookman Old Style" w:cs="Times New Roman"/>
          <w:b/>
          <w:bCs/>
        </w:rPr>
      </w:pPr>
    </w:p>
    <w:p>
      <w:pPr>
        <w:pStyle w:val="BodyText"/>
        <w:jc w:val="center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skupiny poslancov Národnej rady Slovenskej republiky</w:t>
      </w:r>
    </w:p>
    <w:p>
      <w:pPr>
        <w:pStyle w:val="BodyText"/>
        <w:jc w:val="center"/>
        <w:rPr>
          <w:rFonts w:ascii="Bookman Old Style" w:hAnsi="Bookman Old Style" w:cs="Times New Roman"/>
        </w:rPr>
      </w:pPr>
    </w:p>
    <w:p>
      <w:pPr>
        <w:pStyle w:val="BodyText"/>
        <w:jc w:val="center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n a    v y d a n i e</w:t>
      </w:r>
    </w:p>
    <w:p>
      <w:pPr>
        <w:pStyle w:val="BodyText"/>
        <w:jc w:val="center"/>
        <w:rPr>
          <w:rFonts w:ascii="Bookman Old Style" w:hAnsi="Bookman Old Style" w:cs="Times New Roman"/>
        </w:rPr>
      </w:pPr>
    </w:p>
    <w:p>
      <w:pPr>
        <w:pStyle w:val="BodyText"/>
        <w:pBdr>
          <w:bottom w:val="single" w:sz="12" w:space="1" w:color="auto"/>
        </w:pBdr>
        <w:jc w:val="center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zákona, ktorým sa mení zákon č. 98/2004 Z. z. o spotrebnej dani z minerálneho oleja</w:t>
      </w:r>
    </w:p>
    <w:p>
      <w:pPr>
        <w:pStyle w:val="BodyText"/>
        <w:jc w:val="center"/>
        <w:rPr>
          <w:rFonts w:ascii="Bookman Old Style" w:hAnsi="Bookman Old Style" w:cs="Times New Roman"/>
        </w:rPr>
      </w:pPr>
    </w:p>
    <w:p>
      <w:pPr>
        <w:pStyle w:val="BodyText"/>
        <w:jc w:val="center"/>
        <w:rPr>
          <w:rFonts w:ascii="Bookman Old Style" w:hAnsi="Bookman Old Style" w:cs="Times New Roman"/>
        </w:rPr>
      </w:pPr>
    </w:p>
    <w:p>
      <w:pPr>
        <w:pStyle w:val="BodyText"/>
        <w:jc w:val="center"/>
        <w:rPr>
          <w:rFonts w:ascii="Bookman Old Style" w:hAnsi="Bookman Old Style" w:cs="Times New Roman"/>
        </w:rPr>
      </w:pPr>
    </w:p>
    <w:p>
      <w:pPr>
        <w:pStyle w:val="BodyText"/>
        <w:rPr>
          <w:rFonts w:ascii="Bookman Old Style" w:hAnsi="Bookman Old Style" w:cs="Times New Roman"/>
          <w:u w:val="single"/>
        </w:rPr>
      </w:pPr>
      <w:r>
        <w:rPr>
          <w:rFonts w:ascii="Bookman Old Style" w:hAnsi="Bookman Old Style" w:cs="Times New Roman"/>
          <w:u w:val="single"/>
        </w:rPr>
        <w:t>Návrh uznesenia:</w:t>
      </w:r>
    </w:p>
    <w:p>
      <w:pPr>
        <w:pStyle w:val="BodyText"/>
        <w:jc w:val="left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Národná   rada   Slovenskej   republiky    s c h v a ľ u j e   návrh   skupiny poslancov Národnej rady Slovenskej republiky  na vydanie zákona, ktorým sa mení zákon č. 98/2004 Z. z. o spotrebnej dani z minerálneho oleja</w:t>
      </w:r>
    </w:p>
    <w:p>
      <w:pPr>
        <w:pStyle w:val="BodyText"/>
        <w:rPr>
          <w:rFonts w:ascii="Bookman Old Style" w:hAnsi="Bookman Old Style" w:cs="Times New Roman"/>
        </w:rPr>
      </w:pPr>
    </w:p>
    <w:p>
      <w:pPr>
        <w:pStyle w:val="BodyText"/>
        <w:rPr>
          <w:rFonts w:ascii="Bookman Old Style" w:hAnsi="Bookman Old Style" w:cs="Times New Roman"/>
        </w:rPr>
      </w:pPr>
    </w:p>
    <w:p>
      <w:pPr>
        <w:pStyle w:val="BodyText"/>
        <w:rPr>
          <w:rFonts w:ascii="Bookman Old Style" w:hAnsi="Bookman Old Style" w:cs="Times New Roman"/>
        </w:rPr>
      </w:pPr>
    </w:p>
    <w:p>
      <w:pPr>
        <w:pStyle w:val="BodyText"/>
        <w:rPr>
          <w:rFonts w:ascii="Bookman Old Style" w:hAnsi="Bookman Old Style" w:cs="Times New Roman"/>
          <w:u w:val="single"/>
        </w:rPr>
      </w:pPr>
      <w:r>
        <w:rPr>
          <w:rFonts w:ascii="Bookman Old Style" w:hAnsi="Bookman Old Style" w:cs="Times New Roman"/>
          <w:u w:val="single"/>
        </w:rPr>
        <w:t>Predkladajú:</w:t>
      </w:r>
    </w:p>
    <w:p>
      <w:pPr>
        <w:pStyle w:val="BodyText"/>
        <w:rPr>
          <w:rFonts w:ascii="Bookman Old Style" w:hAnsi="Bookman Old Style" w:cs="Times New Roman"/>
          <w:u w:val="single"/>
        </w:rPr>
      </w:pPr>
    </w:p>
    <w:p>
      <w:pPr>
        <w:pStyle w:val="BodyText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Igor Šulaj</w:t>
      </w:r>
    </w:p>
    <w:p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                        ...........................................................</w:t>
      </w:r>
    </w:p>
    <w:p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Róbert Fic</w:t>
      </w:r>
      <w:r>
        <w:rPr>
          <w:rFonts w:ascii="Times New Roman" w:hAnsi="Times New Roman" w:cs="Times New Roman"/>
        </w:rPr>
        <w:t>o</w:t>
      </w:r>
    </w:p>
    <w:p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                        ...........................................................</w:t>
      </w:r>
    </w:p>
    <w:p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Pavol Paška </w:t>
      </w:r>
    </w:p>
    <w:p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                        ...........................................................</w:t>
      </w:r>
    </w:p>
    <w:p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Jozef Burian</w:t>
      </w:r>
    </w:p>
    <w:p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                        ...........................................................</w:t>
      </w:r>
    </w:p>
    <w:p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Jozef Buček</w:t>
      </w:r>
    </w:p>
    <w:p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                        ...........................................................</w:t>
      </w:r>
    </w:p>
    <w:p>
      <w:pPr>
        <w:pStyle w:val="BodyText"/>
        <w:rPr>
          <w:rFonts w:ascii="Times New Roman" w:hAnsi="Times New Roman" w:cs="Times New Roman"/>
        </w:rPr>
      </w:pPr>
    </w:p>
    <w:p>
      <w:pPr>
        <w:pStyle w:val="BodyTex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Bratislava máj 2004</w:t>
      </w:r>
    </w:p>
    <w:p>
      <w:pPr>
        <w:pStyle w:val="BodyText"/>
        <w:rPr>
          <w:rFonts w:ascii="Times New Roman" w:hAnsi="Times New Roman" w:cs="Times New Roman"/>
        </w:rPr>
      </w:pPr>
    </w:p>
    <w:p>
      <w:pPr>
        <w:pStyle w:val="BodyText"/>
        <w:rPr>
          <w:rFonts w:ascii="Times New Roman" w:hAnsi="Times New Roman" w:cs="Times New Roman"/>
        </w:rPr>
      </w:pPr>
    </w:p>
    <w:p>
      <w:pPr>
        <w:pStyle w:val="BodyText"/>
        <w:pBdr>
          <w:bottom w:val="single" w:sz="12" w:space="1" w:color="auto"/>
        </w:pBdr>
        <w:jc w:val="center"/>
        <w:rPr>
          <w:rFonts w:ascii="Bookman Old Style" w:hAnsi="Bookman Old Style" w:cs="Times New Roman"/>
          <w:b/>
          <w:bCs/>
        </w:rPr>
      </w:pPr>
      <w:r>
        <w:rPr>
          <w:rFonts w:ascii="Bookman Old Style" w:hAnsi="Bookman Old Style" w:cs="Times New Roman"/>
          <w:b/>
          <w:bCs/>
        </w:rPr>
        <w:t>N Á R O D N Á   R A D A   S L O V E N S K E J   R E P U B L I K Y</w:t>
      </w:r>
    </w:p>
    <w:p>
      <w:pPr>
        <w:pStyle w:val="BodyText"/>
        <w:jc w:val="center"/>
        <w:rPr>
          <w:rFonts w:ascii="Bookman Old Style" w:hAnsi="Bookman Old Style" w:cs="Times New Roman"/>
          <w:b/>
          <w:bCs/>
        </w:rPr>
      </w:pPr>
    </w:p>
    <w:p>
      <w:pPr>
        <w:pStyle w:val="BodyText"/>
        <w:jc w:val="center"/>
        <w:rPr>
          <w:rFonts w:ascii="Bookman Old Style" w:hAnsi="Bookman Old Style" w:cs="Times New Roman"/>
          <w:b/>
          <w:bCs/>
        </w:rPr>
      </w:pPr>
    </w:p>
    <w:p>
      <w:pPr>
        <w:pStyle w:val="BodyText"/>
        <w:jc w:val="center"/>
        <w:rPr>
          <w:rFonts w:ascii="Bookman Old Style" w:hAnsi="Bookman Old Style" w:cs="Times New Roman"/>
          <w:b/>
          <w:bCs/>
        </w:rPr>
      </w:pPr>
      <w:r>
        <w:rPr>
          <w:rFonts w:ascii="Bookman Old Style" w:hAnsi="Bookman Old Style" w:cs="Times New Roman"/>
          <w:b/>
          <w:bCs/>
        </w:rPr>
        <w:t>I</w:t>
      </w:r>
      <w:r>
        <w:rPr>
          <w:rFonts w:ascii="Bookman Old Style" w:hAnsi="Bookman Old Style" w:cs="Times New Roman"/>
          <w:b/>
          <w:bCs/>
        </w:rPr>
        <w:t>II. volebné obdobie</w:t>
      </w:r>
    </w:p>
    <w:p>
      <w:pPr>
        <w:pStyle w:val="BodyText"/>
        <w:jc w:val="center"/>
        <w:rPr>
          <w:rFonts w:ascii="Bookman Old Style" w:hAnsi="Bookman Old Style" w:cs="Times New Roman"/>
          <w:b/>
          <w:bCs/>
        </w:rPr>
      </w:pPr>
    </w:p>
    <w:p>
      <w:pPr>
        <w:pStyle w:val="BodyText"/>
        <w:jc w:val="center"/>
        <w:rPr>
          <w:rFonts w:ascii="Bookman Old Style" w:hAnsi="Bookman Old Style" w:cs="Times New Roman"/>
          <w:b/>
          <w:bCs/>
        </w:rPr>
      </w:pPr>
    </w:p>
    <w:p>
      <w:pPr>
        <w:pStyle w:val="BodyText"/>
        <w:jc w:val="center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N á v r h</w:t>
      </w:r>
    </w:p>
    <w:p>
      <w:pPr>
        <w:pStyle w:val="BodyText"/>
        <w:jc w:val="center"/>
        <w:rPr>
          <w:rFonts w:ascii="Bookman Old Style" w:hAnsi="Bookman Old Style" w:cs="Times New Roman"/>
        </w:rPr>
      </w:pPr>
    </w:p>
    <w:p>
      <w:pPr>
        <w:pStyle w:val="BodyText"/>
        <w:jc w:val="center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Z á k o n</w:t>
      </w:r>
    </w:p>
    <w:p>
      <w:pPr>
        <w:pStyle w:val="BodyText"/>
        <w:jc w:val="center"/>
        <w:rPr>
          <w:rFonts w:ascii="Bookman Old Style" w:hAnsi="Bookman Old Style" w:cs="Times New Roman"/>
        </w:rPr>
      </w:pPr>
    </w:p>
    <w:p>
      <w:pPr>
        <w:pStyle w:val="BodyText"/>
        <w:jc w:val="center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z .......................</w:t>
      </w:r>
    </w:p>
    <w:p>
      <w:pPr>
        <w:pStyle w:val="BodyText"/>
        <w:jc w:val="center"/>
        <w:rPr>
          <w:rFonts w:ascii="Bookman Old Style" w:hAnsi="Bookman Old Style" w:cs="Times New Roman"/>
        </w:rPr>
      </w:pPr>
    </w:p>
    <w:p>
      <w:pPr>
        <w:pStyle w:val="BodyText"/>
        <w:jc w:val="center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ktorým sa mení zákon č. 98/2004 Z. z. o spotrebnej dani z minerálneho oleja</w:t>
      </w:r>
    </w:p>
    <w:p>
      <w:pPr>
        <w:pStyle w:val="BodyText"/>
        <w:jc w:val="center"/>
        <w:rPr>
          <w:rFonts w:ascii="Bookman Old Style" w:hAnsi="Bookman Old Style" w:cs="Times New Roman"/>
        </w:rPr>
      </w:pPr>
    </w:p>
    <w:p>
      <w:pPr>
        <w:pStyle w:val="BodyText"/>
        <w:jc w:val="center"/>
        <w:rPr>
          <w:rFonts w:ascii="Bookman Old Style" w:hAnsi="Bookman Old Style" w:cs="Times New Roman"/>
        </w:rPr>
      </w:pPr>
    </w:p>
    <w:p>
      <w:pPr>
        <w:pStyle w:val="BodyText"/>
        <w:jc w:val="center"/>
        <w:rPr>
          <w:rFonts w:ascii="Bookman Old Style" w:hAnsi="Bookman Old Style" w:cs="Times New Roman"/>
        </w:rPr>
      </w:pPr>
    </w:p>
    <w:p>
      <w:pPr>
        <w:pStyle w:val="BodyText"/>
        <w:jc w:val="center"/>
        <w:rPr>
          <w:rFonts w:ascii="Bookman Old Style" w:hAnsi="Bookman Old Style" w:cs="Times New Roman"/>
        </w:rPr>
      </w:pPr>
    </w:p>
    <w:p>
      <w:pPr>
        <w:pStyle w:val="BodyText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ab/>
        <w:t>Národná rada Slovenskej republiky sa uzniesla na tomto zákone:</w:t>
        <w:tab/>
      </w:r>
    </w:p>
    <w:p>
      <w:pPr>
        <w:pStyle w:val="BodyText"/>
        <w:rPr>
          <w:rFonts w:ascii="Bookman Old Style" w:hAnsi="Bookman Old Style" w:cs="Times New Roman"/>
        </w:rPr>
      </w:pPr>
    </w:p>
    <w:p>
      <w:pPr>
        <w:pStyle w:val="BodyText"/>
        <w:rPr>
          <w:rFonts w:ascii="Bookman Old Style" w:hAnsi="Bookman Old Style" w:cs="Times New Roman"/>
        </w:rPr>
      </w:pPr>
    </w:p>
    <w:p>
      <w:pPr>
        <w:pStyle w:val="BodyText"/>
        <w:jc w:val="center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Čl. I</w:t>
      </w:r>
    </w:p>
    <w:p>
      <w:pPr>
        <w:pStyle w:val="BodyText"/>
        <w:jc w:val="center"/>
        <w:rPr>
          <w:rFonts w:ascii="Bookman Old Style" w:hAnsi="Bookman Old Style" w:cs="Times New Roman"/>
        </w:rPr>
      </w:pPr>
    </w:p>
    <w:p>
      <w:pPr>
        <w:pStyle w:val="BodyText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ab/>
        <w:t>Zákon č. 98/2004 Z. z. o spotr</w:t>
      </w:r>
      <w:r>
        <w:rPr>
          <w:rFonts w:ascii="Bookman Old Style" w:hAnsi="Bookman Old Style" w:cs="Times New Roman"/>
        </w:rPr>
        <w:t>ebnej dani z minerálneho oleja sa mení takto:</w:t>
      </w:r>
    </w:p>
    <w:p>
      <w:pPr>
        <w:pStyle w:val="BodyText"/>
        <w:rPr>
          <w:rFonts w:ascii="Bookman Old Style" w:hAnsi="Bookman Old Style" w:cs="Times New Roman"/>
        </w:rPr>
      </w:pPr>
    </w:p>
    <w:p>
      <w:pPr>
        <w:pStyle w:val="BodyText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ab/>
        <w:t xml:space="preserve">1. V § 6 ods. 1 písm. a) sa slová „15 500 Sk/1 000 l“ nahrádzajú slovami „14 660 Sk/1 000 l“, v písmene c) sa slová „14 500 Sk/1 000 l“ nahrádzajú slovami „12 820 Sk/1 000 l“ a v písmene d) sa slová „14 500 Sk/1 000 l“ nahrádzajú slovami „12 820 Sk/1 000 l“. </w:t>
      </w:r>
    </w:p>
    <w:p>
      <w:pPr>
        <w:pStyle w:val="BodyText"/>
        <w:rPr>
          <w:rFonts w:ascii="Bookman Old Style" w:hAnsi="Bookman Old Style" w:cs="Times New Roman"/>
        </w:rPr>
      </w:pPr>
    </w:p>
    <w:p>
      <w:pPr>
        <w:pStyle w:val="BodyText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ab/>
        <w:t xml:space="preserve">2. V § 7 ods. 1 sa slová „6 800 Sk/1 000 l“ nahrádzajú slovami „5 120 Sk/1 000 l“. </w:t>
      </w:r>
    </w:p>
    <w:p>
      <w:pPr>
        <w:pStyle w:val="BodyText"/>
        <w:rPr>
          <w:rFonts w:ascii="Bookman Old Style" w:hAnsi="Bookman Old Style" w:cs="Times New Roman"/>
        </w:rPr>
      </w:pPr>
    </w:p>
    <w:p>
      <w:pPr>
        <w:pStyle w:val="BodyText"/>
        <w:rPr>
          <w:rFonts w:ascii="Bookman Old Style" w:hAnsi="Bookman Old Style" w:cs="Times New Roman"/>
        </w:rPr>
      </w:pPr>
    </w:p>
    <w:p>
      <w:pPr>
        <w:pStyle w:val="BodyText"/>
        <w:jc w:val="center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Čl. II</w:t>
      </w:r>
    </w:p>
    <w:p>
      <w:pPr>
        <w:pStyle w:val="BodyText"/>
        <w:jc w:val="center"/>
        <w:rPr>
          <w:rFonts w:ascii="Bookman Old Style" w:hAnsi="Bookman Old Style" w:cs="Times New Roman"/>
        </w:rPr>
      </w:pPr>
    </w:p>
    <w:p>
      <w:pPr>
        <w:pStyle w:val="BodyText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ab/>
        <w:t xml:space="preserve">Tento zákon nadobúda účinnosť dňom vyhlásenia. </w:t>
      </w:r>
    </w:p>
    <w:p>
      <w:pPr>
        <w:pStyle w:val="BodyText"/>
        <w:rPr>
          <w:rFonts w:ascii="Bookman Old Style" w:hAnsi="Bookman Old Style" w:cs="Times New Roman"/>
        </w:rPr>
      </w:pPr>
    </w:p>
    <w:p>
      <w:pPr>
        <w:pStyle w:val="BodyText"/>
        <w:rPr>
          <w:rFonts w:ascii="Bookman Old Style" w:hAnsi="Bookman Old Style" w:cs="Times New Roman"/>
        </w:rPr>
      </w:pPr>
    </w:p>
    <w:p>
      <w:pPr>
        <w:pStyle w:val="BodyText"/>
        <w:rPr>
          <w:rFonts w:ascii="Bookman Old Style" w:hAnsi="Bookman Old Style" w:cs="Times New Roman"/>
        </w:rPr>
      </w:pPr>
    </w:p>
    <w:p>
      <w:pPr>
        <w:pStyle w:val="BodyText"/>
        <w:rPr>
          <w:rFonts w:ascii="Bookman Old Style" w:hAnsi="Bookman Old Style" w:cs="Times New Roman"/>
        </w:rPr>
      </w:pPr>
    </w:p>
    <w:p>
      <w:pPr>
        <w:pStyle w:val="BodyText"/>
        <w:rPr>
          <w:rFonts w:ascii="Bookman Old Style" w:hAnsi="Bookman Old Style" w:cs="Times New Roman"/>
        </w:rPr>
      </w:pPr>
    </w:p>
    <w:p>
      <w:pPr>
        <w:pStyle w:val="BodyText"/>
        <w:rPr>
          <w:rFonts w:ascii="Bookman Old Style" w:hAnsi="Bookman Old Style" w:cs="Times New Roman"/>
        </w:rPr>
      </w:pPr>
    </w:p>
    <w:p>
      <w:pPr>
        <w:pStyle w:val="BodyText"/>
        <w:rPr>
          <w:rFonts w:ascii="Bookman Old Style" w:hAnsi="Bookman Old Style" w:cs="Times New Roman"/>
        </w:rPr>
      </w:pPr>
    </w:p>
    <w:p>
      <w:pPr>
        <w:pStyle w:val="BodyText"/>
        <w:rPr>
          <w:rFonts w:ascii="Bookman Old Style" w:hAnsi="Bookman Old Style" w:cs="Times New Roman"/>
        </w:rPr>
      </w:pPr>
    </w:p>
    <w:p>
      <w:pPr>
        <w:pStyle w:val="BodyText"/>
        <w:rPr>
          <w:rFonts w:ascii="Bookman Old Style" w:hAnsi="Bookman Old Style" w:cs="Times New Roman"/>
        </w:rPr>
      </w:pPr>
    </w:p>
    <w:p>
      <w:pPr>
        <w:pStyle w:val="BodyText"/>
        <w:rPr>
          <w:rFonts w:ascii="Bookman Old Style" w:hAnsi="Bookman Old Style" w:cs="Times New Roman"/>
        </w:rPr>
      </w:pPr>
    </w:p>
    <w:p>
      <w:pPr>
        <w:pStyle w:val="BodyText"/>
        <w:rPr>
          <w:rFonts w:ascii="Bookman Old Style" w:hAnsi="Bookman Old Style" w:cs="Times New Roman"/>
        </w:rPr>
      </w:pPr>
    </w:p>
    <w:p>
      <w:pPr>
        <w:pStyle w:val="BodyText"/>
        <w:rPr>
          <w:rFonts w:ascii="Bookman Old Style" w:hAnsi="Bookman Old Style" w:cs="Times New Roman"/>
        </w:rPr>
      </w:pPr>
    </w:p>
    <w:p>
      <w:pPr>
        <w:pStyle w:val="BodyText"/>
        <w:jc w:val="center"/>
        <w:rPr>
          <w:rFonts w:ascii="Bookman Old Style" w:hAnsi="Bookman Old Style" w:cs="Times New Roman"/>
          <w:b/>
          <w:bCs/>
        </w:rPr>
      </w:pPr>
      <w:r>
        <w:rPr>
          <w:rFonts w:ascii="Bookman Old Style" w:hAnsi="Bookman Old Style" w:cs="Times New Roman"/>
          <w:b/>
          <w:bCs/>
        </w:rPr>
        <w:t>D ô v o d o v á    s p r á v a</w:t>
      </w:r>
    </w:p>
    <w:p>
      <w:pPr>
        <w:pStyle w:val="BodyText"/>
        <w:jc w:val="center"/>
        <w:rPr>
          <w:rFonts w:ascii="Bookman Old Style" w:hAnsi="Bookman Old Style" w:cs="Times New Roman"/>
          <w:b/>
          <w:bCs/>
        </w:rPr>
      </w:pPr>
    </w:p>
    <w:p>
      <w:pPr>
        <w:pStyle w:val="BodyText"/>
        <w:jc w:val="center"/>
        <w:rPr>
          <w:rFonts w:ascii="Bookman Old Style" w:hAnsi="Bookman Old Style" w:cs="Times New Roman"/>
          <w:b/>
          <w:bCs/>
        </w:rPr>
      </w:pPr>
    </w:p>
    <w:p>
      <w:pPr>
        <w:pStyle w:val="BodyText"/>
        <w:rPr>
          <w:rFonts w:ascii="Bookman Old Style" w:hAnsi="Bookman Old Style" w:cs="Times New Roman"/>
          <w:b/>
          <w:bCs/>
        </w:rPr>
      </w:pPr>
      <w:r>
        <w:rPr>
          <w:rFonts w:ascii="Bookman Old Style" w:hAnsi="Bookman Old Style" w:cs="Times New Roman"/>
          <w:b/>
          <w:bCs/>
        </w:rPr>
        <w:t>Všeobecná časť</w:t>
      </w:r>
    </w:p>
    <w:p>
      <w:pPr>
        <w:pStyle w:val="BodyText"/>
        <w:rPr>
          <w:rFonts w:ascii="Bookman Old Style" w:hAnsi="Bookman Old Style" w:cs="Times New Roman"/>
          <w:b/>
          <w:bCs/>
        </w:rPr>
      </w:pPr>
    </w:p>
    <w:p>
      <w:pPr>
        <w:pStyle w:val="BodyText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  <w:b/>
          <w:bCs/>
        </w:rPr>
        <w:tab/>
      </w:r>
      <w:r>
        <w:rPr>
          <w:rFonts w:ascii="Bookman Old Style" w:hAnsi="Bookman Old Style" w:cs="Times New Roman"/>
        </w:rPr>
        <w:t xml:space="preserve">Ceny motorových palív dosahujú v súčasnosti rekordné hodnoty, čo spôsobuje vážne ťažkosti štátu, domácnostiam a podnikateľskému sektoru. V nasledujúcich mesiacoch ani  rokoch sa neočakáva výraznejší pokles týchto cien, skôr môže dôjsť k ich ďalšiemu rastu alebo stagnácii na súčasnej úrovni. </w:t>
      </w:r>
    </w:p>
    <w:p>
      <w:pPr>
        <w:pStyle w:val="BodyText"/>
        <w:rPr>
          <w:rFonts w:ascii="Bookman Old Style" w:hAnsi="Bookman Old Style" w:cs="Times New Roman"/>
        </w:rPr>
      </w:pPr>
    </w:p>
    <w:p>
      <w:pPr>
        <w:pStyle w:val="BodyText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ab/>
        <w:t>Návrh zákona vedie k zníženiu spotrebnej dane z minerálneho oleja, ako je dnes upravená v zákone č</w:t>
      </w:r>
      <w:r>
        <w:rPr>
          <w:rFonts w:ascii="Bookman Old Style" w:hAnsi="Bookman Old Style" w:cs="Times New Roman"/>
        </w:rPr>
        <w:t>. 98/2004 Z. z.. Pozitíva takéhoto opatrenia sú predovšetkým v znížení tlaku na infláciu, na úrokové miery, v stabilizácii podnikateľského prostredia a sociálnej situácie obyvateľstva. Určitým negatívom je na druhej strane zníženie príjmov štátneho rozpočtu, ktoré bude ale zmiernené vyšším výberom DPH z titulu aj tak vysokých cien pohonných hmôt, ako aj relatívnym zvýšením predaja motorových palív na Slovensku a vyšším výberom priamych daní. Zníženie spotrebnej dane, ako je navrhované v predmetnom návrhu zákona, umožňuje aj doterajší vývoj príjmov štátneho rozpočtu v tomto roku. Prijatie navrhnutej novelizácie zákona č. 98/2004 Z. z. by viedlo aj k významnému obmedzeniu tankovania slovenských fyzických a právnických osôb v zahraničí, čo osobitne negatívne vplýva na príjmy štátneho rozpočtu. Berúc do úvahy pozitíva a negatíva navrhovanej právnej úpravy, celkový dopad na štátny rozpočet za predpokladu účinnosti tohto zákona v posledné štyri mesiace roku 2004 je odhadovaný na úrovni približne 560 mil. Sk. Stabilizácia podnikateľského prostredia, zníženie nákladov a pravdepodobnosť vyššieho výberu dane z príjmu a DPH však tento dopad na štátny rozpočet plne eliminujú.  Návrh zákona nebude mať v prípade schválenia negatívny dopad na rozpočty miest a obcí. Nevyvoláva žiadne personálne, či iné požiadavky.</w:t>
      </w:r>
    </w:p>
    <w:p>
      <w:pPr>
        <w:pStyle w:val="BodyText"/>
        <w:rPr>
          <w:rFonts w:ascii="Bookman Old Style" w:hAnsi="Bookman Old Style" w:cs="Times New Roman"/>
        </w:rPr>
      </w:pPr>
    </w:p>
    <w:p>
      <w:pPr>
        <w:pStyle w:val="BodyText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ab/>
        <w:t>Pokiaľ ide o spotrebnú daň z minerálneho oleja v EÚ, jej minimálnu sadzbu určuje Smernica č. 2003/96/EC z 27. októbra 2003. V súčasnosti platná právna úprava spotrebnej dane z minerálneho oleja na Slovensku neodôvodnene stanovuje vyššie sadzby spotrebnej dane ako je určené v citovanej smernici.</w:t>
      </w:r>
    </w:p>
    <w:p>
      <w:pPr>
        <w:pStyle w:val="BodyText"/>
        <w:rPr>
          <w:rFonts w:ascii="Bookman Old Style" w:hAnsi="Bookman Old Style" w:cs="Times New Roman"/>
        </w:rPr>
      </w:pPr>
    </w:p>
    <w:p>
      <w:pPr>
        <w:pStyle w:val="BodyText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ab/>
        <w:t>Navrhovaná právna úprava je spoločensky potrebná a žiadúca.</w:t>
      </w:r>
    </w:p>
    <w:p>
      <w:pPr>
        <w:pStyle w:val="BodyText"/>
        <w:rPr>
          <w:rFonts w:ascii="Bookman Old Style" w:hAnsi="Bookman Old Style" w:cs="Times New Roman"/>
        </w:rPr>
      </w:pPr>
    </w:p>
    <w:p>
      <w:pPr>
        <w:pStyle w:val="BodyText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ab/>
        <w:t xml:space="preserve">Návrh zákona bol prerokovaný s pracovníkmi Ministerstva financií Slovenskej republiky. Vyjadrenie MF SR tvorí </w:t>
      </w:r>
      <w:r>
        <w:rPr>
          <w:rFonts w:ascii="Bookman Old Style" w:hAnsi="Bookman Old Style" w:cs="Times New Roman"/>
        </w:rPr>
        <w:t xml:space="preserve">prílohu návrhu zákona. </w:t>
      </w:r>
    </w:p>
    <w:p>
      <w:pPr>
        <w:pStyle w:val="BodyText"/>
        <w:rPr>
          <w:rFonts w:ascii="Bookman Old Style" w:hAnsi="Bookman Old Style" w:cs="Times New Roman"/>
        </w:rPr>
      </w:pPr>
    </w:p>
    <w:p>
      <w:pPr>
        <w:spacing w:before="120"/>
        <w:jc w:val="both"/>
        <w:outlineLvl w:val="0"/>
        <w:rPr>
          <w:rFonts w:ascii="Bookman Old Style" w:hAnsi="Bookman Old Style" w:cs="Times New Roman"/>
          <w:color w:val="000000"/>
        </w:rPr>
      </w:pPr>
      <w:r>
        <w:rPr>
          <w:rFonts w:ascii="Bookman Old Style" w:hAnsi="Bookman Old Style" w:cs="Times New Roman"/>
          <w:color w:val="000000"/>
        </w:rPr>
        <w:t xml:space="preserve">Navrhovaný zákon bude mať pozitívny dopad na hospodárenie verejnoprávnych inštitúcií. Znížením spotrebnej dani a DPH sa znížia výdavky verejnoprávnych inštitúcií. </w:t>
      </w:r>
    </w:p>
    <w:p>
      <w:pPr>
        <w:spacing w:before="120"/>
        <w:jc w:val="both"/>
        <w:outlineLvl w:val="0"/>
        <w:rPr>
          <w:rFonts w:ascii="Bookman Old Style" w:hAnsi="Bookman Old Style" w:cs="Times New Roman"/>
          <w:color w:val="000000"/>
        </w:rPr>
      </w:pPr>
      <w:r>
        <w:rPr>
          <w:rFonts w:ascii="Bookman Old Style" w:hAnsi="Bookman Old Style" w:cs="Times New Roman"/>
          <w:color w:val="000000"/>
        </w:rPr>
        <w:t>Navrhovaný zákon nebude zakladať nároky na pracovné sily, organizačné zabezpečenie a nebude mať dopad na životné prostredie.</w:t>
      </w:r>
    </w:p>
    <w:p>
      <w:pPr>
        <w:pStyle w:val="BodyText"/>
        <w:rPr>
          <w:rFonts w:ascii="Bookman Old Style" w:hAnsi="Bookman Old Style" w:cs="Times New Roman"/>
        </w:rPr>
      </w:pPr>
    </w:p>
    <w:p>
      <w:pPr>
        <w:pStyle w:val="BodyText"/>
        <w:rPr>
          <w:rFonts w:ascii="Bookman Old Style" w:hAnsi="Bookman Old Style" w:cs="Times New Roman"/>
        </w:rPr>
      </w:pPr>
    </w:p>
    <w:p>
      <w:pPr>
        <w:spacing w:before="120"/>
        <w:jc w:val="both"/>
        <w:outlineLvl w:val="0"/>
        <w:rPr>
          <w:rFonts w:ascii="Times New Roman" w:hAnsi="Times New Roman" w:cs="Times New Roman"/>
          <w:color w:val="000000"/>
        </w:rPr>
      </w:pPr>
      <w:r>
        <w:rPr>
          <w:rFonts w:ascii="Bookman Old Style" w:hAnsi="Bookman Old Style" w:cs="Times New Roman"/>
        </w:rPr>
        <w:tab/>
        <w:t xml:space="preserve">Návrh zákona nevyvoláva žiadne právne problémy, pokiaľ ide o vzťah k Ústave Slovenskej republiky, k ostatným </w:t>
      </w:r>
      <w:r>
        <w:rPr>
          <w:rFonts w:ascii="Bookman Old Style" w:hAnsi="Bookman Old Style" w:cs="Times New Roman"/>
          <w:color w:val="000000"/>
        </w:rPr>
        <w:t>zákonom, k  iným všeobecne záväzným predpisom, ako aj medzinárodným zmluvám, ktorými j</w:t>
      </w:r>
      <w:r>
        <w:rPr>
          <w:rFonts w:ascii="Bookman Old Style" w:hAnsi="Bookman Old Style" w:cs="Times New Roman"/>
          <w:color w:val="000000"/>
        </w:rPr>
        <w:t>e Slovenská republika viazaná.</w:t>
      </w:r>
      <w:r>
        <w:rPr>
          <w:rFonts w:ascii="Times New Roman" w:hAnsi="Times New Roman" w:cs="Times New Roman"/>
          <w:color w:val="000000"/>
        </w:rPr>
        <w:t xml:space="preserve"> </w:t>
      </w:r>
    </w:p>
    <w:p>
      <w:pPr>
        <w:pStyle w:val="BodyText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 </w:t>
      </w:r>
    </w:p>
    <w:p>
      <w:pPr>
        <w:pStyle w:val="BodyText"/>
        <w:rPr>
          <w:rFonts w:ascii="Bookman Old Style" w:hAnsi="Bookman Old Style" w:cs="Times New Roman"/>
        </w:rPr>
      </w:pPr>
    </w:p>
    <w:p>
      <w:pPr>
        <w:pStyle w:val="BodyText"/>
        <w:rPr>
          <w:rFonts w:ascii="Bookman Old Style" w:hAnsi="Bookman Old Style" w:cs="Times New Roman"/>
        </w:rPr>
      </w:pPr>
    </w:p>
    <w:p>
      <w:pPr>
        <w:pStyle w:val="BodyText"/>
        <w:rPr>
          <w:rFonts w:ascii="Bookman Old Style" w:hAnsi="Bookman Old Style" w:cs="Times New Roman"/>
        </w:rPr>
      </w:pPr>
    </w:p>
    <w:p>
      <w:pPr>
        <w:pStyle w:val="BodyText"/>
        <w:rPr>
          <w:rFonts w:ascii="Bookman Old Style" w:hAnsi="Bookman Old Style" w:cs="Times New Roman"/>
        </w:rPr>
      </w:pPr>
    </w:p>
    <w:p>
      <w:pPr>
        <w:pStyle w:val="BodyText"/>
        <w:rPr>
          <w:rFonts w:ascii="Bookman Old Style" w:hAnsi="Bookman Old Style" w:cs="Times New Roman"/>
        </w:rPr>
      </w:pPr>
    </w:p>
    <w:p>
      <w:pPr>
        <w:pStyle w:val="BodyText"/>
        <w:rPr>
          <w:rFonts w:ascii="Bookman Old Style" w:hAnsi="Bookman Old Style" w:cs="Times New Roman"/>
        </w:rPr>
      </w:pPr>
    </w:p>
    <w:p>
      <w:pPr>
        <w:pStyle w:val="BodyText"/>
        <w:rPr>
          <w:rFonts w:ascii="Bookman Old Style" w:hAnsi="Bookman Old Style" w:cs="Times New Roman"/>
        </w:rPr>
      </w:pPr>
    </w:p>
    <w:p>
      <w:pPr>
        <w:pStyle w:val="BodyText"/>
        <w:rPr>
          <w:rFonts w:ascii="Bookman Old Style" w:hAnsi="Bookman Old Style" w:cs="Times New Roman"/>
        </w:rPr>
      </w:pPr>
    </w:p>
    <w:p>
      <w:pPr>
        <w:pStyle w:val="BodyText"/>
        <w:rPr>
          <w:rFonts w:ascii="Bookman Old Style" w:hAnsi="Bookman Old Style" w:cs="Times New Roman"/>
        </w:rPr>
      </w:pPr>
    </w:p>
    <w:p>
      <w:pPr>
        <w:pStyle w:val="BodyText"/>
        <w:rPr>
          <w:rFonts w:ascii="Bookman Old Style" w:hAnsi="Bookman Old Style" w:cs="Times New Roman"/>
        </w:rPr>
      </w:pPr>
    </w:p>
    <w:p>
      <w:pPr>
        <w:pStyle w:val="BodyText"/>
        <w:rPr>
          <w:rFonts w:ascii="Bookman Old Style" w:hAnsi="Bookman Old Style" w:cs="Times New Roman"/>
        </w:rPr>
      </w:pPr>
    </w:p>
    <w:p>
      <w:pPr>
        <w:pStyle w:val="BodyText"/>
        <w:rPr>
          <w:rFonts w:ascii="Bookman Old Style" w:hAnsi="Bookman Old Style" w:cs="Times New Roman"/>
        </w:rPr>
      </w:pPr>
    </w:p>
    <w:p>
      <w:pPr>
        <w:pStyle w:val="BodyText"/>
        <w:rPr>
          <w:rFonts w:ascii="Bookman Old Style" w:hAnsi="Bookman Old Style" w:cs="Times New Roman"/>
        </w:rPr>
      </w:pPr>
    </w:p>
    <w:p>
      <w:pPr>
        <w:pStyle w:val="BodyText"/>
        <w:rPr>
          <w:rFonts w:ascii="Bookman Old Style" w:hAnsi="Bookman Old Style" w:cs="Times New Roman"/>
        </w:rPr>
      </w:pPr>
    </w:p>
    <w:p>
      <w:pPr>
        <w:pStyle w:val="BodyText"/>
        <w:rPr>
          <w:rFonts w:ascii="Bookman Old Style" w:hAnsi="Bookman Old Style" w:cs="Times New Roman"/>
        </w:rPr>
      </w:pPr>
    </w:p>
    <w:p>
      <w:pPr>
        <w:pStyle w:val="BodyText"/>
        <w:rPr>
          <w:rFonts w:ascii="Bookman Old Style" w:hAnsi="Bookman Old Style" w:cs="Times New Roman"/>
        </w:rPr>
      </w:pPr>
    </w:p>
    <w:p>
      <w:pPr>
        <w:pStyle w:val="BodyText"/>
        <w:rPr>
          <w:rFonts w:ascii="Bookman Old Style" w:hAnsi="Bookman Old Style" w:cs="Times New Roman"/>
        </w:rPr>
      </w:pPr>
    </w:p>
    <w:p>
      <w:pPr>
        <w:pStyle w:val="BodyText"/>
        <w:rPr>
          <w:rFonts w:ascii="Bookman Old Style" w:hAnsi="Bookman Old Style" w:cs="Times New Roman"/>
        </w:rPr>
      </w:pPr>
    </w:p>
    <w:p>
      <w:pPr>
        <w:pStyle w:val="BodyText"/>
        <w:rPr>
          <w:rFonts w:ascii="Bookman Old Style" w:hAnsi="Bookman Old Style" w:cs="Times New Roman"/>
        </w:rPr>
      </w:pPr>
    </w:p>
    <w:p>
      <w:pPr>
        <w:pStyle w:val="BodyText"/>
        <w:rPr>
          <w:rFonts w:ascii="Bookman Old Style" w:hAnsi="Bookman Old Style" w:cs="Times New Roman"/>
        </w:rPr>
      </w:pPr>
    </w:p>
    <w:p>
      <w:pPr>
        <w:pStyle w:val="BodyText"/>
        <w:rPr>
          <w:rFonts w:ascii="Bookman Old Style" w:hAnsi="Bookman Old Style" w:cs="Times New Roman"/>
        </w:rPr>
      </w:pPr>
    </w:p>
    <w:p>
      <w:pPr>
        <w:pStyle w:val="BodyText"/>
        <w:rPr>
          <w:rFonts w:ascii="Bookman Old Style" w:hAnsi="Bookman Old Style" w:cs="Times New Roman"/>
        </w:rPr>
      </w:pPr>
    </w:p>
    <w:p>
      <w:pPr>
        <w:pStyle w:val="BodyText"/>
        <w:rPr>
          <w:rFonts w:ascii="Bookman Old Style" w:hAnsi="Bookman Old Style" w:cs="Times New Roman"/>
        </w:rPr>
      </w:pPr>
    </w:p>
    <w:p>
      <w:pPr>
        <w:pStyle w:val="BodyText"/>
        <w:rPr>
          <w:rFonts w:ascii="Bookman Old Style" w:hAnsi="Bookman Old Style" w:cs="Times New Roman"/>
        </w:rPr>
      </w:pPr>
    </w:p>
    <w:p>
      <w:pPr>
        <w:pStyle w:val="BodyText"/>
        <w:rPr>
          <w:rFonts w:ascii="Bookman Old Style" w:hAnsi="Bookman Old Style" w:cs="Times New Roman"/>
        </w:rPr>
      </w:pPr>
    </w:p>
    <w:p>
      <w:pPr>
        <w:pStyle w:val="BodyText"/>
        <w:rPr>
          <w:rFonts w:ascii="Bookman Old Style" w:hAnsi="Bookman Old Style" w:cs="Times New Roman"/>
        </w:rPr>
      </w:pPr>
    </w:p>
    <w:p>
      <w:pPr>
        <w:pStyle w:val="BodyText"/>
        <w:rPr>
          <w:rFonts w:ascii="Bookman Old Style" w:hAnsi="Bookman Old Style" w:cs="Times New Roman"/>
        </w:rPr>
      </w:pPr>
    </w:p>
    <w:p>
      <w:pPr>
        <w:pStyle w:val="BodyText"/>
        <w:rPr>
          <w:rFonts w:ascii="Bookman Old Style" w:hAnsi="Bookman Old Style" w:cs="Times New Roman"/>
        </w:rPr>
      </w:pPr>
    </w:p>
    <w:p>
      <w:pPr>
        <w:pStyle w:val="BodyText"/>
        <w:rPr>
          <w:rFonts w:ascii="Bookman Old Style" w:hAnsi="Bookman Old Style" w:cs="Times New Roman"/>
        </w:rPr>
      </w:pPr>
    </w:p>
    <w:p>
      <w:pPr>
        <w:pStyle w:val="BodyText"/>
        <w:rPr>
          <w:rFonts w:ascii="Bookman Old Style" w:hAnsi="Bookman Old Style" w:cs="Times New Roman"/>
        </w:rPr>
      </w:pPr>
    </w:p>
    <w:p>
      <w:pPr>
        <w:pStyle w:val="BodyText"/>
        <w:rPr>
          <w:rFonts w:ascii="Bookman Old Style" w:hAnsi="Bookman Old Style" w:cs="Times New Roman"/>
        </w:rPr>
      </w:pPr>
    </w:p>
    <w:p>
      <w:pPr>
        <w:pStyle w:val="BodyText"/>
        <w:rPr>
          <w:rFonts w:ascii="Bookman Old Style" w:hAnsi="Bookman Old Style" w:cs="Times New Roman"/>
        </w:rPr>
      </w:pPr>
    </w:p>
    <w:p>
      <w:pPr>
        <w:pStyle w:val="BodyText"/>
        <w:rPr>
          <w:rFonts w:ascii="Bookman Old Style" w:hAnsi="Bookman Old Style" w:cs="Times New Roman"/>
        </w:rPr>
      </w:pPr>
    </w:p>
    <w:p>
      <w:pPr>
        <w:pStyle w:val="BodyText"/>
        <w:rPr>
          <w:rFonts w:ascii="Bookman Old Style" w:hAnsi="Bookman Old Style" w:cs="Times New Roman"/>
        </w:rPr>
      </w:pPr>
    </w:p>
    <w:p>
      <w:pPr>
        <w:pStyle w:val="BodyText"/>
        <w:rPr>
          <w:rFonts w:ascii="Bookman Old Style" w:hAnsi="Bookman Old Style" w:cs="Times New Roman"/>
        </w:rPr>
      </w:pPr>
    </w:p>
    <w:p>
      <w:pPr>
        <w:pStyle w:val="BodyText"/>
        <w:rPr>
          <w:rFonts w:ascii="Bookman Old Style" w:hAnsi="Bookman Old Style" w:cs="Times New Roman"/>
        </w:rPr>
      </w:pPr>
    </w:p>
    <w:p>
      <w:pPr>
        <w:pStyle w:val="BodyText"/>
        <w:rPr>
          <w:rFonts w:ascii="Bookman Old Style" w:hAnsi="Bookman Old Style" w:cs="Times New Roman"/>
        </w:rPr>
      </w:pPr>
    </w:p>
    <w:p>
      <w:pPr>
        <w:pStyle w:val="BodyText"/>
        <w:rPr>
          <w:rFonts w:ascii="Bookman Old Style" w:hAnsi="Bookman Old Style" w:cs="Times New Roman"/>
        </w:rPr>
      </w:pPr>
    </w:p>
    <w:p>
      <w:pPr>
        <w:pStyle w:val="BodyText"/>
        <w:rPr>
          <w:rFonts w:ascii="Bookman Old Style" w:hAnsi="Bookman Old Style" w:cs="Times New Roman"/>
        </w:rPr>
      </w:pPr>
    </w:p>
    <w:p>
      <w:pPr>
        <w:pStyle w:val="BodyText"/>
        <w:rPr>
          <w:rFonts w:ascii="Bookman Old Style" w:hAnsi="Bookman Old Style" w:cs="Times New Roman"/>
        </w:rPr>
      </w:pPr>
    </w:p>
    <w:p>
      <w:pPr>
        <w:pStyle w:val="BodyText"/>
        <w:rPr>
          <w:rFonts w:ascii="Bookman Old Style" w:hAnsi="Bookman Old Style" w:cs="Times New Roman"/>
          <w:b/>
          <w:bCs/>
        </w:rPr>
      </w:pPr>
      <w:r>
        <w:rPr>
          <w:rFonts w:ascii="Bookman Old Style" w:hAnsi="Bookman Old Style" w:cs="Times New Roman"/>
          <w:b/>
          <w:bCs/>
        </w:rPr>
        <w:t>Osobitná časť</w:t>
      </w:r>
    </w:p>
    <w:p>
      <w:pPr>
        <w:pStyle w:val="BodyText"/>
        <w:rPr>
          <w:rFonts w:ascii="Bookman Old Style" w:hAnsi="Bookman Old Style" w:cs="Times New Roman"/>
          <w:b/>
          <w:bCs/>
        </w:rPr>
      </w:pPr>
    </w:p>
    <w:p>
      <w:pPr>
        <w:pStyle w:val="BodyText"/>
        <w:rPr>
          <w:rFonts w:ascii="Bookman Old Style" w:hAnsi="Bookman Old Style" w:cs="Times New Roman"/>
        </w:rPr>
      </w:pPr>
    </w:p>
    <w:p>
      <w:pPr>
        <w:pStyle w:val="BodyText"/>
        <w:rPr>
          <w:rFonts w:ascii="Bookman Old Style" w:hAnsi="Bookman Old Style" w:cs="Times New Roman"/>
          <w:b/>
          <w:bCs/>
        </w:rPr>
      </w:pPr>
      <w:r>
        <w:rPr>
          <w:rFonts w:ascii="Bookman Old Style" w:hAnsi="Bookman Old Style" w:cs="Times New Roman"/>
          <w:b/>
          <w:bCs/>
        </w:rPr>
        <w:t>K Čl. I</w:t>
      </w:r>
    </w:p>
    <w:p>
      <w:pPr>
        <w:pStyle w:val="BodyText"/>
        <w:rPr>
          <w:rFonts w:ascii="Bookman Old Style" w:hAnsi="Bookman Old Style" w:cs="Times New Roman"/>
        </w:rPr>
      </w:pPr>
    </w:p>
    <w:p>
      <w:pPr>
        <w:pStyle w:val="BodyText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K bodu 1.</w:t>
      </w:r>
    </w:p>
    <w:p>
      <w:pPr>
        <w:pStyle w:val="BodyText"/>
        <w:rPr>
          <w:rFonts w:ascii="Bookman Old Style" w:hAnsi="Bookman Old Style" w:cs="Times New Roman"/>
        </w:rPr>
      </w:pPr>
    </w:p>
    <w:p>
      <w:pPr>
        <w:pStyle w:val="BodyText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ab/>
        <w:t>Navrhuje sa pri vybraných druhoch pohonných hmôt (osobitne benzín a nafta) znížiť stanovené sadzby spotrebnej dane na úroveň minimálne požadovanú Smernicou č. 2003/96/EC z 27. októbra 2003.</w:t>
      </w:r>
    </w:p>
    <w:p>
      <w:pPr>
        <w:pStyle w:val="BodyText"/>
        <w:rPr>
          <w:rFonts w:ascii="Bookman Old Style" w:hAnsi="Bookman Old Style" w:cs="Times New Roman"/>
        </w:rPr>
      </w:pPr>
    </w:p>
    <w:p>
      <w:pPr>
        <w:pStyle w:val="BodyText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K bodu 2.</w:t>
      </w:r>
    </w:p>
    <w:p>
      <w:pPr>
        <w:pStyle w:val="BodyText"/>
        <w:rPr>
          <w:rFonts w:ascii="Bookman Old Style" w:hAnsi="Bookman Old Style" w:cs="Times New Roman"/>
        </w:rPr>
      </w:pPr>
    </w:p>
    <w:p>
      <w:pPr>
        <w:pStyle w:val="BodyText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ab/>
        <w:t xml:space="preserve">Navrhuje sa znížiť spotrebná daň aj na plynové oleje uvedené v § 7 ods. 1 zákona č. 98/2004 Z. z. (najmä podpora poľnohospodárskej výrobe – tzv. zelená nafta). </w:t>
      </w:r>
    </w:p>
    <w:p>
      <w:pPr>
        <w:pStyle w:val="BodyText"/>
        <w:rPr>
          <w:rFonts w:ascii="Bookman Old Style" w:hAnsi="Bookman Old Style" w:cs="Times New Roman"/>
        </w:rPr>
      </w:pPr>
    </w:p>
    <w:p>
      <w:pPr>
        <w:pStyle w:val="BodyText"/>
        <w:rPr>
          <w:rFonts w:ascii="Bookman Old Style" w:hAnsi="Bookman Old Style" w:cs="Times New Roman"/>
        </w:rPr>
      </w:pPr>
    </w:p>
    <w:p>
      <w:pPr>
        <w:pStyle w:val="BodyText"/>
        <w:rPr>
          <w:rFonts w:ascii="Bookman Old Style" w:hAnsi="Bookman Old Style" w:cs="Times New Roman"/>
          <w:b/>
          <w:bCs/>
        </w:rPr>
      </w:pPr>
      <w:r>
        <w:rPr>
          <w:rFonts w:ascii="Bookman Old Style" w:hAnsi="Bookman Old Style" w:cs="Times New Roman"/>
          <w:b/>
          <w:bCs/>
        </w:rPr>
        <w:t>K Čl. II</w:t>
      </w:r>
    </w:p>
    <w:p>
      <w:pPr>
        <w:pStyle w:val="BodyText"/>
        <w:rPr>
          <w:rFonts w:ascii="Bookman Old Style" w:hAnsi="Bookman Old Style" w:cs="Times New Roman"/>
          <w:b/>
          <w:bCs/>
        </w:rPr>
      </w:pPr>
    </w:p>
    <w:p>
      <w:pPr>
        <w:pStyle w:val="BodyText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  <w:b/>
          <w:bCs/>
        </w:rPr>
        <w:tab/>
      </w:r>
      <w:r>
        <w:rPr>
          <w:rFonts w:ascii="Bookman Old Style" w:hAnsi="Bookman Old Style" w:cs="Times New Roman"/>
        </w:rPr>
        <w:t xml:space="preserve">Nadobudnutie účinnosti zákona sa navrhuje dňom vyhlásenia v Zbierke zákonov Slovenskej republiky, aby bol čo najrýchlejšie zabezpečený priaznivý efekt navrhovanej právnej úpravy. </w:t>
      </w:r>
    </w:p>
    <w:p>
      <w:pPr>
        <w:pStyle w:val="BodyText"/>
        <w:rPr>
          <w:rFonts w:ascii="Bookman Old Style" w:hAnsi="Bookman Old Style" w:cs="Times New Roman"/>
        </w:rPr>
      </w:pPr>
    </w:p>
    <w:p>
      <w:pPr>
        <w:pStyle w:val="BodyText"/>
        <w:rPr>
          <w:rFonts w:ascii="Bookman Old Style" w:hAnsi="Bookman Old Style" w:cs="Times New Roman"/>
        </w:rPr>
      </w:pPr>
    </w:p>
    <w:p>
      <w:pPr>
        <w:pStyle w:val="BodyText"/>
        <w:rPr>
          <w:rFonts w:ascii="Bookman Old Style" w:hAnsi="Bookman Old Style" w:cs="Times New Roman"/>
        </w:rPr>
      </w:pPr>
    </w:p>
    <w:p>
      <w:pPr>
        <w:pStyle w:val="BodyText"/>
        <w:rPr>
          <w:rFonts w:ascii="Bookman Old Style" w:hAnsi="Bookman Old Style" w:cs="Times New Roman"/>
        </w:rPr>
      </w:pPr>
    </w:p>
    <w:p>
      <w:pPr>
        <w:pStyle w:val="BodyText"/>
        <w:rPr>
          <w:rFonts w:ascii="Bookman Old Style" w:hAnsi="Bookman Old Style" w:cs="Times New Roman"/>
        </w:rPr>
      </w:pPr>
    </w:p>
    <w:p>
      <w:pPr>
        <w:pStyle w:val="BodyText"/>
        <w:rPr>
          <w:rFonts w:ascii="Bookman Old Style" w:hAnsi="Bookman Old Style" w:cs="Times New Roman"/>
        </w:rPr>
      </w:pPr>
    </w:p>
    <w:p>
      <w:pPr>
        <w:pStyle w:val="BodyText"/>
        <w:rPr>
          <w:rFonts w:ascii="Bookman Old Style" w:hAnsi="Bookman Old Style" w:cs="Times New Roman"/>
        </w:rPr>
      </w:pPr>
    </w:p>
    <w:p>
      <w:pPr>
        <w:pStyle w:val="BodyText"/>
        <w:rPr>
          <w:rFonts w:ascii="Bookman Old Style" w:hAnsi="Bookman Old Style" w:cs="Times New Roman"/>
        </w:rPr>
      </w:pPr>
    </w:p>
    <w:p>
      <w:pPr>
        <w:pStyle w:val="BodyText"/>
        <w:rPr>
          <w:rFonts w:ascii="Bookman Old Style" w:hAnsi="Bookman Old Style" w:cs="Times New Roman"/>
        </w:rPr>
      </w:pPr>
    </w:p>
    <w:p>
      <w:pPr>
        <w:pStyle w:val="BodyText"/>
        <w:rPr>
          <w:rFonts w:ascii="Bookman Old Style" w:hAnsi="Bookman Old Style" w:cs="Times New Roman"/>
        </w:rPr>
      </w:pPr>
    </w:p>
    <w:p>
      <w:pPr>
        <w:pStyle w:val="BodyText"/>
        <w:rPr>
          <w:rFonts w:ascii="Bookman Old Style" w:hAnsi="Bookman Old Style" w:cs="Times New Roman"/>
        </w:rPr>
      </w:pPr>
    </w:p>
    <w:p>
      <w:pPr>
        <w:pStyle w:val="BodyText"/>
        <w:rPr>
          <w:rFonts w:ascii="Bookman Old Style" w:hAnsi="Bookman Old Style" w:cs="Times New Roman"/>
        </w:rPr>
      </w:pPr>
    </w:p>
    <w:p>
      <w:pPr>
        <w:pStyle w:val="BodyText"/>
        <w:rPr>
          <w:rFonts w:ascii="Bookman Old Style" w:hAnsi="Bookman Old Style" w:cs="Times New Roman"/>
        </w:rPr>
      </w:pPr>
    </w:p>
    <w:p>
      <w:pPr>
        <w:pStyle w:val="BodyText"/>
        <w:rPr>
          <w:rFonts w:ascii="Bookman Old Style" w:hAnsi="Bookman Old Style" w:cs="Times New Roman"/>
        </w:rPr>
      </w:pPr>
    </w:p>
    <w:p>
      <w:pPr>
        <w:pStyle w:val="BodyText"/>
        <w:rPr>
          <w:rFonts w:ascii="Bookman Old Style" w:hAnsi="Bookman Old Style" w:cs="Times New Roman"/>
        </w:rPr>
      </w:pPr>
    </w:p>
    <w:p>
      <w:pPr>
        <w:pStyle w:val="BodyText"/>
        <w:rPr>
          <w:rFonts w:ascii="Bookman Old Style" w:hAnsi="Bookman Old Style" w:cs="Times New Roman"/>
        </w:rPr>
      </w:pPr>
    </w:p>
    <w:p>
      <w:pPr>
        <w:pStyle w:val="BodyText"/>
        <w:rPr>
          <w:rFonts w:ascii="Bookman Old Style" w:hAnsi="Bookman Old Style" w:cs="Times New Roman"/>
        </w:rPr>
      </w:pPr>
    </w:p>
    <w:p>
      <w:pPr>
        <w:pStyle w:val="BodyText"/>
        <w:rPr>
          <w:rFonts w:ascii="Bookman Old Style" w:hAnsi="Bookman Old Style" w:cs="Times New Roman"/>
        </w:rPr>
      </w:pPr>
    </w:p>
    <w:p>
      <w:pPr>
        <w:pStyle w:val="BodyText"/>
        <w:rPr>
          <w:rFonts w:ascii="Bookman Old Style" w:hAnsi="Bookman Old Style" w:cs="Times New Roman"/>
        </w:rPr>
      </w:pPr>
    </w:p>
    <w:p>
      <w:pPr>
        <w:pStyle w:val="BodyText"/>
        <w:rPr>
          <w:rFonts w:ascii="Bookman Old Style" w:hAnsi="Bookman Old Style" w:cs="Times New Roman"/>
        </w:rPr>
      </w:pPr>
    </w:p>
    <w:p>
      <w:pPr>
        <w:pStyle w:val="BodyText"/>
        <w:rPr>
          <w:rFonts w:ascii="Bookman Old Style" w:hAnsi="Bookman Old Style" w:cs="Times New Roman"/>
        </w:rPr>
      </w:pPr>
    </w:p>
    <w:p>
      <w:pPr>
        <w:pStyle w:val="BodyText"/>
        <w:rPr>
          <w:rFonts w:ascii="Bookman Old Style" w:hAnsi="Bookman Old Style" w:cs="Times New Roman"/>
        </w:rPr>
      </w:pPr>
    </w:p>
    <w:p>
      <w:pPr>
        <w:pStyle w:val="BodyText"/>
        <w:rPr>
          <w:rFonts w:ascii="Bookman Old Style" w:hAnsi="Bookman Old Style" w:cs="Times New Roman"/>
        </w:rPr>
      </w:pPr>
    </w:p>
    <w:p>
      <w:pPr>
        <w:pStyle w:val="BodyText"/>
        <w:rPr>
          <w:rFonts w:ascii="Bookman Old Style" w:hAnsi="Bookman Old Style" w:cs="Times New Roman"/>
        </w:rPr>
      </w:pPr>
    </w:p>
    <w:p>
      <w:pPr>
        <w:pStyle w:val="BodyText"/>
        <w:rPr>
          <w:rFonts w:ascii="Bookman Old Style" w:hAnsi="Bookman Old Style" w:cs="Times New Roman"/>
        </w:rPr>
      </w:pPr>
    </w:p>
    <w:p>
      <w:pPr>
        <w:pStyle w:val="BodyText"/>
        <w:rPr>
          <w:rFonts w:ascii="Bookman Old Style" w:hAnsi="Bookman Old Style" w:cs="Times New Roman"/>
        </w:rPr>
      </w:pPr>
    </w:p>
    <w:p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DOLOŽKA   ZLUČITEĽNOSTI</w:t>
      </w:r>
    </w:p>
    <w:p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návrhu zákona s právo</w:t>
      </w:r>
      <w:r>
        <w:rPr>
          <w:rFonts w:ascii="Times New Roman" w:hAnsi="Times New Roman" w:cs="Times New Roman"/>
          <w:b/>
          <w:sz w:val="28"/>
        </w:rPr>
        <w:t>m Európskej únie</w:t>
      </w:r>
    </w:p>
    <w:p>
      <w:pPr>
        <w:ind w:left="360"/>
        <w:jc w:val="both"/>
        <w:rPr>
          <w:rFonts w:ascii="Times New Roman" w:hAnsi="Times New Roman" w:cs="Times New Roman"/>
          <w:b/>
        </w:rPr>
      </w:pPr>
    </w:p>
    <w:p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Navrhovateľ zákona</w:t>
      </w:r>
      <w:r>
        <w:rPr>
          <w:rFonts w:ascii="Times New Roman" w:hAnsi="Times New Roman" w:cs="Times New Roman"/>
          <w:sz w:val="28"/>
          <w:szCs w:val="28"/>
        </w:rPr>
        <w:t xml:space="preserve"> : skupina poslancov Národnej rady Slovenskej   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republiky Igor Šulaj, Róbert Fico, Pavol Paška, Jozef Burian, Jozef Buček</w:t>
      </w:r>
    </w:p>
    <w:p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Názov návrhu zákona</w:t>
      </w:r>
      <w:r>
        <w:rPr>
          <w:rFonts w:ascii="Times New Roman" w:hAnsi="Times New Roman" w:cs="Times New Roman"/>
          <w:sz w:val="28"/>
          <w:szCs w:val="28"/>
        </w:rPr>
        <w:t xml:space="preserve"> : Zákon, ktorým sa mení a dopĺňa zákon č. 98/2004 Z. z. o spotreb</w:t>
      </w:r>
      <w:r>
        <w:rPr>
          <w:rFonts w:ascii="Times New Roman" w:hAnsi="Times New Roman" w:cs="Times New Roman"/>
          <w:sz w:val="28"/>
          <w:szCs w:val="28"/>
        </w:rPr>
        <w:t>nej dani z minerálneho oleja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sz w:val="28"/>
          <w:szCs w:val="28"/>
        </w:rPr>
        <w:t>V práve ES a EÚ problematika návrhu zákona</w:t>
      </w:r>
      <w:r>
        <w:rPr>
          <w:rFonts w:ascii="Times New Roman" w:hAnsi="Times New Roman" w:cs="Times New Roman"/>
          <w:sz w:val="28"/>
          <w:szCs w:val="28"/>
        </w:rPr>
        <w:t xml:space="preserve"> :  je upravená v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Smernici Rady 2003/96/ES o reštrukturalizácii sústavy zdaňovania energetických produktov a elektriny v rámci EÚ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sz w:val="28"/>
          <w:szCs w:val="28"/>
        </w:rPr>
        <w:t>Návrh zákona svojou problematikou</w:t>
      </w:r>
      <w:r>
        <w:rPr>
          <w:rFonts w:ascii="Times New Roman" w:hAnsi="Times New Roman" w:cs="Times New Roman"/>
          <w:sz w:val="28"/>
          <w:szCs w:val="28"/>
        </w:rPr>
        <w:t xml:space="preserve"> : p a t </w:t>
      </w:r>
      <w:r>
        <w:rPr>
          <w:rFonts w:ascii="Times New Roman" w:hAnsi="Times New Roman" w:cs="Times New Roman"/>
          <w:sz w:val="28"/>
          <w:szCs w:val="28"/>
        </w:rPr>
        <w:t xml:space="preserve">r í  medzi  priority  uvedené 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 čl.  70 Európskej dohody o pridružení - nepriame dane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 j e predmetom 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odporúčaní v Príprave asociovaných krajín strednej a východnej Európy na 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integráciu do vnútorného trhu  Európskej únie /Biela kniha/ v 22. oblasti 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„Nepriame zdaňovanie“, 2. časti o spotrebných daniach.</w:t>
      </w:r>
    </w:p>
    <w:p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ab/>
        <w:tab/>
        <w:tab/>
        <w:tab/>
        <w:tab/>
      </w:r>
    </w:p>
    <w:p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b/>
          <w:sz w:val="28"/>
          <w:szCs w:val="28"/>
        </w:rPr>
        <w:t>Charakteristika právnych noriem Európskej únie, ktorými je upravená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problematika návrhu zákona</w:t>
      </w:r>
      <w:r>
        <w:rPr>
          <w:rFonts w:ascii="Times New Roman" w:hAnsi="Times New Roman" w:cs="Times New Roman"/>
          <w:sz w:val="28"/>
          <w:szCs w:val="28"/>
        </w:rPr>
        <w:t xml:space="preserve"> : Uvedená smernica považuje za energetický produkt aj motorové a vykurovacie palivá, pričom druhy presne nešpecifikované podľa kombinovanej nomenklatúry majú byť zdaňované rovnakou sadzbou ako je uvedená pre uvedený druh. Stanovuje jednotné minimálne sadzby, avšak pripúšťa aj použitie diferencovaných sadzieb v členských štátoch vo väzbe na kvalitu v</w:t>
      </w:r>
      <w:r>
        <w:rPr>
          <w:rFonts w:ascii="Times New Roman" w:hAnsi="Times New Roman" w:cs="Times New Roman"/>
          <w:sz w:val="28"/>
          <w:szCs w:val="28"/>
        </w:rPr>
        <w:t xml:space="preserve">ýrobku, kvantitatívnu spotrebu alebo na osobitné použitie. 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b/>
          <w:sz w:val="28"/>
          <w:szCs w:val="28"/>
        </w:rPr>
        <w:t>Vyjadrenie stupňa kompatibility s právom Európskej únie</w:t>
      </w:r>
      <w:r>
        <w:rPr>
          <w:rFonts w:ascii="Times New Roman" w:hAnsi="Times New Roman" w:cs="Times New Roman"/>
          <w:sz w:val="28"/>
          <w:szCs w:val="28"/>
        </w:rPr>
        <w:t xml:space="preserve"> : úplný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</w:p>
    <w:p>
      <w:pPr>
        <w:pStyle w:val="BodyText"/>
        <w:rPr>
          <w:rFonts w:ascii="Bookman Old Style" w:hAnsi="Bookman Old Style" w:cs="Times New Roman"/>
        </w:rPr>
      </w:pPr>
    </w:p>
    <w:p>
      <w:pPr>
        <w:pStyle w:val="BodyText"/>
        <w:rPr>
          <w:rFonts w:ascii="Bookman Old Style" w:hAnsi="Bookman Old Style"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0" w:usb1="00000000" w:usb2="00000000" w:usb3="00000000" w:csb0="00000001" w:csb1="00000000"/>
  </w:font>
  <w:font w:name="Wingdings">
    <w:panose1 w:val="05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91DAF"/>
    <w:multiLevelType w:val="hybridMultilevel"/>
    <w:tmpl w:val="A310187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1D75BD"/>
    <w:multiLevelType w:val="hybridMultilevel"/>
    <w:tmpl w:val="2398E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5050868"/>
    <w:multiLevelType w:val="hybridMultilevel"/>
    <w:tmpl w:val="425298A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rtl w:val="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keepNext/>
      <w:jc w:val="both"/>
      <w:outlineLvl w:val="0"/>
    </w:pPr>
    <w:rPr>
      <w:u w:val="single"/>
    </w:rPr>
  </w:style>
  <w:style w:type="character" w:default="1" w:styleId="DefaultParagraphFont">
    <w:name w:val="Default Paragraph Font"/>
    <w:semiHidden/>
  </w:style>
  <w:style w:type="paragraph" w:styleId="Title">
    <w:name w:val="Title"/>
    <w:basedOn w:val="Normal"/>
    <w:uiPriority w:val="10"/>
    <w:qFormat/>
    <w:pPr>
      <w:jc w:val="center"/>
    </w:pPr>
    <w:rPr>
      <w:b/>
      <w:bCs/>
    </w:rPr>
  </w:style>
  <w:style w:type="paragraph" w:styleId="BodyText">
    <w:name w:val="Body Text"/>
    <w:basedOn w:val="Normal"/>
    <w:pPr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7</Pages>
  <Words>1186</Words>
  <Characters>6764</Characters>
  <Application>Microsoft Office Word</Application>
  <DocSecurity>0</DocSecurity>
  <Lines>0</Lines>
  <Paragraphs>0</Paragraphs>
  <ScaleCrop>false</ScaleCrop>
  <Company>MERKUR</Company>
  <LinksUpToDate>false</LinksUpToDate>
  <CharactersWithSpaces>8306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á v r h</dc:title>
  <dc:creator>MERKUR</dc:creator>
  <cp:lastModifiedBy>KlubSmer</cp:lastModifiedBy>
  <cp:revision>2</cp:revision>
  <cp:lastPrinted>2003-11-10T23:32:00Z</cp:lastPrinted>
  <dcterms:created xsi:type="dcterms:W3CDTF">2004-05-25T14:24:00Z</dcterms:created>
  <dcterms:modified xsi:type="dcterms:W3CDTF">2004-05-25T14:24:00Z</dcterms:modified>
</cp:coreProperties>
</file>