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Heading7"/>
        <w:rPr>
          <w:rFonts w:ascii="Times New Roman" w:hAnsi="Times New Roman" w:cs="Times New Roman"/>
        </w:rPr>
      </w:pPr>
    </w:p>
    <w:p>
      <w:pPr>
        <w:pStyle w:val="Heading7"/>
        <w:rPr>
          <w:rFonts w:ascii="Times New Roman" w:hAnsi="Times New Roman" w:cs="Times New Roman"/>
        </w:rPr>
      </w:pPr>
      <w:r>
        <w:rPr>
          <w:rFonts w:ascii="Times New Roman" w:hAnsi="Times New Roman" w:cs="Times New Roman"/>
        </w:rPr>
        <w:t>TABUĽKA  ZHODY</w:t>
      </w:r>
    </w:p>
    <w:p>
      <w:pPr>
        <w:jc w:val="center"/>
        <w:rPr>
          <w:rFonts w:ascii="Times New Roman" w:hAnsi="Times New Roman" w:cs="Times New Roman"/>
          <w:b/>
          <w:bCs/>
        </w:rPr>
      </w:pPr>
      <w:r>
        <w:rPr>
          <w:rFonts w:ascii="Times New Roman" w:hAnsi="Times New Roman" w:cs="Times New Roman"/>
          <w:b/>
          <w:bCs/>
        </w:rPr>
        <w:t>Trestného zákona</w:t>
      </w:r>
    </w:p>
    <w:p>
      <w:pPr>
        <w:jc w:val="center"/>
        <w:rPr>
          <w:rFonts w:ascii="Times New Roman" w:hAnsi="Times New Roman" w:cs="Times New Roman"/>
          <w:b/>
          <w:bCs/>
        </w:rPr>
      </w:pPr>
      <w:r>
        <w:rPr>
          <w:rFonts w:ascii="Times New Roman" w:hAnsi="Times New Roman" w:cs="Times New Roman"/>
          <w:b/>
          <w:bCs/>
        </w:rPr>
        <w:t>s právom Európskych spoločenstiev a právom Európskej únie</w:t>
      </w:r>
    </w:p>
    <w:p>
      <w:pPr>
        <w:jc w:val="center"/>
        <w:rPr>
          <w:rFonts w:ascii="Times New Roman" w:hAnsi="Times New Roman" w:cs="Times New Roman"/>
        </w:rPr>
      </w:pPr>
    </w:p>
    <w:tbl>
      <w:tblPr>
        <w:tblW w:w="140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1080"/>
        <w:gridCol w:w="2700"/>
        <w:gridCol w:w="720"/>
        <w:gridCol w:w="900"/>
        <w:gridCol w:w="720"/>
        <w:gridCol w:w="3240"/>
        <w:gridCol w:w="900"/>
        <w:gridCol w:w="1260"/>
        <w:gridCol w:w="900"/>
        <w:gridCol w:w="1620"/>
      </w:tblGrid>
      <w:tr>
        <w:tblPrEx>
          <w:tblW w:w="140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cantSplit/>
          <w:trHeight w:hRule="auto" w:val="0"/>
        </w:trPr>
        <w:tc>
          <w:tcPr>
            <w:tcW w:w="4500"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Heading8"/>
              <w:rPr>
                <w:rFonts w:ascii="Times New Roman" w:hAnsi="Times New Roman" w:cs="Times New Roman"/>
                <w:b/>
                <w:sz w:val="24"/>
                <w:szCs w:val="24"/>
              </w:rPr>
            </w:pPr>
            <w:r>
              <w:rPr>
                <w:rFonts w:ascii="Times New Roman" w:hAnsi="Times New Roman" w:cs="Times New Roman"/>
                <w:b/>
                <w:sz w:val="24"/>
                <w:szCs w:val="24"/>
              </w:rPr>
              <w:t>Smernica Rady</w:t>
            </w:r>
          </w:p>
          <w:p>
            <w:pPr>
              <w:jc w:val="center"/>
              <w:rPr>
                <w:rFonts w:ascii="Times New Roman" w:hAnsi="Times New Roman" w:cs="Times New Roman"/>
                <w:b/>
                <w:sz w:val="24"/>
                <w:szCs w:val="24"/>
                <w:lang w:val="cs-CZ"/>
              </w:rPr>
            </w:pPr>
            <w:r>
              <w:rPr>
                <w:rFonts w:ascii="Times New Roman" w:hAnsi="Times New Roman" w:cs="Times New Roman"/>
                <w:b/>
                <w:sz w:val="24"/>
                <w:szCs w:val="24"/>
                <w:lang w:val="cs-CZ"/>
              </w:rPr>
              <w:t>2002/90/ES</w:t>
            </w:r>
          </w:p>
          <w:p>
            <w:pPr>
              <w:jc w:val="center"/>
              <w:rPr>
                <w:rFonts w:ascii="Times New Roman" w:hAnsi="Times New Roman" w:cs="Times New Roman"/>
                <w:b/>
                <w:sz w:val="24"/>
                <w:szCs w:val="24"/>
                <w:lang w:val="cs-CZ"/>
              </w:rPr>
            </w:pPr>
            <w:r>
              <w:rPr>
                <w:rFonts w:ascii="Times New Roman" w:hAnsi="Times New Roman" w:cs="Times New Roman"/>
                <w:b/>
                <w:sz w:val="24"/>
                <w:szCs w:val="24"/>
                <w:lang w:val="cs-CZ"/>
              </w:rPr>
              <w:t>z 28. novembra 2002,</w:t>
            </w:r>
          </w:p>
          <w:p>
            <w:pPr>
              <w:jc w:val="center"/>
              <w:rPr>
                <w:rFonts w:ascii="Times New Roman" w:hAnsi="Times New Roman" w:cs="Times New Roman"/>
                <w:b/>
                <w:sz w:val="24"/>
                <w:szCs w:val="24"/>
                <w:lang w:val="cs-CZ"/>
              </w:rPr>
            </w:pPr>
            <w:r>
              <w:rPr>
                <w:rFonts w:ascii="Times New Roman" w:hAnsi="Times New Roman" w:cs="Times New Roman"/>
                <w:b/>
                <w:sz w:val="24"/>
                <w:szCs w:val="24"/>
                <w:lang w:val="cs-CZ"/>
              </w:rPr>
              <w:t>ktorá definuje napomáhanie neoprávneného vstupu, tranzitu a bydliska</w:t>
            </w:r>
          </w:p>
          <w:p>
            <w:pPr>
              <w:jc w:val="center"/>
              <w:rPr>
                <w:rFonts w:ascii="Times New Roman" w:hAnsi="Times New Roman" w:cs="Times New Roman"/>
              </w:rPr>
            </w:pPr>
          </w:p>
        </w:tc>
        <w:tc>
          <w:tcPr>
            <w:tcW w:w="9540" w:type="dxa"/>
            <w:gridSpan w:val="7"/>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Heading8"/>
              <w:rPr>
                <w:rFonts w:ascii="Times New Roman" w:hAnsi="Times New Roman" w:cs="Times New Roman"/>
                <w:b/>
                <w:sz w:val="24"/>
                <w:szCs w:val="24"/>
              </w:rPr>
            </w:pPr>
            <w:r>
              <w:rPr>
                <w:rFonts w:ascii="Times New Roman" w:hAnsi="Times New Roman" w:cs="Times New Roman"/>
                <w:b/>
                <w:sz w:val="24"/>
                <w:szCs w:val="24"/>
              </w:rPr>
              <w:t>Trestný zákon</w:t>
            </w:r>
          </w:p>
          <w:p>
            <w:pPr>
              <w:jc w:val="center"/>
              <w:rPr>
                <w:rFonts w:ascii="Times New Roman" w:hAnsi="Times New Roman" w:cs="Times New Roman"/>
                <w:b/>
                <w:sz w:val="24"/>
                <w:szCs w:val="24"/>
                <w:lang w:val="cs-CZ"/>
              </w:rPr>
            </w:pPr>
            <w:r>
              <w:rPr>
                <w:rFonts w:ascii="Times New Roman" w:hAnsi="Times New Roman" w:cs="Times New Roman"/>
                <w:b/>
                <w:sz w:val="24"/>
                <w:szCs w:val="24"/>
                <w:lang w:val="cs-CZ"/>
              </w:rPr>
              <w:t>č. 140/1961 Zb. v znení neskorších</w:t>
            </w:r>
            <w:r>
              <w:rPr>
                <w:rFonts w:ascii="Times New Roman" w:hAnsi="Times New Roman" w:cs="Times New Roman"/>
                <w:b/>
                <w:sz w:val="24"/>
                <w:szCs w:val="24"/>
                <w:lang w:val="cs-CZ"/>
              </w:rPr>
              <w:t xml:space="preserve"> predpisov</w:t>
            </w:r>
          </w:p>
        </w:tc>
      </w:tr>
      <w:tr>
        <w:tblPrEx>
          <w:tblW w:w="14040" w:type="dxa"/>
          <w:tblInd w:w="-290" w:type="dxa"/>
          <w:tblLayout w:type="fixed"/>
          <w:tblCellMar>
            <w:left w:w="70" w:type="dxa"/>
            <w:right w:w="70" w:type="dxa"/>
          </w:tblCellMar>
        </w:tblPrEx>
        <w:trPr>
          <w:trHeight w:hRule="auto" w:val="0"/>
        </w:trPr>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6"/>
                <w:szCs w:val="26"/>
              </w:rPr>
            </w:pPr>
            <w:r>
              <w:rPr>
                <w:rFonts w:ascii="Times New Roman" w:hAnsi="Times New Roman" w:cs="Times New Roman"/>
                <w:sz w:val="26"/>
                <w:szCs w:val="26"/>
              </w:rPr>
              <w:t>1</w:t>
            </w:r>
          </w:p>
        </w:tc>
        <w:tc>
          <w:tcPr>
            <w:tcW w:w="27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6"/>
                <w:szCs w:val="26"/>
              </w:rPr>
            </w:pPr>
            <w:r>
              <w:rPr>
                <w:rFonts w:ascii="Times New Roman" w:hAnsi="Times New Roman" w:cs="Times New Roman"/>
                <w:sz w:val="26"/>
                <w:szCs w:val="26"/>
              </w:rPr>
              <w:t>2</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6"/>
                <w:szCs w:val="26"/>
              </w:rPr>
            </w:pPr>
            <w:r>
              <w:rPr>
                <w:rFonts w:ascii="Times New Roman" w:hAnsi="Times New Roman" w:cs="Times New Roman"/>
                <w:sz w:val="26"/>
                <w:szCs w:val="26"/>
              </w:rPr>
              <w:t>3</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6"/>
                <w:szCs w:val="26"/>
              </w:rPr>
            </w:pPr>
            <w:r>
              <w:rPr>
                <w:rFonts w:ascii="Times New Roman" w:hAnsi="Times New Roman" w:cs="Times New Roman"/>
                <w:sz w:val="26"/>
                <w:szCs w:val="26"/>
              </w:rPr>
              <w:t>4</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6"/>
                <w:szCs w:val="26"/>
              </w:rPr>
            </w:pPr>
            <w:r>
              <w:rPr>
                <w:rFonts w:ascii="Times New Roman" w:hAnsi="Times New Roman" w:cs="Times New Roman"/>
                <w:sz w:val="26"/>
                <w:szCs w:val="26"/>
              </w:rPr>
              <w:t>5</w:t>
            </w:r>
          </w:p>
        </w:tc>
        <w:tc>
          <w:tcPr>
            <w:tcW w:w="32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6"/>
                <w:szCs w:val="26"/>
              </w:rPr>
            </w:pPr>
            <w:r>
              <w:rPr>
                <w:rFonts w:ascii="Times New Roman" w:hAnsi="Times New Roman" w:cs="Times New Roman"/>
                <w:sz w:val="26"/>
                <w:szCs w:val="26"/>
              </w:rPr>
              <w:t>6</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6"/>
                <w:szCs w:val="26"/>
              </w:rPr>
            </w:pPr>
            <w:r>
              <w:rPr>
                <w:rFonts w:ascii="Times New Roman" w:hAnsi="Times New Roman" w:cs="Times New Roman"/>
                <w:sz w:val="26"/>
                <w:szCs w:val="26"/>
              </w:rPr>
              <w:t>7</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6"/>
                <w:szCs w:val="26"/>
              </w:rPr>
            </w:pPr>
            <w:r>
              <w:rPr>
                <w:rFonts w:ascii="Times New Roman" w:hAnsi="Times New Roman" w:cs="Times New Roman"/>
                <w:sz w:val="26"/>
                <w:szCs w:val="26"/>
              </w:rPr>
              <w:t>8</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6"/>
                <w:szCs w:val="26"/>
              </w:rPr>
            </w:pPr>
            <w:r>
              <w:rPr>
                <w:rFonts w:ascii="Times New Roman" w:hAnsi="Times New Roman" w:cs="Times New Roman"/>
                <w:sz w:val="26"/>
                <w:szCs w:val="26"/>
              </w:rPr>
              <w:t>9</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6"/>
                <w:szCs w:val="26"/>
              </w:rPr>
            </w:pPr>
            <w:r>
              <w:rPr>
                <w:rFonts w:ascii="Times New Roman" w:hAnsi="Times New Roman" w:cs="Times New Roman"/>
                <w:sz w:val="26"/>
                <w:szCs w:val="26"/>
              </w:rPr>
              <w:t>10</w:t>
            </w:r>
          </w:p>
        </w:tc>
      </w:tr>
      <w:tr>
        <w:tblPrEx>
          <w:tblW w:w="14040" w:type="dxa"/>
          <w:tblInd w:w="-290" w:type="dxa"/>
          <w:tblLayout w:type="fixed"/>
          <w:tblCellMar>
            <w:left w:w="70" w:type="dxa"/>
            <w:right w:w="70" w:type="dxa"/>
          </w:tblCellMar>
        </w:tblPrEx>
        <w:trPr>
          <w:trHeight w:hRule="auto" w:val="0"/>
        </w:trPr>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sz w:val="16"/>
                <w:szCs w:val="16"/>
              </w:rPr>
            </w:pPr>
            <w:r>
              <w:rPr>
                <w:rFonts w:ascii="Times New Roman" w:hAnsi="Times New Roman" w:cs="Times New Roman"/>
                <w:b/>
                <w:sz w:val="16"/>
                <w:szCs w:val="16"/>
              </w:rPr>
              <w:t>Č:1 O:1</w:t>
            </w: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r>
              <w:rPr>
                <w:rFonts w:ascii="Times New Roman" w:hAnsi="Times New Roman" w:cs="Times New Roman"/>
                <w:b/>
                <w:sz w:val="16"/>
                <w:szCs w:val="16"/>
              </w:rPr>
              <w:t>Č:1 O:1 P:a)</w:t>
            </w: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r>
              <w:rPr>
                <w:rFonts w:ascii="Times New Roman" w:hAnsi="Times New Roman" w:cs="Times New Roman"/>
                <w:b/>
                <w:sz w:val="16"/>
                <w:szCs w:val="16"/>
              </w:rPr>
              <w:t>Č:1 O:1 P:b)</w:t>
            </w: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r>
              <w:rPr>
                <w:rFonts w:ascii="Times New Roman" w:hAnsi="Times New Roman" w:cs="Times New Roman"/>
                <w:b/>
                <w:sz w:val="16"/>
                <w:szCs w:val="16"/>
              </w:rPr>
              <w:t>Č:1 O:2</w:t>
            </w: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r>
              <w:rPr>
                <w:rFonts w:ascii="Times New Roman" w:hAnsi="Times New Roman" w:cs="Times New Roman"/>
                <w:b/>
                <w:sz w:val="16"/>
                <w:szCs w:val="16"/>
              </w:rPr>
              <w:t>Č:2</w:t>
            </w: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r>
              <w:rPr>
                <w:rFonts w:ascii="Times New Roman" w:hAnsi="Times New Roman" w:cs="Times New Roman"/>
                <w:b/>
                <w:sz w:val="16"/>
                <w:szCs w:val="16"/>
              </w:rPr>
              <w:t>Č:3</w:t>
            </w: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r>
              <w:rPr>
                <w:rFonts w:ascii="Times New Roman" w:hAnsi="Times New Roman" w:cs="Times New Roman"/>
                <w:b/>
                <w:sz w:val="16"/>
                <w:szCs w:val="16"/>
              </w:rPr>
              <w:t>Č:4 O:1</w:t>
            </w: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r>
              <w:rPr>
                <w:rFonts w:ascii="Times New Roman" w:hAnsi="Times New Roman" w:cs="Times New Roman"/>
                <w:b/>
                <w:sz w:val="16"/>
                <w:szCs w:val="16"/>
              </w:rPr>
              <w:t>Č:4 O:2</w:t>
            </w: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r>
              <w:rPr>
                <w:rFonts w:ascii="Times New Roman" w:hAnsi="Times New Roman" w:cs="Times New Roman"/>
                <w:b/>
                <w:sz w:val="16"/>
                <w:szCs w:val="16"/>
              </w:rPr>
              <w:t>Č:5</w:t>
            </w: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p>
          <w:p>
            <w:pPr>
              <w:rPr>
                <w:rFonts w:ascii="Times New Roman" w:hAnsi="Times New Roman" w:cs="Times New Roman"/>
                <w:b/>
                <w:sz w:val="16"/>
                <w:szCs w:val="16"/>
              </w:rPr>
            </w:pPr>
            <w:r>
              <w:rPr>
                <w:rFonts w:ascii="Times New Roman" w:hAnsi="Times New Roman" w:cs="Times New Roman"/>
                <w:b/>
                <w:sz w:val="16"/>
                <w:szCs w:val="16"/>
              </w:rPr>
              <w:t>Č:6</w:t>
            </w:r>
          </w:p>
        </w:tc>
        <w:tc>
          <w:tcPr>
            <w:tcW w:w="27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both"/>
              <w:rPr>
                <w:rFonts w:ascii="Times New Roman" w:hAnsi="Times New Roman" w:cs="Times New Roman"/>
                <w:sz w:val="16"/>
                <w:szCs w:val="16"/>
              </w:rPr>
            </w:pPr>
            <w:r>
              <w:rPr>
                <w:rFonts w:ascii="Times New Roman" w:hAnsi="Times New Roman" w:cs="Times New Roman"/>
                <w:sz w:val="16"/>
                <w:szCs w:val="16"/>
              </w:rPr>
              <w:t>Každý členský štát prijme primerané postihy voči:</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(a) každej osobe, ktorá úmyselne napomáha osobe, ktorá nie je štátnym občanom členského štátu, aby vstúpila alebo prešla</w:t>
            </w:r>
            <w:r>
              <w:rPr>
                <w:rFonts w:ascii="Times New Roman" w:hAnsi="Times New Roman" w:cs="Times New Roman"/>
                <w:sz w:val="20"/>
                <w:szCs w:val="20"/>
              </w:rPr>
              <w:t xml:space="preserve"> </w:t>
            </w:r>
            <w:r>
              <w:rPr>
                <w:rFonts w:ascii="Times New Roman" w:hAnsi="Times New Roman" w:cs="Times New Roman"/>
                <w:sz w:val="16"/>
                <w:szCs w:val="16"/>
              </w:rPr>
              <w:t>cez územie členského štátu porušujúc zákony dotknutého členského štátu týkajúce sa vstupu alebo tranzitu cudzincov;</w:t>
            </w:r>
          </w:p>
          <w:p>
            <w:pPr>
              <w:ind w:left="360"/>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(b) každej osobe, ktorá kvôli finančnému zisku úmyselne napomáha osobe, ktorá nie je štátnym občanom členského štátu, aby bývala na území členského štátu pri porušení zákonov dotknutého členského štátu týkajúcich sa vstupu alebo tranzitu cudzincov.</w:t>
            </w: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Každý členský štát sa môže rozhodnúť, že neuvalí postihy za správanie definované v odseku 1(a) a uplatní svoje vnútroštátne právo a právnu prax na prípady, v ktorých cieľom takéhoto správania je poskytnutie humanitárnej pomoci dotknutým osobám.</w:t>
            </w: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Každý členský štát prijme opatrenia nevyhnutné na zabezpečenie toho, aby bolo možné použiť postihy uvedené v článku 1 aj na osobu, ktorá:</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 xml:space="preserve">  (a) je podnecovateľom,</w:t>
            </w:r>
          </w:p>
          <w:p>
            <w:pPr>
              <w:jc w:val="both"/>
              <w:rPr>
                <w:rFonts w:ascii="Times New Roman" w:hAnsi="Times New Roman" w:cs="Times New Roman"/>
                <w:sz w:val="16"/>
                <w:szCs w:val="16"/>
              </w:rPr>
            </w:pPr>
            <w:r>
              <w:rPr>
                <w:rFonts w:ascii="Times New Roman" w:hAnsi="Times New Roman" w:cs="Times New Roman"/>
                <w:sz w:val="16"/>
                <w:szCs w:val="16"/>
              </w:rPr>
              <w:t xml:space="preserve">  (b) je spolupáchateľom, alebo</w:t>
            </w:r>
          </w:p>
          <w:p>
            <w:pPr>
              <w:jc w:val="both"/>
              <w:rPr>
                <w:rFonts w:ascii="Times New Roman" w:hAnsi="Times New Roman" w:cs="Times New Roman"/>
                <w:sz w:val="16"/>
                <w:szCs w:val="16"/>
              </w:rPr>
            </w:pPr>
            <w:r>
              <w:rPr>
                <w:rFonts w:ascii="Times New Roman" w:hAnsi="Times New Roman" w:cs="Times New Roman"/>
                <w:sz w:val="16"/>
                <w:szCs w:val="16"/>
              </w:rPr>
              <w:t xml:space="preserve">  (c) sa pokúša</w:t>
            </w:r>
          </w:p>
          <w:p>
            <w:pPr>
              <w:jc w:val="both"/>
              <w:rPr>
                <w:rFonts w:ascii="Times New Roman" w:hAnsi="Times New Roman" w:cs="Times New Roman"/>
                <w:sz w:val="16"/>
                <w:szCs w:val="16"/>
              </w:rPr>
            </w:pPr>
            <w:r>
              <w:rPr>
                <w:rFonts w:ascii="Times New Roman" w:hAnsi="Times New Roman" w:cs="Times New Roman"/>
                <w:sz w:val="16"/>
                <w:szCs w:val="16"/>
              </w:rPr>
              <w:t>o porušenie zákona uvedené v článku 1(1)(a) alebo (b).</w:t>
            </w: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Každý členský štát prijme opatrenia nevyhnutné na zabezpečenie toho, aby porušenia zákona uvedené v článkoch 1 a 2 podliehali účinným, primeraným a odrádzajúcim postihom.</w:t>
            </w: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Členské štáty uvedú do účinnosti zákony, predpisy a administratívne ustanovenia potrebné na dosiahnutie súladu s touto smernicou do                 5. decembra 2004. Ihneď o tom informujú Komisiu.</w:t>
            </w:r>
          </w:p>
          <w:p>
            <w:pPr>
              <w:jc w:val="both"/>
              <w:rPr>
                <w:rFonts w:ascii="Times New Roman" w:hAnsi="Times New Roman" w:cs="Times New Roman"/>
                <w:sz w:val="16"/>
                <w:szCs w:val="16"/>
              </w:rPr>
            </w:pPr>
            <w:r>
              <w:rPr>
                <w:rFonts w:ascii="Times New Roman" w:hAnsi="Times New Roman" w:cs="Times New Roman"/>
                <w:sz w:val="16"/>
                <w:szCs w:val="16"/>
              </w:rPr>
              <w:t>Keď členské štáty prijmú tieto opatrenia, musia v čase svojho oficiálneho uverejnenia obsahovať odkaz na túto smernicu alebo musia byť sprevádzané takýmto odkazom. Členské štáty prijmú postup pre f</w:t>
            </w:r>
            <w:r>
              <w:rPr>
                <w:rFonts w:ascii="Times New Roman" w:hAnsi="Times New Roman" w:cs="Times New Roman"/>
                <w:sz w:val="16"/>
                <w:szCs w:val="16"/>
              </w:rPr>
              <w:t xml:space="preserve">ormuláciu takéhoto odkazu. </w:t>
            </w: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Členské štáty oznámia Komisii znenie hlavných ustanovení svojho vnútroštátneho práva, ktoré prijali v oblasti, na ktorú sa vzťahuje táto smernica, spolu s tabuľkou ukazujúcou, ako ustanovenia tejto smernice zodpovedajú prijatým vnútroštátnym ustanoveniam. Komisia o tom informuje ostatné členské štáty.</w:t>
            </w: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Článok 27(1) Schengenského dohovoru z r. 1990 sa ruší od 5. decembra 2004. Ak členský štát implementuje túto smernicu v súlade s článkom 4(1) pred týmto dátumom, zmienené ustanovenie prestane platiť pre tento členský štát od dátumu implementácie.</w:t>
            </w: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Táto smernica nadobúda účinnosť odo dňa jej uverejnenia v Úradnom vestníku Európskych spoločenstiev.</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both"/>
              <w:rPr>
                <w:rFonts w:ascii="Times New Roman" w:hAnsi="Times New Roman" w:cs="Times New Roman"/>
                <w:b/>
                <w:sz w:val="16"/>
                <w:szCs w:val="16"/>
              </w:rPr>
            </w:pPr>
            <w:r>
              <w:rPr>
                <w:rFonts w:ascii="Times New Roman" w:hAnsi="Times New Roman" w:cs="Times New Roman"/>
                <w:b/>
                <w:sz w:val="16"/>
                <w:szCs w:val="16"/>
              </w:rPr>
              <w:t>N</w:t>
            </w: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r>
              <w:rPr>
                <w:rFonts w:ascii="Times New Roman" w:hAnsi="Times New Roman" w:cs="Times New Roman"/>
                <w:b/>
                <w:sz w:val="16"/>
                <w:szCs w:val="16"/>
              </w:rPr>
              <w:t>N</w:t>
            </w: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r>
              <w:rPr>
                <w:rFonts w:ascii="Times New Roman" w:hAnsi="Times New Roman" w:cs="Times New Roman"/>
                <w:b/>
                <w:sz w:val="16"/>
                <w:szCs w:val="16"/>
              </w:rPr>
              <w:t>N</w:t>
            </w: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r>
              <w:rPr>
                <w:rFonts w:ascii="Times New Roman" w:hAnsi="Times New Roman" w:cs="Times New Roman"/>
                <w:b/>
                <w:sz w:val="16"/>
                <w:szCs w:val="16"/>
              </w:rPr>
              <w:t>D</w:t>
            </w: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r>
              <w:rPr>
                <w:rFonts w:ascii="Times New Roman" w:hAnsi="Times New Roman" w:cs="Times New Roman"/>
                <w:b/>
                <w:sz w:val="16"/>
                <w:szCs w:val="16"/>
              </w:rPr>
              <w:t>N</w:t>
            </w: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r>
              <w:rPr>
                <w:rFonts w:ascii="Times New Roman" w:hAnsi="Times New Roman" w:cs="Times New Roman"/>
                <w:b/>
                <w:sz w:val="16"/>
                <w:szCs w:val="16"/>
              </w:rPr>
              <w:t>N</w:t>
            </w: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r>
              <w:rPr>
                <w:rFonts w:ascii="Times New Roman" w:hAnsi="Times New Roman" w:cs="Times New Roman"/>
                <w:b/>
                <w:sz w:val="16"/>
                <w:szCs w:val="16"/>
              </w:rPr>
              <w:t>N</w:t>
            </w: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r>
              <w:rPr>
                <w:rFonts w:ascii="Times New Roman" w:hAnsi="Times New Roman" w:cs="Times New Roman"/>
                <w:b/>
                <w:sz w:val="16"/>
                <w:szCs w:val="16"/>
              </w:rPr>
              <w:t>n. a.</w:t>
            </w: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r>
              <w:rPr>
                <w:rFonts w:ascii="Times New Roman" w:hAnsi="Times New Roman" w:cs="Times New Roman"/>
                <w:b/>
                <w:sz w:val="16"/>
                <w:szCs w:val="16"/>
              </w:rPr>
              <w:t xml:space="preserve">n. a. </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EnvelopeReturn"/>
              <w:rPr>
                <w:rFonts w:ascii="Times New Roman" w:hAnsi="Times New Roman" w:cs="Times New Roman"/>
                <w:bCs w:val="0"/>
                <w:sz w:val="16"/>
                <w:szCs w:val="16"/>
              </w:rPr>
            </w:pPr>
            <w:r>
              <w:rPr>
                <w:rFonts w:ascii="Times New Roman" w:hAnsi="Times New Roman" w:cs="Times New Roman"/>
                <w:bCs w:val="0"/>
                <w:sz w:val="16"/>
                <w:szCs w:val="16"/>
              </w:rPr>
              <w:t>§:171a</w:t>
            </w: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O:1</w:t>
            </w: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§:171a</w:t>
            </w: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O:2</w:t>
            </w: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§:171a</w:t>
            </w: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O:3</w:t>
            </w: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§:171a</w:t>
            </w: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O:4</w:t>
            </w: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§:171a</w:t>
            </w: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O:5</w:t>
            </w: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§:171a</w:t>
            </w: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O:6</w:t>
            </w: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§:8 O:1</w:t>
            </w: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§:8 O:2</w:t>
            </w: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§:9 O:1</w:t>
            </w: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§:9 O:2</w:t>
            </w: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§:10 O:1</w:t>
            </w: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§:10</w:t>
            </w: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O:2</w:t>
            </w: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§:164</w:t>
            </w: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§:171a</w:t>
            </w: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O:1</w:t>
            </w: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§:171a</w:t>
            </w: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O:2</w:t>
            </w: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§:171a</w:t>
            </w: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O:3</w:t>
            </w: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§:171a</w:t>
            </w: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O:4</w:t>
            </w: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§:171a</w:t>
            </w: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O:5</w:t>
            </w: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§:171a</w:t>
            </w: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O:6</w:t>
            </w: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§:301</w:t>
            </w: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§:299b</w:t>
            </w: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p>
          <w:p>
            <w:pPr>
              <w:pStyle w:val="EnvelopeReturn"/>
              <w:rPr>
                <w:rFonts w:ascii="Times New Roman" w:hAnsi="Times New Roman" w:cs="Times New Roman"/>
                <w:bCs w:val="0"/>
                <w:sz w:val="16"/>
                <w:szCs w:val="16"/>
              </w:rPr>
            </w:pPr>
            <w:r>
              <w:rPr>
                <w:rFonts w:ascii="Times New Roman" w:hAnsi="Times New Roman" w:cs="Times New Roman"/>
                <w:bCs w:val="0"/>
                <w:sz w:val="16"/>
                <w:szCs w:val="16"/>
              </w:rPr>
              <w:t>Príloh</w:t>
            </w:r>
            <w:r>
              <w:rPr>
                <w:rFonts w:ascii="Times New Roman" w:hAnsi="Times New Roman" w:cs="Times New Roman"/>
                <w:bCs w:val="0"/>
                <w:sz w:val="16"/>
                <w:szCs w:val="16"/>
              </w:rPr>
              <w:t xml:space="preserve">a k zákonu č. 140/1961 Zb. Trestný zákon </w:t>
            </w:r>
          </w:p>
          <w:p>
            <w:pPr>
              <w:pStyle w:val="EnvelopeReturn"/>
              <w:rPr>
                <w:rFonts w:ascii="Times New Roman" w:hAnsi="Times New Roman" w:cs="Times New Roman"/>
                <w:bCs w:val="0"/>
                <w:sz w:val="16"/>
                <w:szCs w:val="16"/>
              </w:rPr>
            </w:pPr>
          </w:p>
        </w:tc>
        <w:tc>
          <w:tcPr>
            <w:tcW w:w="32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both"/>
              <w:rPr>
                <w:rFonts w:ascii="Times New Roman" w:hAnsi="Times New Roman" w:cs="Times New Roman"/>
                <w:sz w:val="16"/>
                <w:szCs w:val="16"/>
              </w:rPr>
            </w:pPr>
            <w:r>
              <w:rPr>
                <w:rFonts w:ascii="Times New Roman" w:hAnsi="Times New Roman" w:cs="Times New Roman"/>
                <w:sz w:val="16"/>
                <w:szCs w:val="16"/>
              </w:rPr>
              <w:t>Kto v úmysle získať priamo či nepriamo finančnú výhodu alebo inú materiálnu výhodu pre osobu, ktorá nie je štátnym občanom Slovenskej republiky alebo osobou s trvalým pobytom na území Slovenskej republiky</w:t>
            </w:r>
          </w:p>
          <w:p>
            <w:pPr>
              <w:jc w:val="both"/>
              <w:rPr>
                <w:rFonts w:ascii="Times New Roman" w:hAnsi="Times New Roman" w:cs="Times New Roman"/>
                <w:sz w:val="16"/>
                <w:szCs w:val="16"/>
              </w:rPr>
            </w:pPr>
            <w:r>
              <w:rPr>
                <w:rFonts w:ascii="Times New Roman" w:hAnsi="Times New Roman" w:cs="Times New Roman"/>
                <w:sz w:val="16"/>
                <w:szCs w:val="16"/>
              </w:rPr>
              <w:t>a) organizuje nedovolené prekročenie štátnej hranice Slovenskej republiky alebo prechod cez jej územie, alebo také konanie umožní, alebo v ňom pomáha,</w:t>
            </w:r>
          </w:p>
          <w:p>
            <w:pPr>
              <w:jc w:val="both"/>
              <w:rPr>
                <w:rFonts w:ascii="Times New Roman" w:hAnsi="Times New Roman" w:cs="Times New Roman"/>
                <w:sz w:val="16"/>
                <w:szCs w:val="16"/>
              </w:rPr>
            </w:pPr>
            <w:r>
              <w:rPr>
                <w:rFonts w:ascii="Times New Roman" w:hAnsi="Times New Roman" w:cs="Times New Roman"/>
                <w:sz w:val="16"/>
                <w:szCs w:val="16"/>
              </w:rPr>
              <w:t>b) na účel podľa písm. a) vyrobí, zaobstará, poskytne alebo drží falošný cestovný doklad alebo falošný doklad totožnosti, alebo</w:t>
            </w:r>
          </w:p>
          <w:p>
            <w:pPr>
              <w:jc w:val="both"/>
              <w:rPr>
                <w:rFonts w:ascii="Times New Roman" w:hAnsi="Times New Roman" w:cs="Times New Roman"/>
                <w:sz w:val="16"/>
                <w:szCs w:val="16"/>
              </w:rPr>
            </w:pPr>
            <w:r>
              <w:rPr>
                <w:rFonts w:ascii="Times New Roman" w:hAnsi="Times New Roman" w:cs="Times New Roman"/>
                <w:sz w:val="16"/>
                <w:szCs w:val="16"/>
              </w:rPr>
              <w:t>c) umožní alebo pomáha zotrvať alebo zamestnať sa nedovolene na území Slovenskej republiky,</w:t>
            </w:r>
          </w:p>
          <w:p>
            <w:pPr>
              <w:jc w:val="both"/>
              <w:rPr>
                <w:rFonts w:ascii="Times New Roman" w:hAnsi="Times New Roman" w:cs="Times New Roman"/>
                <w:sz w:val="16"/>
                <w:szCs w:val="16"/>
              </w:rPr>
            </w:pPr>
            <w:r>
              <w:rPr>
                <w:rFonts w:ascii="Times New Roman" w:hAnsi="Times New Roman" w:cs="Times New Roman"/>
                <w:sz w:val="16"/>
                <w:szCs w:val="16"/>
              </w:rPr>
              <w:t>potresce sa odňatím slobody na dva roky až osem rokov.</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Odňatím slobody na päť rokov až desať rokov sa páchateľ potresce, ak spácha čin uvedený v ods</w:t>
            </w:r>
            <w:r>
              <w:rPr>
                <w:rFonts w:ascii="Times New Roman" w:hAnsi="Times New Roman" w:cs="Times New Roman"/>
                <w:sz w:val="16"/>
                <w:szCs w:val="16"/>
              </w:rPr>
              <w:t>eku 1</w:t>
            </w:r>
          </w:p>
          <w:p>
            <w:pPr>
              <w:jc w:val="both"/>
              <w:rPr>
                <w:rFonts w:ascii="Times New Roman" w:hAnsi="Times New Roman" w:cs="Times New Roman"/>
                <w:sz w:val="16"/>
                <w:szCs w:val="16"/>
              </w:rPr>
            </w:pPr>
            <w:r>
              <w:rPr>
                <w:rFonts w:ascii="Times New Roman" w:hAnsi="Times New Roman" w:cs="Times New Roman"/>
                <w:sz w:val="16"/>
                <w:szCs w:val="16"/>
              </w:rPr>
              <w:t>a) ako člen organizovanej skupiny,</w:t>
            </w:r>
          </w:p>
          <w:p>
            <w:pPr>
              <w:jc w:val="both"/>
              <w:rPr>
                <w:rFonts w:ascii="Times New Roman" w:hAnsi="Times New Roman" w:cs="Times New Roman"/>
                <w:sz w:val="16"/>
                <w:szCs w:val="16"/>
              </w:rPr>
            </w:pPr>
            <w:r>
              <w:rPr>
                <w:rFonts w:ascii="Times New Roman" w:hAnsi="Times New Roman" w:cs="Times New Roman"/>
                <w:sz w:val="16"/>
                <w:szCs w:val="16"/>
              </w:rPr>
              <w:t>b) v úmysle zakryť alebo uľahčiť spáchanie iného trestného činu, alebo</w:t>
            </w:r>
          </w:p>
          <w:p>
            <w:pPr>
              <w:jc w:val="both"/>
              <w:rPr>
                <w:rFonts w:ascii="Times New Roman" w:hAnsi="Times New Roman" w:cs="Times New Roman"/>
                <w:sz w:val="16"/>
                <w:szCs w:val="16"/>
              </w:rPr>
            </w:pPr>
            <w:r>
              <w:rPr>
                <w:rFonts w:ascii="Times New Roman" w:hAnsi="Times New Roman" w:cs="Times New Roman"/>
                <w:sz w:val="16"/>
                <w:szCs w:val="16"/>
              </w:rPr>
              <w:t>c) spôsobom, ktorý môže ohroziť život alebo zdravie prevážaných osôb, alebo znamená neľudské či ponižujúce zaobchádzanie s nimi alebo ich zneužívanie.</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Rovnako ako v odseku 2 sa páchateľ potresce, ak získa činom uvedeným v odseku 1 pre seba alebo iného väčší prospech.</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Odňatím slobody na osem rokov až dvanásť rokov sa páchateľ potresce, ak činom uvedeným v odseku 1</w:t>
            </w:r>
          </w:p>
          <w:p>
            <w:pPr>
              <w:jc w:val="both"/>
              <w:rPr>
                <w:rFonts w:ascii="Times New Roman" w:hAnsi="Times New Roman" w:cs="Times New Roman"/>
                <w:sz w:val="16"/>
                <w:szCs w:val="16"/>
              </w:rPr>
            </w:pPr>
            <w:r>
              <w:rPr>
                <w:rFonts w:ascii="Times New Roman" w:hAnsi="Times New Roman" w:cs="Times New Roman"/>
                <w:sz w:val="16"/>
                <w:szCs w:val="16"/>
              </w:rPr>
              <w:t>a) spôsobí ťažkú ujmu na zdraví alebo smrť, alebo</w:t>
            </w:r>
          </w:p>
          <w:p>
            <w:pPr>
              <w:jc w:val="both"/>
              <w:rPr>
                <w:rFonts w:ascii="Times New Roman" w:hAnsi="Times New Roman" w:cs="Times New Roman"/>
                <w:sz w:val="16"/>
                <w:szCs w:val="16"/>
              </w:rPr>
            </w:pPr>
            <w:r>
              <w:rPr>
                <w:rFonts w:ascii="Times New Roman" w:hAnsi="Times New Roman" w:cs="Times New Roman"/>
                <w:sz w:val="16"/>
                <w:szCs w:val="16"/>
              </w:rPr>
              <w:t>b) získa pre seba alebo iného značný prospech.</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 xml:space="preserve">Rovnako ako v odseku 4 sa páchateľ potresce, ak spácha čin uvedený v odseku 1 ako člen zločineckej skupiny. </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Odňatím slobody na desať rokov až pätnásť rokov sa páchateľ potresce, ak spôsobí činom uvedeným v odseku 1 smrť viacerých osôb.</w:t>
            </w: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Konanie nebezpečné pre spoločnosť, ktoré bezprostredne smeruje k dokonaniu trestného činu a ktorého sa páchateľ dopustil v úmysle spáchať trestný čin, je pokusom trestného činu, ak k dokonaniu trestného činu nedošlo.</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Pokus trestného činu je trestný podľa trestnej sadzby ustanovenej na dokonaný trestný čin.</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Páchateľom trestného činu je, kto trestný čin spáchal sám.</w:t>
            </w: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Ak bol trestný čin spáchaný spoločným konaním dvoch alebo viacerých osôb, zodpovedá každá z nich, ako by trestný čin spáchala sama (spolupáchatelia).</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Účastníkom na dokonanom trestnom čine alebo jeho pokuse je, kto úmyselne</w:t>
            </w:r>
          </w:p>
          <w:p>
            <w:pPr>
              <w:jc w:val="both"/>
              <w:rPr>
                <w:rFonts w:ascii="Times New Roman" w:hAnsi="Times New Roman" w:cs="Times New Roman"/>
                <w:sz w:val="16"/>
                <w:szCs w:val="16"/>
              </w:rPr>
            </w:pPr>
            <w:r>
              <w:rPr>
                <w:rFonts w:ascii="Times New Roman" w:hAnsi="Times New Roman" w:cs="Times New Roman"/>
                <w:sz w:val="16"/>
                <w:szCs w:val="16"/>
              </w:rPr>
              <w:t>a) zosnoval alebo riadil spáchanie trestného činu (organizátor),</w:t>
            </w:r>
          </w:p>
          <w:p>
            <w:pPr>
              <w:jc w:val="both"/>
              <w:rPr>
                <w:rFonts w:ascii="Times New Roman" w:hAnsi="Times New Roman" w:cs="Times New Roman"/>
                <w:sz w:val="16"/>
                <w:szCs w:val="16"/>
              </w:rPr>
            </w:pPr>
            <w:r>
              <w:rPr>
                <w:rFonts w:ascii="Times New Roman" w:hAnsi="Times New Roman" w:cs="Times New Roman"/>
                <w:sz w:val="16"/>
                <w:szCs w:val="16"/>
              </w:rPr>
              <w:t>b) naviedol iného na spáchanie trestného čin</w:t>
            </w:r>
            <w:r>
              <w:rPr>
                <w:rFonts w:ascii="Times New Roman" w:hAnsi="Times New Roman" w:cs="Times New Roman"/>
                <w:sz w:val="16"/>
                <w:szCs w:val="16"/>
              </w:rPr>
              <w:t>u (návodca),</w:t>
            </w:r>
          </w:p>
          <w:p>
            <w:pPr>
              <w:jc w:val="both"/>
              <w:rPr>
                <w:rFonts w:ascii="Times New Roman" w:hAnsi="Times New Roman" w:cs="Times New Roman"/>
                <w:sz w:val="16"/>
                <w:szCs w:val="16"/>
              </w:rPr>
            </w:pPr>
            <w:r>
              <w:rPr>
                <w:rFonts w:ascii="Times New Roman" w:hAnsi="Times New Roman" w:cs="Times New Roman"/>
                <w:sz w:val="16"/>
                <w:szCs w:val="16"/>
              </w:rPr>
              <w:t>c) poskytol inému pomoc na spáchanie trestného činu, najmä zadovážením prostriedkov, odstránením prekážok, radou, utvrdzovaním v predsavzatí, sľubom prispieť po trestnom čine (pomocník).</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Na trestnú zodpovednosť a trestnosť účastníka sa použijú ustanovenia o trestnej zodpovednosti a trestnosti páchateľa, ak tento zákon neustanovuje niečo iné.</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Kto verejne podnecuje na trestný čin alebo na porušovanie verejného poriadku alebo na hromadné neplnenie dôležitej povinnosti uloženej podľa zákona, potresce sa odňatím slobody až na dva roky alebo peňažným trestom.</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Kto v úmysle získať priamo či nepriamo finančnú výhodu alebo inú materiálnu výhodu pre osobu, ktorá nie je štátnym občanom Slovenskej republiky alebo osobou s trvalým pobytom na území Slovensk</w:t>
            </w:r>
            <w:r>
              <w:rPr>
                <w:rFonts w:ascii="Times New Roman" w:hAnsi="Times New Roman" w:cs="Times New Roman"/>
                <w:sz w:val="16"/>
                <w:szCs w:val="16"/>
              </w:rPr>
              <w:t>ej republiky</w:t>
            </w:r>
          </w:p>
          <w:p>
            <w:pPr>
              <w:jc w:val="both"/>
              <w:rPr>
                <w:rFonts w:ascii="Times New Roman" w:hAnsi="Times New Roman" w:cs="Times New Roman"/>
                <w:sz w:val="16"/>
                <w:szCs w:val="16"/>
              </w:rPr>
            </w:pPr>
            <w:r>
              <w:rPr>
                <w:rFonts w:ascii="Times New Roman" w:hAnsi="Times New Roman" w:cs="Times New Roman"/>
                <w:sz w:val="16"/>
                <w:szCs w:val="16"/>
              </w:rPr>
              <w:t>a) organizuje nedovolené prekročenie štátnej hranice Slovenskej republiky alebo prechod cez jej územie, alebo také konanie umožní, alebo v ňom pomáha,</w:t>
            </w:r>
          </w:p>
          <w:p>
            <w:pPr>
              <w:jc w:val="both"/>
              <w:rPr>
                <w:rFonts w:ascii="Times New Roman" w:hAnsi="Times New Roman" w:cs="Times New Roman"/>
                <w:sz w:val="16"/>
                <w:szCs w:val="16"/>
              </w:rPr>
            </w:pPr>
            <w:r>
              <w:rPr>
                <w:rFonts w:ascii="Times New Roman" w:hAnsi="Times New Roman" w:cs="Times New Roman"/>
                <w:sz w:val="16"/>
                <w:szCs w:val="16"/>
              </w:rPr>
              <w:t>b) na účel podľa písm. a) vyrobí, zaobstará, poskytne alebo drží falošný cestovný doklad alebo falošný doklad totožnosti, alebo</w:t>
            </w:r>
          </w:p>
          <w:p>
            <w:pPr>
              <w:jc w:val="both"/>
              <w:rPr>
                <w:rFonts w:ascii="Times New Roman" w:hAnsi="Times New Roman" w:cs="Times New Roman"/>
                <w:sz w:val="16"/>
                <w:szCs w:val="16"/>
              </w:rPr>
            </w:pPr>
            <w:r>
              <w:rPr>
                <w:rFonts w:ascii="Times New Roman" w:hAnsi="Times New Roman" w:cs="Times New Roman"/>
                <w:sz w:val="16"/>
                <w:szCs w:val="16"/>
              </w:rPr>
              <w:t>c) umožní alebo pomáha zotrvať alebo zamestnať sa nedovolene na území Slovenskej republiky,</w:t>
            </w:r>
          </w:p>
          <w:p>
            <w:pPr>
              <w:jc w:val="both"/>
              <w:rPr>
                <w:rFonts w:ascii="Times New Roman" w:hAnsi="Times New Roman" w:cs="Times New Roman"/>
                <w:sz w:val="16"/>
                <w:szCs w:val="16"/>
              </w:rPr>
            </w:pPr>
            <w:r>
              <w:rPr>
                <w:rFonts w:ascii="Times New Roman" w:hAnsi="Times New Roman" w:cs="Times New Roman"/>
                <w:sz w:val="16"/>
                <w:szCs w:val="16"/>
              </w:rPr>
              <w:t>potresce sa odňatím slobody na dva roky až osem rokov.</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Odňatím slobody na päť rokov až desať rokov sa páchateľ potresce, ak spácha čin uvedený v odseku 1</w:t>
            </w:r>
          </w:p>
          <w:p>
            <w:pPr>
              <w:jc w:val="both"/>
              <w:rPr>
                <w:rFonts w:ascii="Times New Roman" w:hAnsi="Times New Roman" w:cs="Times New Roman"/>
                <w:sz w:val="16"/>
                <w:szCs w:val="16"/>
              </w:rPr>
            </w:pPr>
            <w:r>
              <w:rPr>
                <w:rFonts w:ascii="Times New Roman" w:hAnsi="Times New Roman" w:cs="Times New Roman"/>
                <w:sz w:val="16"/>
                <w:szCs w:val="16"/>
              </w:rPr>
              <w:t>a) ako člen organizovanej skupiny,</w:t>
            </w:r>
          </w:p>
          <w:p>
            <w:pPr>
              <w:jc w:val="both"/>
              <w:rPr>
                <w:rFonts w:ascii="Times New Roman" w:hAnsi="Times New Roman" w:cs="Times New Roman"/>
                <w:sz w:val="16"/>
                <w:szCs w:val="16"/>
              </w:rPr>
            </w:pPr>
            <w:r>
              <w:rPr>
                <w:rFonts w:ascii="Times New Roman" w:hAnsi="Times New Roman" w:cs="Times New Roman"/>
                <w:sz w:val="16"/>
                <w:szCs w:val="16"/>
              </w:rPr>
              <w:t>b) v úmysle zakryť alebo uľahčiť spáchanie iného trestného činu, alebo</w:t>
            </w:r>
          </w:p>
          <w:p>
            <w:pPr>
              <w:jc w:val="both"/>
              <w:rPr>
                <w:rFonts w:ascii="Times New Roman" w:hAnsi="Times New Roman" w:cs="Times New Roman"/>
                <w:sz w:val="16"/>
                <w:szCs w:val="16"/>
              </w:rPr>
            </w:pPr>
            <w:r>
              <w:rPr>
                <w:rFonts w:ascii="Times New Roman" w:hAnsi="Times New Roman" w:cs="Times New Roman"/>
                <w:sz w:val="16"/>
                <w:szCs w:val="16"/>
              </w:rPr>
              <w:t>c) spôsobom, ktorý môže ohroziť život alebo zdravie prevážaných osôb, alebo znamená neľudské či ponižujúce zaobchádzanie s nimi alebo ich zneužívanie.</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Rovnako ako v odseku 2 sa páchateľ potresce, ak získa činom uvedeným v odseku 1 pre seba alebo iného väčší prospech.</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Odňatím slobody na osem rokov až dvanásť rokov sa páchateľ potresce, ak činom uvedeným v odseku 1</w:t>
            </w:r>
          </w:p>
          <w:p>
            <w:pPr>
              <w:jc w:val="both"/>
              <w:rPr>
                <w:rFonts w:ascii="Times New Roman" w:hAnsi="Times New Roman" w:cs="Times New Roman"/>
                <w:sz w:val="16"/>
                <w:szCs w:val="16"/>
              </w:rPr>
            </w:pPr>
            <w:r>
              <w:rPr>
                <w:rFonts w:ascii="Times New Roman" w:hAnsi="Times New Roman" w:cs="Times New Roman"/>
                <w:sz w:val="16"/>
                <w:szCs w:val="16"/>
              </w:rPr>
              <w:t>a) spôsobí ťažkú ujmu na zdraví alebo smrť, alebo</w:t>
            </w:r>
          </w:p>
          <w:p>
            <w:pPr>
              <w:jc w:val="both"/>
              <w:rPr>
                <w:rFonts w:ascii="Times New Roman" w:hAnsi="Times New Roman" w:cs="Times New Roman"/>
                <w:sz w:val="16"/>
                <w:szCs w:val="16"/>
              </w:rPr>
            </w:pPr>
            <w:r>
              <w:rPr>
                <w:rFonts w:ascii="Times New Roman" w:hAnsi="Times New Roman" w:cs="Times New Roman"/>
                <w:sz w:val="16"/>
                <w:szCs w:val="16"/>
              </w:rPr>
              <w:t>b) získa pre seba alebo iného značný prospech.</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 xml:space="preserve">Rovnako ako v odseku 4 sa páchateľ potresce, ak spácha čin uvedený v odseku 1 ako člen zločineckej skupiny. </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Odňatím slobody na desať rokov až pätnásť rokov sa páchateľ potresce, ak spôsobí činom uvedeným v odseku 1 smrť viacerých osôb.</w:t>
            </w: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Tento zákon nadobúda účinnosť 1. júla 2004.</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Týmto zákonom sa preberajú právne akty Európskych spoločenstiev a Európskej únie uvedené v prílohe.</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Zoznam preberaných právnych aktov Európskych spoločenstiev a Európskej únie</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1. Smernica Rady 2002/90/ES z 28. novembra 2002, ktorá definuje napomáhanie neoprávneného vstupu, tranzitu a bydliska.</w:t>
            </w:r>
          </w:p>
          <w:p>
            <w:pPr>
              <w:jc w:val="both"/>
              <w:rPr>
                <w:rFonts w:ascii="Times New Roman" w:hAnsi="Times New Roman" w:cs="Times New Roman"/>
                <w:sz w:val="16"/>
                <w:szCs w:val="16"/>
              </w:rPr>
            </w:pPr>
            <w:r>
              <w:rPr>
                <w:rFonts w:ascii="Times New Roman" w:hAnsi="Times New Roman" w:cs="Times New Roman"/>
                <w:sz w:val="16"/>
                <w:szCs w:val="16"/>
              </w:rPr>
              <w:t>2. Rámcové rozhodnutie Rady 2001/220/SVZ z 15. marca 2001 o postavení obetí v trestnom konaní.</w:t>
            </w:r>
          </w:p>
          <w:p>
            <w:pPr>
              <w:jc w:val="both"/>
              <w:rPr>
                <w:rFonts w:ascii="Times New Roman" w:hAnsi="Times New Roman" w:cs="Times New Roman"/>
                <w:sz w:val="16"/>
                <w:szCs w:val="16"/>
              </w:rPr>
            </w:pPr>
            <w:r>
              <w:rPr>
                <w:rFonts w:ascii="Times New Roman" w:hAnsi="Times New Roman" w:cs="Times New Roman"/>
                <w:sz w:val="16"/>
                <w:szCs w:val="16"/>
              </w:rPr>
              <w:t>3. Rámcové rozhodnutie Rady 2001/413/SVZ z 28. mája 2001 o boji proti podvodom a falšovaniu bezhotovostných platobných prostriedkov.</w:t>
            </w:r>
          </w:p>
          <w:p>
            <w:pPr>
              <w:jc w:val="both"/>
              <w:rPr>
                <w:rFonts w:ascii="Times New Roman" w:hAnsi="Times New Roman" w:cs="Times New Roman"/>
                <w:sz w:val="16"/>
                <w:szCs w:val="16"/>
              </w:rPr>
            </w:pPr>
            <w:r>
              <w:rPr>
                <w:rFonts w:ascii="Times New Roman" w:hAnsi="Times New Roman" w:cs="Times New Roman"/>
                <w:sz w:val="16"/>
                <w:szCs w:val="16"/>
              </w:rPr>
              <w:t>4. Rámcové rozhodnutie Rady 2002/475/SVZ z 13. júna 2002 o boji proti terorizmu.</w:t>
            </w:r>
          </w:p>
          <w:p>
            <w:pPr>
              <w:jc w:val="both"/>
              <w:rPr>
                <w:rFonts w:ascii="Times New Roman" w:hAnsi="Times New Roman" w:cs="Times New Roman"/>
                <w:sz w:val="16"/>
                <w:szCs w:val="16"/>
              </w:rPr>
            </w:pPr>
            <w:r>
              <w:rPr>
                <w:rFonts w:ascii="Times New Roman" w:hAnsi="Times New Roman" w:cs="Times New Roman"/>
                <w:sz w:val="16"/>
                <w:szCs w:val="16"/>
              </w:rPr>
              <w:t>5. Rámcové rozhodnutie Rady 2002/629/SVZ z 19. júla 2002 o boji proti obchodovaniu s ľuďmi.</w:t>
            </w:r>
          </w:p>
          <w:p>
            <w:pPr>
              <w:jc w:val="both"/>
              <w:rPr>
                <w:rFonts w:ascii="Times New Roman" w:hAnsi="Times New Roman" w:cs="Times New Roman"/>
                <w:sz w:val="16"/>
                <w:szCs w:val="16"/>
              </w:rPr>
            </w:pPr>
            <w:r>
              <w:rPr>
                <w:rFonts w:ascii="Times New Roman" w:hAnsi="Times New Roman" w:cs="Times New Roman"/>
                <w:sz w:val="16"/>
                <w:szCs w:val="16"/>
              </w:rPr>
              <w:t>6. Rámcové rozhodnutie Rady 2002/946/SVZ z 28. novembra 2002 o posilnení trestného systému na zabránenie napomáhaniu neoprávneného vstupu, tranzitu a bydliska.</w:t>
            </w: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p>
            <w:pPr>
              <w:jc w:val="both"/>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both"/>
              <w:rPr>
                <w:rFonts w:ascii="Times New Roman" w:hAnsi="Times New Roman" w:cs="Times New Roman"/>
                <w:b/>
                <w:sz w:val="16"/>
                <w:szCs w:val="16"/>
              </w:rPr>
            </w:pPr>
            <w:r>
              <w:rPr>
                <w:rFonts w:ascii="Times New Roman" w:hAnsi="Times New Roman" w:cs="Times New Roman"/>
                <w:b/>
                <w:sz w:val="16"/>
                <w:szCs w:val="16"/>
              </w:rPr>
              <w:t>Ú</w:t>
            </w: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r>
              <w:rPr>
                <w:rFonts w:ascii="Times New Roman" w:hAnsi="Times New Roman" w:cs="Times New Roman"/>
                <w:b/>
                <w:sz w:val="16"/>
                <w:szCs w:val="16"/>
              </w:rPr>
              <w:t>Ú</w:t>
            </w: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r>
              <w:rPr>
                <w:rFonts w:ascii="Times New Roman" w:hAnsi="Times New Roman" w:cs="Times New Roman"/>
                <w:b/>
                <w:sz w:val="16"/>
                <w:szCs w:val="16"/>
              </w:rPr>
              <w:t>Ú</w:t>
            </w: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r>
              <w:rPr>
                <w:rFonts w:ascii="Times New Roman" w:hAnsi="Times New Roman" w:cs="Times New Roman"/>
                <w:b/>
                <w:sz w:val="16"/>
                <w:szCs w:val="16"/>
              </w:rPr>
              <w:t>Ú</w:t>
            </w: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p>
            <w:pPr>
              <w:jc w:val="both"/>
              <w:rPr>
                <w:rFonts w:ascii="Times New Roman" w:hAnsi="Times New Roman" w:cs="Times New Roman"/>
                <w:b/>
                <w:sz w:val="16"/>
                <w:szCs w:val="16"/>
              </w:rPr>
            </w:pP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both"/>
              <w:rPr>
                <w:rFonts w:ascii="Times New Roman" w:hAnsi="Times New Roman" w:cs="Times New Roman"/>
                <w:b/>
                <w:sz w:val="16"/>
                <w:szCs w:val="16"/>
              </w:rPr>
            </w:pPr>
            <w:r>
              <w:rPr>
                <w:rFonts w:ascii="Times New Roman" w:hAnsi="Times New Roman" w:cs="Times New Roman"/>
                <w:b/>
                <w:sz w:val="16"/>
                <w:szCs w:val="16"/>
              </w:rPr>
              <w:t>Ministerstvo spravodlivosti</w:t>
            </w:r>
          </w:p>
          <w:p>
            <w:pPr>
              <w:jc w:val="both"/>
              <w:rPr>
                <w:rFonts w:ascii="Times New Roman" w:hAnsi="Times New Roman" w:cs="Times New Roman"/>
                <w:b/>
                <w:sz w:val="16"/>
                <w:szCs w:val="16"/>
              </w:rPr>
            </w:pPr>
            <w:r>
              <w:rPr>
                <w:rFonts w:ascii="Times New Roman" w:hAnsi="Times New Roman" w:cs="Times New Roman"/>
                <w:b/>
                <w:sz w:val="16"/>
                <w:szCs w:val="16"/>
              </w:rPr>
              <w:t>Slovenskej</w:t>
            </w:r>
          </w:p>
          <w:p>
            <w:pPr>
              <w:jc w:val="both"/>
              <w:rPr>
                <w:rFonts w:ascii="Times New Roman" w:hAnsi="Times New Roman" w:cs="Times New Roman"/>
                <w:b/>
                <w:sz w:val="16"/>
                <w:szCs w:val="16"/>
              </w:rPr>
            </w:pPr>
            <w:r>
              <w:rPr>
                <w:rFonts w:ascii="Times New Roman" w:hAnsi="Times New Roman" w:cs="Times New Roman"/>
                <w:b/>
                <w:sz w:val="16"/>
                <w:szCs w:val="16"/>
              </w:rPr>
              <w:t>republiky</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bot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both"/>
              <w:rPr>
                <w:rFonts w:ascii="Times New Roman" w:hAnsi="Times New Roman" w:cs="Times New Roman"/>
                <w:sz w:val="24"/>
                <w:szCs w:val="24"/>
              </w:rPr>
            </w:pPr>
          </w:p>
        </w:tc>
      </w:tr>
    </w:tbl>
    <w:p>
      <w:pPr>
        <w:pStyle w:val="Heading3"/>
        <w:numPr>
          <w:numId w:val="0"/>
        </w:numPr>
        <w:tabs>
          <w:tab w:val="left" w:pos="708"/>
        </w:tabs>
        <w:rPr>
          <w:rFonts w:ascii="Times New Roman" w:hAnsi="Times New Roman" w:cs="Times New Roman"/>
          <w:b w:val="0"/>
          <w:bCs w:val="0"/>
        </w:rPr>
      </w:pPr>
    </w:p>
    <w:p>
      <w:pPr>
        <w:rPr>
          <w:rFonts w:ascii="Times New Roman" w:hAnsi="Times New Roman" w:cs="Times New Roman"/>
        </w:rPr>
      </w:pPr>
    </w:p>
    <w:sectPr>
      <w:pgSz w:w="16838" w:h="11906" w:orient="landscape"/>
      <w:pgMar w:top="1418" w:right="1418" w:bottom="1418" w:left="1418"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AC6"/>
    <w:multiLevelType w:val="hybridMultilevel"/>
    <w:tmpl w:val="99A26B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477476"/>
    <w:multiLevelType w:val="hybridMultilevel"/>
    <w:tmpl w:val="A5369D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505A9E"/>
    <w:multiLevelType w:val="hybridMultilevel"/>
    <w:tmpl w:val="AC0009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07776D9"/>
    <w:multiLevelType w:val="hybridMultilevel"/>
    <w:tmpl w:val="4B88F5D2"/>
    <w:lvl w:ilvl="0">
      <w:start w:val="1"/>
      <w:numFmt w:val="upperLetter"/>
      <w:pStyle w:val="Heading3"/>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0E758A0"/>
    <w:multiLevelType w:val="hybridMultilevel"/>
    <w:tmpl w:val="6200FB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E935CE8"/>
    <w:multiLevelType w:val="hybridMultilevel"/>
    <w:tmpl w:val="8FAAFE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D872CE2"/>
    <w:multiLevelType w:val="hybridMultilevel"/>
    <w:tmpl w:val="3A4026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8"/>
      <w:szCs w:val="28"/>
      <w:rtl w:val="0"/>
      <w:lang w:val="sk-SK" w:bidi="ar-SA"/>
    </w:rPr>
  </w:style>
  <w:style w:type="paragraph" w:styleId="Heading3">
    <w:name w:val="heading 3"/>
    <w:basedOn w:val="Normal"/>
    <w:next w:val="Normal"/>
    <w:uiPriority w:val="9"/>
    <w:qFormat/>
    <w:pPr>
      <w:keepNext/>
      <w:numPr>
        <w:ilvl w:val="0"/>
        <w:numId w:val="1"/>
      </w:numPr>
      <w:tabs>
        <w:tab w:val="left" w:pos="720"/>
      </w:tabs>
      <w:ind w:left="720" w:hanging="720"/>
      <w:jc w:val="both"/>
      <w:outlineLvl w:val="2"/>
    </w:pPr>
    <w:rPr>
      <w:b/>
      <w:bCs/>
    </w:rPr>
  </w:style>
  <w:style w:type="paragraph" w:styleId="Heading7">
    <w:name w:val="heading 7"/>
    <w:basedOn w:val="Normal"/>
    <w:next w:val="Normal"/>
    <w:uiPriority w:val="9"/>
    <w:qFormat/>
    <w:pPr>
      <w:keepNext/>
      <w:jc w:val="center"/>
      <w:outlineLvl w:val="6"/>
    </w:pPr>
    <w:rPr>
      <w:b/>
      <w:bCs/>
    </w:rPr>
  </w:style>
  <w:style w:type="paragraph" w:styleId="Heading8">
    <w:name w:val="heading 8"/>
    <w:basedOn w:val="Normal"/>
    <w:next w:val="Normal"/>
    <w:uiPriority w:val="9"/>
    <w:qFormat/>
    <w:pPr>
      <w:keepNext/>
      <w:jc w:val="center"/>
      <w:outlineLvl w:val="7"/>
    </w:p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EnvelopeReturn">
    <w:name w:val="envelope return"/>
    <w:basedOn w:val="Normal"/>
    <w:pPr>
      <w:jc w:val="left"/>
    </w:pPr>
    <w:rPr>
      <w:b/>
      <w:bCs/>
      <w:shadow/>
      <w:color w:val="00000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1</Pages>
  <Words>1322</Words>
  <Characters>7539</Characters>
  <Application>Microsoft Office Word</Application>
  <DocSecurity>0</DocSecurity>
  <Lines>0</Lines>
  <Paragraphs>0</Paragraphs>
  <ScaleCrop>false</ScaleCrop>
  <Company>MSSR</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stanislav.gana</dc:creator>
  <cp:lastModifiedBy>ruzena.zindlerova</cp:lastModifiedBy>
  <cp:revision>3</cp:revision>
  <cp:lastPrinted>2004-04-05T15:10:00Z</cp:lastPrinted>
  <dcterms:created xsi:type="dcterms:W3CDTF">2004-04-05T15:10:00Z</dcterms:created>
  <dcterms:modified xsi:type="dcterms:W3CDTF">2004-04-20T16:50:00Z</dcterms:modified>
</cp:coreProperties>
</file>