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5757">
      <w:pPr>
        <w:jc w:val="both"/>
        <w:rPr>
          <w:rFonts w:ascii="Times New Roman" w:hAnsi="Times New Roman" w:cs="Times New Roman"/>
        </w:rPr>
      </w:pPr>
    </w:p>
    <w:p w:rsidR="0015575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55757">
      <w:pPr>
        <w:jc w:val="center"/>
        <w:rPr>
          <w:rFonts w:ascii="Arial" w:hAnsi="Arial" w:cs="Times New Roman"/>
          <w:b/>
          <w:sz w:val="28"/>
          <w:u w:val="single"/>
        </w:rPr>
      </w:pPr>
    </w:p>
    <w:p w:rsidR="00155757">
      <w:pPr>
        <w:pStyle w:val="Heading2"/>
        <w:rPr>
          <w:rFonts w:cs="Times New Roman"/>
        </w:rPr>
      </w:pPr>
      <w:r>
        <w:rPr>
          <w:rFonts w:cs="Times New Roman"/>
        </w:rPr>
        <w:t>III. volebné obdobie</w:t>
      </w:r>
    </w:p>
    <w:p w:rsidR="00155757">
      <w:pPr>
        <w:jc w:val="center"/>
        <w:rPr>
          <w:rFonts w:ascii="Arial" w:hAnsi="Arial" w:cs="Times New Roman"/>
          <w:b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Na rokovanie                                                                   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Národnej rady Slovenskej republiky                                                  Číslo:          /2004</w:t>
      </w:r>
    </w:p>
    <w:p w:rsidR="00155757">
      <w:pPr>
        <w:jc w:val="both"/>
        <w:rPr>
          <w:rFonts w:ascii="Arial" w:hAnsi="Arial" w:cs="Times New Roman"/>
          <w:sz w:val="24"/>
        </w:rPr>
      </w:pPr>
    </w:p>
    <w:p w:rsidR="00155757">
      <w:pPr>
        <w:jc w:val="both"/>
        <w:rPr>
          <w:rFonts w:ascii="Arial" w:hAnsi="Arial" w:cs="Times New Roman"/>
          <w:sz w:val="24"/>
        </w:rPr>
      </w:pPr>
    </w:p>
    <w:p w:rsidR="00155757">
      <w:pPr>
        <w:jc w:val="both"/>
        <w:rPr>
          <w:rFonts w:ascii="Arial" w:hAnsi="Arial" w:cs="Times New Roman"/>
          <w:sz w:val="24"/>
        </w:rPr>
      </w:pPr>
    </w:p>
    <w:p w:rsidR="00155757">
      <w:pPr>
        <w:jc w:val="both"/>
        <w:rPr>
          <w:rFonts w:ascii="Arial" w:hAnsi="Arial" w:cs="Times New Roman"/>
          <w:sz w:val="24"/>
        </w:rPr>
      </w:pPr>
    </w:p>
    <w:p w:rsidR="00155757">
      <w:pPr>
        <w:jc w:val="both"/>
        <w:rPr>
          <w:rFonts w:ascii="Arial" w:hAnsi="Arial" w:cs="Times New Roman"/>
          <w:sz w:val="24"/>
        </w:rPr>
      </w:pPr>
    </w:p>
    <w:p w:rsidR="00155757">
      <w:pPr>
        <w:jc w:val="both"/>
        <w:rPr>
          <w:rFonts w:ascii="Arial" w:hAnsi="Arial" w:cs="Times New Roman"/>
          <w:sz w:val="24"/>
        </w:rPr>
      </w:pPr>
    </w:p>
    <w:p w:rsidR="00155757">
      <w:pPr>
        <w:jc w:val="both"/>
        <w:rPr>
          <w:rFonts w:ascii="Arial" w:hAnsi="Arial" w:cs="Times New Roman"/>
          <w:sz w:val="24"/>
        </w:rPr>
      </w:pPr>
    </w:p>
    <w:p w:rsidR="00155757">
      <w:pPr>
        <w:pStyle w:val="Heading3"/>
        <w:rPr>
          <w:rFonts w:cs="Times New Roman"/>
        </w:rPr>
      </w:pPr>
      <w:r>
        <w:rPr>
          <w:rFonts w:cs="Times New Roman"/>
        </w:rPr>
        <w:t>N á v r h</w:t>
      </w:r>
    </w:p>
    <w:p w:rsidR="00155757">
      <w:pPr>
        <w:jc w:val="center"/>
        <w:rPr>
          <w:rFonts w:ascii="Arial" w:hAnsi="Arial" w:cs="Times New Roman"/>
          <w:b/>
          <w:sz w:val="28"/>
        </w:rPr>
      </w:pP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skupiny poslancov Národnej rady Slovenskej republiky</w:t>
      </w:r>
    </w:p>
    <w:p w:rsidR="00155757">
      <w:pPr>
        <w:jc w:val="center"/>
        <w:rPr>
          <w:rFonts w:ascii="Arial" w:hAnsi="Arial" w:cs="Times New Roman"/>
          <w:sz w:val="24"/>
        </w:rPr>
      </w:pPr>
    </w:p>
    <w:p w:rsidR="00155757">
      <w:pPr>
        <w:jc w:val="center"/>
        <w:rPr>
          <w:rFonts w:ascii="Arial" w:hAnsi="Arial" w:cs="Times New Roman"/>
          <w:b/>
          <w:sz w:val="24"/>
        </w:rPr>
      </w:pPr>
      <w:r>
        <w:rPr>
          <w:rFonts w:ascii="Arial" w:hAnsi="Arial" w:cs="Times New Roman"/>
          <w:b/>
          <w:sz w:val="24"/>
        </w:rPr>
        <w:t>n a   v y d a n i e</w:t>
      </w:r>
    </w:p>
    <w:p w:rsidR="00155757">
      <w:pPr>
        <w:jc w:val="center"/>
        <w:rPr>
          <w:rFonts w:ascii="Arial" w:hAnsi="Arial" w:cs="Times New Roman"/>
          <w:b/>
          <w:sz w:val="24"/>
        </w:rPr>
      </w:pPr>
    </w:p>
    <w:p w:rsidR="00155757">
      <w:pPr>
        <w:pStyle w:val="BlockText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zákona, ktorým sa mení a dopĺňa zákon Slovenskej národnej rady </w:t>
      </w:r>
    </w:p>
    <w:p w:rsidR="00155757">
      <w:pPr>
        <w:pStyle w:val="BlockText"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138/1991 Zb. o majetku obcí v znení neskorších predpisov</w:t>
      </w:r>
    </w:p>
    <w:p w:rsidR="00155757">
      <w:pPr>
        <w:ind w:left="567" w:right="567"/>
        <w:jc w:val="both"/>
        <w:rPr>
          <w:rFonts w:ascii="Arial" w:hAnsi="Arial" w:cs="Times New Roman"/>
          <w:sz w:val="24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4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4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4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  <w:u w:val="single"/>
        </w:rPr>
        <w:t>P r e d k l a d a j ú:</w:t>
      </w:r>
      <w:r>
        <w:rPr>
          <w:rFonts w:ascii="Arial" w:hAnsi="Arial" w:cs="Times New Roman"/>
          <w:sz w:val="22"/>
        </w:rPr>
        <w:t xml:space="preserve">               </w:t>
      </w:r>
      <w:r>
        <w:rPr>
          <w:rFonts w:ascii="Arial" w:hAnsi="Arial" w:cs="Times New Roman"/>
          <w:sz w:val="22"/>
        </w:rPr>
        <w:t xml:space="preserve">                     </w:t>
      </w:r>
      <w:r>
        <w:rPr>
          <w:rFonts w:ascii="Arial" w:hAnsi="Arial" w:cs="Times New Roman"/>
          <w:sz w:val="22"/>
          <w:u w:val="single"/>
        </w:rPr>
        <w:t>Návrh na uznesenie:</w:t>
      </w:r>
    </w:p>
    <w:p w:rsidR="00155757">
      <w:pPr>
        <w:ind w:left="567" w:right="567"/>
        <w:jc w:val="both"/>
        <w:rPr>
          <w:rFonts w:ascii="Arial" w:hAnsi="Arial" w:cs="Times New Roman"/>
          <w:sz w:val="22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Anton    D a n k o                                      Národná rada Slovenskej republiky</w:t>
      </w:r>
    </w:p>
    <w:p w:rsidR="00155757">
      <w:pPr>
        <w:ind w:left="567" w:right="567"/>
        <w:jc w:val="both"/>
        <w:rPr>
          <w:rFonts w:ascii="Arial" w:hAnsi="Arial" w:cs="Times New Roman"/>
          <w:b/>
          <w:sz w:val="22"/>
        </w:rPr>
      </w:pPr>
      <w:r>
        <w:rPr>
          <w:rFonts w:ascii="Arial" w:hAnsi="Arial" w:cs="Times New Roman"/>
          <w:b/>
          <w:sz w:val="22"/>
        </w:rPr>
        <w:t xml:space="preserve">                                                                  s c h v a ľ u j e</w:t>
      </w:r>
    </w:p>
    <w:p w:rsidR="00155757">
      <w:pPr>
        <w:ind w:left="567"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Imrich    H a m a r č á k               </w:t>
      </w:r>
      <w:r>
        <w:rPr>
          <w:rFonts w:ascii="Arial" w:hAnsi="Arial" w:cs="Times New Roman"/>
          <w:sz w:val="22"/>
        </w:rPr>
        <w:t xml:space="preserve">             návrh skupiny poslancov Národnej</w:t>
      </w:r>
    </w:p>
    <w:p w:rsidR="00155757">
      <w:pPr>
        <w:ind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                                                                           rady Slovenskej republiky na vydanie</w:t>
      </w:r>
    </w:p>
    <w:p w:rsidR="00155757">
      <w:pPr>
        <w:ind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         Vladimír  H o r á k                                     zákona, ktorým sa mení a dopĺňa zákon</w:t>
      </w:r>
    </w:p>
    <w:p w:rsidR="00155757">
      <w:pPr>
        <w:ind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                                                                           Slovenskej národnej rady č. 138/1991</w:t>
      </w:r>
    </w:p>
    <w:p w:rsidR="00155757">
      <w:pPr>
        <w:ind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         </w:t>
      </w:r>
      <w:r>
        <w:rPr>
          <w:rFonts w:ascii="Arial" w:hAnsi="Arial" w:cs="Times New Roman"/>
          <w:sz w:val="24"/>
        </w:rPr>
        <w:t xml:space="preserve">Milan   H o r t </w:t>
      </w:r>
      <w:r>
        <w:rPr>
          <w:rFonts w:ascii="Arial" w:hAnsi="Arial" w:cs="Times New Roman"/>
          <w:sz w:val="22"/>
        </w:rPr>
        <w:t xml:space="preserve">                                          Zb. o majetku obcí v znení neskorších</w:t>
      </w:r>
    </w:p>
    <w:p w:rsidR="00155757">
      <w:pPr>
        <w:ind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                                  </w:t>
      </w:r>
      <w:r>
        <w:rPr>
          <w:rFonts w:ascii="Arial" w:hAnsi="Arial" w:cs="Times New Roman"/>
          <w:sz w:val="22"/>
        </w:rPr>
        <w:t xml:space="preserve">                                          predpisov</w:t>
      </w:r>
    </w:p>
    <w:p w:rsidR="00155757">
      <w:pPr>
        <w:ind w:right="567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      </w:t>
      </w: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left="4820" w:right="567"/>
        <w:jc w:val="both"/>
        <w:rPr>
          <w:rFonts w:ascii="Arial" w:hAnsi="Arial" w:cs="Times New Roman"/>
          <w:sz w:val="22"/>
        </w:rPr>
      </w:pPr>
    </w:p>
    <w:p w:rsidR="00155757">
      <w:pPr>
        <w:ind w:right="567"/>
        <w:jc w:val="center"/>
        <w:rPr>
          <w:rFonts w:ascii="Arial" w:hAnsi="Arial" w:cs="Times New Roman"/>
          <w:b/>
          <w:sz w:val="28"/>
        </w:rPr>
      </w:pPr>
      <w:r>
        <w:rPr>
          <w:rFonts w:ascii="Arial" w:hAnsi="Arial" w:cs="Times New Roman"/>
          <w:b/>
          <w:sz w:val="28"/>
        </w:rPr>
        <w:t>Bratislava apríl 2004</w:t>
      </w:r>
    </w:p>
    <w:p w:rsidR="00155757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155757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155757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155757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155757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1557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 volebné obdobie</w:t>
      </w:r>
    </w:p>
    <w:p w:rsidR="00155757">
      <w:pPr>
        <w:jc w:val="both"/>
        <w:rPr>
          <w:rFonts w:ascii="Times New Roman" w:hAnsi="Times New Roman" w:cs="Times New Roman"/>
          <w:b/>
          <w:sz w:val="28"/>
        </w:rPr>
      </w:pPr>
    </w:p>
    <w:p w:rsidR="00155757">
      <w:pPr>
        <w:jc w:val="both"/>
        <w:rPr>
          <w:rFonts w:ascii="Times New Roman" w:hAnsi="Times New Roman" w:cs="Times New Roman"/>
          <w:b/>
          <w:sz w:val="28"/>
        </w:rPr>
      </w:pP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Návrh zákona z ........2004,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ktorým sa mení a dopĺňa zákon Slovenskej národnej rady č. 138/1991 Zb. o majetku obcí v znení neskorších predpisov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</w:p>
    <w:p w:rsidR="0015575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155757">
      <w:pPr>
        <w:jc w:val="center"/>
        <w:rPr>
          <w:rFonts w:ascii="Times New Roman" w:hAnsi="Times New Roman" w:cs="Times New Roman"/>
          <w:sz w:val="24"/>
        </w:rPr>
      </w:pPr>
    </w:p>
    <w:p w:rsidR="00155757">
      <w:pPr>
        <w:jc w:val="center"/>
        <w:rPr>
          <w:rFonts w:ascii="Times New Roman" w:hAnsi="Times New Roman" w:cs="Times New Roman"/>
          <w:sz w:val="24"/>
        </w:rPr>
      </w:pPr>
    </w:p>
    <w:p w:rsidR="00155757">
      <w:pPr>
        <w:pStyle w:val="Heading1"/>
        <w:rPr>
          <w:rFonts w:cs="Times New Roman"/>
          <w:sz w:val="24"/>
          <w:u w:val="none"/>
        </w:rPr>
      </w:pPr>
      <w:r>
        <w:rPr>
          <w:rFonts w:cs="Times New Roman"/>
          <w:sz w:val="24"/>
          <w:u w:val="none"/>
        </w:rPr>
        <w:t>Čl. I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Slovenskej národnej rady č. 138/1991 Zb. o majetku obcí v znení zákona Slovenskej národnej rady č. 306/1992 Zb., zákona Národnej rady Slovenskej republiky č. 43/1993 Z. z., zákona Národnej rady Slovenskej republiky č. 278/993 Z. z., zákona Národnej rady Slovenskej republiky č. 245/1994 Z. z., zákona Národnej rady Slovenskej republiky č. 147/1995 Z. z., nálezu Ústavného súdu Slovenskej republiky č. 130/1996 Z. z., zákona Národnej rady Slovenskej republiky č. 447/2001 Z. z. a zákona č. 522/2003 Z. z. sa mení a dopĺňa takto: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9 ods. 4 sa za slová „obchodnej verejnej súťaže,“ vkladajú slová „s výnimkou podľa odseku 6,“.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 sa dopĺňa odsekmi 5 a 6, ktoré znejú: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BodyText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„(5) Obec nemôže previesť vlastnícke právo k majetku mimo obchodnej  verejnej súťaže ani na právnickú osobu, v ktorej zakladateľom, vlastníkom obchodného podielu, štatutárnym orgánom alebo členom štatutárneho orgánu, členom riadiaceho, výkonného alebo dozorného orgánu je osoba uvedená v odseku 4</w:t>
      </w:r>
      <w:r>
        <w:rPr>
          <w:rFonts w:ascii="Symbol" w:hAnsi="Symbol" w:cs="Times New Roman"/>
          <w:b w:val="0"/>
          <w:i w:val="0"/>
        </w:rPr>
        <w:sym w:font="Symbol" w:char="F03B"/>
      </w:r>
      <w:r>
        <w:rPr>
          <w:rFonts w:ascii="Times New Roman" w:hAnsi="Times New Roman" w:cs="Times New Roman"/>
          <w:b w:val="0"/>
          <w:i w:val="0"/>
        </w:rPr>
        <w:t xml:space="preserve"> to neplatí, ak ide o právnickú osobu, ktorej zakladateľom je obec alebo v ktorej má obec obchodný podiel.</w:t>
      </w:r>
    </w:p>
    <w:p w:rsidR="00155757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môže fyzickej osobe uvedenej v odseku 4 previesť mimo obchodnej verejnej súťaže</w:t>
      </w:r>
    </w:p>
    <w:p w:rsidR="0015575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byt alebo pozemok podľa osobitného predpisu</w:t>
      </w:r>
      <w:r>
        <w:rPr>
          <w:rFonts w:ascii="Times New Roman" w:hAnsi="Times New Roman" w:cs="Times New Roman"/>
          <w:sz w:val="24"/>
          <w:vertAlign w:val="superscript"/>
        </w:rPr>
        <w:t>22a)</w:t>
      </w:r>
      <w:r>
        <w:rPr>
          <w:rFonts w:ascii="Times New Roman" w:hAnsi="Times New Roman" w:cs="Times New Roman"/>
          <w:sz w:val="24"/>
        </w:rPr>
        <w:t>,</w:t>
      </w:r>
    </w:p>
    <w:p w:rsidR="0015575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pozemok zastavaný stavbou v jej vlastníctve ,</w:t>
      </w:r>
    </w:p>
    <w:p w:rsidR="0015575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podiel majetku obce, ktorým sa realizuje zákonné predkupné právo</w:t>
      </w:r>
      <w:r>
        <w:rPr>
          <w:rFonts w:ascii="Times New Roman" w:hAnsi="Times New Roman" w:cs="Times New Roman"/>
          <w:sz w:val="24"/>
          <w:vertAlign w:val="superscript"/>
        </w:rPr>
        <w:t>22d)</w:t>
      </w:r>
      <w:r>
        <w:rPr>
          <w:rFonts w:ascii="Times New Roman" w:hAnsi="Times New Roman" w:cs="Times New Roman"/>
          <w:sz w:val="24"/>
        </w:rPr>
        <w:t>,</w:t>
      </w:r>
    </w:p>
    <w:p w:rsidR="0015575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hnuteľnú vec, ktorej zostatková cena je nižšia ako 50 000,-Sk.“.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 od</w:t>
      </w:r>
      <w:r>
        <w:rPr>
          <w:rFonts w:ascii="Times New Roman" w:hAnsi="Times New Roman" w:cs="Times New Roman"/>
          <w:sz w:val="24"/>
        </w:rPr>
        <w:t>kazu 22d znie: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 xml:space="preserve">22d) </w:t>
      </w:r>
      <w:r>
        <w:rPr>
          <w:rFonts w:ascii="Times New Roman" w:hAnsi="Times New Roman" w:cs="Times New Roman"/>
          <w:sz w:val="24"/>
        </w:rPr>
        <w:t>Napríklad § 140 Občianskeho zákonníka.“.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Heading1"/>
        <w:rPr>
          <w:rFonts w:cs="Times New Roman"/>
          <w:sz w:val="24"/>
          <w:u w:val="none"/>
        </w:rPr>
      </w:pPr>
      <w:r>
        <w:rPr>
          <w:rFonts w:cs="Times New Roman"/>
          <w:sz w:val="24"/>
          <w:u w:val="none"/>
        </w:rPr>
        <w:t>Čl. II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zákon nadobúda účinnosť 1. júla 2004.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ô v o d o v á   s p r á v a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</w:p>
    <w:p w:rsidR="0015575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reaguje na diskrimináciu časti občanov pri nadobúdaní vlastníctva a na rozdi</w:t>
      </w:r>
      <w:r>
        <w:rPr>
          <w:rFonts w:ascii="Times New Roman" w:hAnsi="Times New Roman" w:cs="Times New Roman"/>
        </w:rPr>
        <w:t>ely, ktoré vznikli medzi právnou úpravou prevodu vlastníckeho práva k majetku obce a právnou úpravou prevodu vlastníckeho práva k majetku vyšších územných celkov.</w:t>
      </w:r>
    </w:p>
    <w:p w:rsidR="00155757">
      <w:pPr>
        <w:pStyle w:val="BodyTextIndent"/>
        <w:rPr>
          <w:rFonts w:ascii="Times New Roman" w:hAnsi="Times New Roman" w:cs="Times New Roman"/>
        </w:rPr>
      </w:pPr>
    </w:p>
    <w:p w:rsidR="00155757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Účelom predkladanej novely zákona o majetku obcí je odstrániť  možnú kolíziu zákona s Ústavo</w:t>
      </w:r>
      <w:r>
        <w:rPr>
          <w:rFonts w:ascii="Times New Roman" w:hAnsi="Times New Roman" w:cs="Times New Roman"/>
        </w:rPr>
        <w:t xml:space="preserve">u Slovenskej republiky a zosúladiť právnu úpravu prevodu vlastníckeho práva k majetku obcí s právnou úpravou vlastníckeho práva k majetku vyšších územných celkov. </w:t>
      </w:r>
    </w:p>
    <w:p w:rsidR="00155757">
      <w:pPr>
        <w:pStyle w:val="BodyTextIndent"/>
        <w:rPr>
          <w:rFonts w:ascii="Times New Roman" w:hAnsi="Times New Roman" w:cs="Times New Roman"/>
        </w:rPr>
      </w:pPr>
    </w:p>
    <w:p w:rsidR="00155757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Návrhom sa ustanovuje okruh právnických osôb, ktoré v rámci opatrení boja proti korupcii, nemôžu nadobudnúť do svojho vlastníctva majetok obce ináč ako obchodnou verejnou súťažou a odstraňuje sa neústavná diskriminácia určitej časti občanov pri nadobúdaní vlastníctva. Súčasný zákon o majetku obcí, na rozdiel od zákona o majetku vyšších územných </w:t>
      </w:r>
      <w:r>
        <w:rPr>
          <w:rFonts w:ascii="Times New Roman" w:hAnsi="Times New Roman" w:cs="Times New Roman"/>
        </w:rPr>
        <w:t xml:space="preserve">celkov, umožňuje previesť starostovi obce, poslancom obecného zastupiteľstva, členom štatutárnych orgánov právnických osôb založených alebo zriadených obcou, zamestnancom obce, aj blízkym osobám uvedených fyzických osôb, vlastníctvo k obecnému bytu, ktorý niektorá z týchto osôb užíva, ako aj k obecnému pozemku, na ktorom má niektorá  z týchto osôb postavenú stavbu, len obchodnou verejnou súťažou. Ináč ako obchodnou verejnou súťažou obec podľa v súčasnosti platného zákona nemôže na tieto fyzické osoby previesť ani podiel majetku obce, ktorým sa realizuje zákonné predkupné právo.  </w:t>
      </w:r>
    </w:p>
    <w:p w:rsidR="0015575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5575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Navrhovaná zákonná úprava je v súlade s Ústavou Slovenskej republiky, ústavnými zákonmi, zákonmi, inými všeobecne záväznými právnymi predpismi, ako aj s medzinárodnými zmluvami, ktorými je Slovenská republika viazaná.</w:t>
      </w:r>
    </w:p>
    <w:p w:rsidR="0015575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5575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zákona nepredpokladá dopad na štátny rozpočet, ani na rozpočty obcí a rozpočty vyšších územných celkov. Nebude mať dopad na hospodárenie verejnoprávnych inštitúcií a nebude zakladať nároky na pracovné sily, organizačné zabezpečenie a nebude mať dopad na životné prostredie.</w:t>
      </w:r>
    </w:p>
    <w:p w:rsidR="00155757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5575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Vzhľadom na obsah doložky zlučiteľnosti nie je potrebná tabuľka zhody.</w:t>
      </w:r>
    </w:p>
    <w:p w:rsidR="00155757">
      <w:pPr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DOLOŽKA ZLUČITEĽNOSTI</w:t>
      </w:r>
      <w:r>
        <w:rPr>
          <w:rFonts w:ascii="Times New Roman" w:hAnsi="Times New Roman" w:cs="Times New Roman"/>
          <w:sz w:val="24"/>
        </w:rPr>
        <w:t xml:space="preserve"> 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právneho predpisu 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 právom Európskych spoločenstiev a právom Európskej únie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</w:p>
    <w:p w:rsidR="00155757">
      <w:pPr>
        <w:numPr>
          <w:ilvl w:val="0"/>
          <w:numId w:val="4"/>
        </w:numPr>
        <w:tabs>
          <w:tab w:val="left" w:pos="70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Navrhovateľ právneho predpisu:</w:t>
      </w:r>
    </w:p>
    <w:p w:rsidR="00155757">
      <w:pPr>
        <w:pStyle w:val="Heading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Skupina poslancov Národnej rady Slovenskej republiky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numPr>
          <w:ilvl w:val="0"/>
          <w:numId w:val="4"/>
        </w:numPr>
        <w:tabs>
          <w:tab w:val="left" w:pos="70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Názov právneho predpisu:</w:t>
      </w: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Zákon, ktorým sa mení a dopĺňa zákon Slovenskej národnej rady č. 138/1991 Zb. o majetku obcí v znení neskorších predpisov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BodyText2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Záväzky Slovenskej republiky vo vzťahu k Európskym spoločenstvám a Európskej únii:</w:t>
      </w: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svojou problematikou nepredstavuje prioritu aproximácie práva podľa článku 70 Európskej dohody o pridružení, Národného programu pre prijatie acquis communautaire, Partnerstva pre vstup, úloh vyplývajúcich zo screeningu a negociačnej pozície a nie je ani predmetom odporúčaní podľa Bielej knihy.</w:t>
      </w: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nepatrí medzi prioritné úlohy vlády Slovenskej republiky podľa plánu legislatívnych úloh.</w:t>
      </w:r>
    </w:p>
    <w:p w:rsidR="00155757">
      <w:pPr>
        <w:pStyle w:val="BodyText"/>
        <w:rPr>
          <w:rFonts w:ascii="Times New Roman" w:hAnsi="Times New Roman" w:cs="Times New Roman"/>
        </w:rPr>
      </w:pPr>
    </w:p>
    <w:p w:rsidR="00155757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Problematika návrhu právneho predpisu:</w:t>
      </w:r>
    </w:p>
    <w:p w:rsidR="00155757">
      <w:pPr>
        <w:pStyle w:val="BodyText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</w:p>
    <w:p w:rsidR="00155757">
      <w:pPr>
        <w:pStyle w:val="BodyText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 nie je upravená v práve Európskych spoločenstiev,</w:t>
      </w:r>
    </w:p>
    <w:p w:rsidR="00155757">
      <w:pPr>
        <w:pStyle w:val="BodyText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</w:p>
    <w:p w:rsidR="00155757">
      <w:pPr>
        <w:pStyle w:val="BodyText"/>
        <w:numPr>
          <w:ilvl w:val="0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 nie je upravená v práve Európskej únie.</w:t>
      </w:r>
    </w:p>
    <w:p w:rsidR="00155757">
      <w:pPr>
        <w:pStyle w:val="BodyText"/>
        <w:rPr>
          <w:rFonts w:ascii="Times New Roman" w:hAnsi="Times New Roman" w:cs="Times New Roman"/>
        </w:rPr>
      </w:pPr>
    </w:p>
    <w:p w:rsidR="00155757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Stupeň zlučiteľnosti návrhu právneho predpisu s právom Európskych spoločenstiev a právom Európskej únie:</w:t>
      </w: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vnútroštátny charakter upravovanej problematiky je bezpredmetné vyjadrovanie stupňa zlučiteľnosti návrhu právneho predpisu s právom ES/EÚ.</w:t>
      </w:r>
    </w:p>
    <w:p w:rsidR="00155757">
      <w:pPr>
        <w:pStyle w:val="BodyText"/>
        <w:rPr>
          <w:rFonts w:ascii="Times New Roman" w:hAnsi="Times New Roman" w:cs="Times New Roman"/>
        </w:rPr>
      </w:pPr>
    </w:p>
    <w:p w:rsidR="00155757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 (spolupracujúce rezorty)</w:t>
      </w: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</w:t>
      </w:r>
    </w:p>
    <w:p w:rsidR="00155757">
      <w:pPr>
        <w:pStyle w:val="BodyText"/>
        <w:rPr>
          <w:rFonts w:ascii="Times New Roman" w:hAnsi="Times New Roman" w:cs="Times New Roman"/>
        </w:rPr>
      </w:pPr>
    </w:p>
    <w:p w:rsidR="00155757">
      <w:pPr>
        <w:pStyle w:val="BodyText"/>
        <w:numPr>
          <w:ilvl w:val="0"/>
          <w:numId w:val="4"/>
        </w:numPr>
        <w:tabs>
          <w:tab w:val="left" w:pos="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Účasť expertov pri príprave návrhu právneho predpisu a ich stanovisko k zlučiteľnosti návrhu právneho predpisu s právom ES/EÚ:</w:t>
      </w: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účasti expertov.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55757">
      <w:pPr>
        <w:jc w:val="center"/>
        <w:rPr>
          <w:rFonts w:ascii="Times New Roman" w:hAnsi="Times New Roman" w:cs="Times New Roman"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</w:p>
    <w:p w:rsidR="00155757">
      <w:pPr>
        <w:pStyle w:val="Heading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Osobitná časť</w:t>
      </w:r>
    </w:p>
    <w:p w:rsidR="00155757">
      <w:pPr>
        <w:rPr>
          <w:rFonts w:ascii="Times New Roman" w:hAnsi="Times New Roman" w:cs="Times New Roman"/>
        </w:rPr>
      </w:pPr>
    </w:p>
    <w:p w:rsidR="00155757">
      <w:pPr>
        <w:pStyle w:val="BodyText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K čl. I.</w:t>
      </w:r>
    </w:p>
    <w:p w:rsidR="00155757">
      <w:pPr>
        <w:jc w:val="both"/>
        <w:rPr>
          <w:rFonts w:ascii="Times New Roman" w:hAnsi="Times New Roman" w:cs="Times New Roman"/>
          <w:b/>
          <w:sz w:val="24"/>
        </w:rPr>
      </w:pPr>
    </w:p>
    <w:p w:rsidR="00155757">
      <w:pPr>
        <w:pStyle w:val="Heading3"/>
        <w:jc w:val="both"/>
        <w:rPr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  <w:u w:val="single"/>
        </w:rPr>
        <w:t>K bodu 1</w:t>
      </w:r>
    </w:p>
    <w:p w:rsidR="00155757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Vymedzením majetku, ktorý môže obec do vlastníctva osôb uvedených v odseku 4 previesť, sa odstraňuje  možná kolízia zákona s Ústavou Slovenskej republiky a znenie zákona sa zosúlaďuje so znením zákona č. 446/2001 Z. z. o majetku vyšších územných celkov v znení neskorších predpisov 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Heading3"/>
        <w:jc w:val="both"/>
        <w:rPr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  <w:u w:val="single"/>
        </w:rPr>
        <w:t>K bodu 2</w:t>
      </w:r>
    </w:p>
    <w:p w:rsidR="00155757">
      <w:pPr>
        <w:rPr>
          <w:rFonts w:ascii="Times New Roman" w:hAnsi="Times New Roman" w:cs="Times New Roman"/>
        </w:rPr>
      </w:pPr>
    </w:p>
    <w:p w:rsidR="001557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Odsek 5 reaguje na opatrenia boja proti korupcii a na potrebu zabezpečenia väčšej transparentnosti pri prevode majetku obce do vlastníctva vymedzeného okruhu právnických osôb tým, že týmto právnickým osobám umožňuje prevádzať majetok obce len na základe podmienok, upravených v Obchodnom zákonníku pre obchodnú verejnú súťaž.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odseku 6 je vymedzený majetok, ktorý môže obec previesť do vlastníctva osôb, uvedených v odseku 4, mimo obchodnej verejnej súťaže. Ide o prevod vlastníctva bytu alebo pozemku podľa zákona o vlastníctve bytov a nebytových priestorov, pozemku, ktorý je zastavaný stavbou vo vlastníctve fyzickej osoby uvedenej v odseku 4 a o majetok, ktorý je v spoluvlastníctve obce a fyzickej osoby uvedenej v odseku 4 a obec je povinná podľa § 140 Občianskeho zákonníka ponúknuť prednostne majetok tejto osobe.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 umožňuje, podobne ako zákon o majetku vyšších územných celkov, previesť na uvedené osoby mimo obchodnej verejnej súťaže aj vlastníctvo hnuteľnej veci, ktorej hodnota vedená v účtovníctve je nižšia ako 50 000,-Sk.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 w:rsidR="00155757">
      <w:pPr>
        <w:jc w:val="both"/>
        <w:rPr>
          <w:rFonts w:ascii="Times New Roman" w:hAnsi="Times New Roman" w:cs="Times New Roman"/>
          <w:b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Ustanovuje sa účinnosť od 1. júla 2004.</w:t>
      </w:r>
    </w:p>
    <w:p w:rsidR="00155757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ind w:right="567"/>
        <w:jc w:val="center"/>
        <w:rPr>
          <w:rFonts w:ascii="Arial" w:hAnsi="Arial" w:cs="Times New Roman"/>
          <w:b/>
          <w:sz w:val="28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2"/>
          <w:u w:val="single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2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2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2"/>
        </w:rPr>
      </w:pPr>
    </w:p>
    <w:p w:rsidR="00155757">
      <w:pPr>
        <w:ind w:right="567"/>
        <w:jc w:val="both"/>
        <w:rPr>
          <w:rFonts w:ascii="Arial" w:hAnsi="Arial" w:cs="Times New Roman"/>
          <w:sz w:val="22"/>
        </w:rPr>
      </w:pPr>
    </w:p>
    <w:p w:rsidR="00155757">
      <w:pPr>
        <w:ind w:left="567" w:right="567"/>
        <w:jc w:val="both"/>
        <w:rPr>
          <w:rFonts w:ascii="Arial" w:hAnsi="Arial" w:cs="Times New Roman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7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636429"/>
    <w:multiLevelType w:val="singleLevel"/>
    <w:tmpl w:val="9EF0F1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nsid w:val="2DDA5250"/>
    <w:multiLevelType w:val="singleLevel"/>
    <w:tmpl w:val="0C5C9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6104306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7E90332"/>
    <w:multiLevelType w:val="singleLevel"/>
    <w:tmpl w:val="827AF22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57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uiPriority w:val="9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styleId="BlockText">
    <w:name w:val="Block Text"/>
    <w:basedOn w:val="Normal"/>
    <w:pPr>
      <w:ind w:left="567" w:right="567"/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i/>
      <w:sz w:val="24"/>
    </w:rPr>
  </w:style>
  <w:style w:type="paragraph" w:styleId="Subtitle">
    <w:name w:val="Subtitle"/>
    <w:basedOn w:val="Normal"/>
    <w:uiPriority w:val="11"/>
    <w:qFormat/>
    <w:pPr>
      <w:jc w:val="both"/>
    </w:pPr>
    <w:rPr>
      <w:b/>
      <w:i/>
      <w:sz w:val="24"/>
      <w:u w:val="single"/>
    </w:r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130</TotalTime>
  <Pages>5</Pages>
  <Words>1221</Words>
  <Characters>6962</Characters>
  <Application>Microsoft Office Word</Application>
  <DocSecurity>0</DocSecurity>
  <Lines>0</Lines>
  <Paragraphs>0</Paragraphs>
  <ScaleCrop>false</ScaleCrop>
  <Company>ZMOS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Kancelaria</dc:creator>
  <cp:lastModifiedBy>Iveta KRAMPLOVÁ</cp:lastModifiedBy>
  <cp:revision>18</cp:revision>
  <cp:lastPrinted>2004-03-29T11:22:00Z</cp:lastPrinted>
  <dcterms:created xsi:type="dcterms:W3CDTF">2004-03-23T06:27:00Z</dcterms:created>
  <dcterms:modified xsi:type="dcterms:W3CDTF">2004-04-06T11:01:00Z</dcterms:modified>
</cp:coreProperties>
</file>