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</w:pPr>
      <w:r>
        <w:t>Dôvodová správa</w:t>
      </w:r>
    </w:p>
    <w:p>
      <w:pPr>
        <w:jc w:val="both"/>
        <w:rPr>
          <w:b/>
          <w:bCs/>
        </w:rPr>
      </w:pPr>
    </w:p>
    <w:p>
      <w:pPr>
        <w:pStyle w:val="Heading1"/>
      </w:pPr>
    </w:p>
    <w:p>
      <w:pPr>
        <w:pStyle w:val="Heading1"/>
      </w:pPr>
    </w:p>
    <w:p>
      <w:pPr>
        <w:pStyle w:val="Heading1"/>
      </w:pPr>
      <w:r>
        <w:t>Všeobecná časť</w:t>
      </w:r>
    </w:p>
    <w:p>
      <w:pPr>
        <w:jc w:val="both"/>
      </w:pPr>
    </w:p>
    <w:p>
      <w:pPr>
        <w:jc w:val="both"/>
      </w:pPr>
    </w:p>
    <w:p>
      <w:pPr>
        <w:spacing w:line="360" w:lineRule="auto"/>
        <w:jc w:val="both"/>
      </w:pPr>
      <w:r>
        <w:tab/>
        <w:t>Predkladaný návrh zákona bol spracovaný na základe Programového vyhlásenia vlády, v ktorom sa vláda zaviazala obnoviť lehoty na uplatnenie nárokov podľa zákona č. 229/1991 Zb. o úprave vlastníckych vzťahov k pôde a inému majetku vo vzťahu k poľnohospodárskej pôde.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ab/>
        <w:t>Zákon č. 229/1991 Zb. riešil reštitúcie v pôdohospodárstve komplexne, čo zahŕňalo reštitúciu nie len poľnohospodárskej pôdy, ale aj lesnej pôdy, náhradu za zbúrané stavby a zničené porasty a náhradu za živý a mŕtvy inventár a lehota na uplatnenie nároku uplynula 31. decembra 1992. V nadväznosti na zákon č. 229/1991 Zb. bol prijatý zákon č. 330/1991 Zb. o pozemkových úpravách, usporiadaní pozemkového vlastníctva, pozemkových úradoch, pozemkovom fonde a o  pozemkových spoločenstvách, ktorý riešil reštitúcie špecifické pre podmienky Slovenska a lehota v tomto zákone bola upravená do 31. decembra 1993  s tým, že dôkazy bolo možné predložiť do 31. decembra 1995.</w:t>
      </w:r>
    </w:p>
    <w:p>
      <w:pPr>
        <w:spacing w:line="360" w:lineRule="auto"/>
        <w:jc w:val="both"/>
      </w:pPr>
    </w:p>
    <w:p>
      <w:pPr>
        <w:pStyle w:val="BodyText"/>
        <w:spacing w:line="360" w:lineRule="auto"/>
      </w:pPr>
      <w:r>
        <w:tab/>
        <w:t>V nadväznosti na zákon č. 229/1991 Zb. bývalé federálne zhromaždenie prijalo zákon č. 42/1992 Zb. o úprave majetkových vzťahov a vyporiadaní majetkových nárokov v družstvách v znení neskorších predpisov,  podľa  ktorého bolo možné plniť reštitučné nároky oprávnených osôb. Tento zákon v zmysle sledovanom v Programovom vyhlásení má význam v tom, že predmetom transformácie bol všetok majetok družstva a teda aj spoločné pasienky (zákon SNR č. 81/1949 Zb. o úprave právnych pomerov pasienkového majetku bývalých urbárnikov komposesorátov a podobných právnych útvarov), ktoré prešli do vlastníctva družstiev okamžikom ich vzniku.</w:t>
      </w:r>
    </w:p>
    <w:p>
      <w:pPr>
        <w:pStyle w:val="BodyText"/>
        <w:spacing w:line="360" w:lineRule="auto"/>
      </w:pPr>
    </w:p>
    <w:p>
      <w:pPr>
        <w:pStyle w:val="BodyText"/>
        <w:spacing w:line="360" w:lineRule="auto"/>
      </w:pPr>
      <w:r>
        <w:tab/>
        <w:t xml:space="preserve">Na základe uvedených právnych noriem bývalé pozemkové úrady, ako špecializované orgány štátnej správy a po ich transformácii v roku 1996 aj odbory pozemkové, poľnohospodárstva a lesného hospodárstva okresných úradov vyriešili vydaním 46 660 rozhodnutí pre 375 611 oprávnených osôb vrátenie vlastníctva k pozemkom v rozsahu </w:t>
        <w:br/>
        <w:t xml:space="preserve">317 855 ha pôvodných a 22 261 ha náhradných pozemkov. Okrem toho bolo odškodnenie (finančné náhrady) uhradené oprávneným osobám vo výške 801 mil. Sk za pozemky a celkove aj za stavby a živý inventár 1 848 mil. Sk. Tento údaj nie je konečný, nakoľko jej potrebné ešte doriešiť cca 10 % uplatnených nárokov. </w:t>
      </w:r>
    </w:p>
    <w:p>
      <w:pPr>
        <w:pStyle w:val="BodyText"/>
        <w:spacing w:line="360" w:lineRule="auto"/>
      </w:pPr>
    </w:p>
    <w:p>
      <w:pPr>
        <w:pStyle w:val="BodyText"/>
      </w:pPr>
      <w:r>
        <w:tab/>
        <w:t>Plnenie Slovenským pozemkovým fondom v hodnotovom vyjadrení bolo násl</w:t>
      </w:r>
      <w:r>
        <w:t>edné:</w:t>
      </w:r>
    </w:p>
    <w:p>
      <w:pPr>
        <w:pStyle w:val="BodyText"/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1440"/>
        <w:gridCol w:w="1440"/>
        <w:gridCol w:w="1620"/>
        <w:gridCol w:w="1846"/>
        <w:gridCol w:w="153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330" w:type="dxa"/>
            <w:tcBorders>
              <w:top w:val="nil"/>
              <w:left w:val="nil"/>
            </w:tcBorders>
          </w:tcPr>
          <w:p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Roky: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Pozemky: 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Budovy: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Fin. náhrada: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Cen. papiere:</w:t>
            </w:r>
          </w:p>
        </w:tc>
        <w:tc>
          <w:tcPr>
            <w:tcW w:w="1536" w:type="dxa"/>
            <w:tcBorders>
              <w:top w:val="nil"/>
              <w:right w:val="nil"/>
            </w:tcBorders>
          </w:tcPr>
          <w:p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Spolu:</w:t>
            </w:r>
          </w:p>
        </w:tc>
      </w:tr>
      <w:tr>
        <w:tblPrEx>
          <w:tblW w:w="0" w:type="auto"/>
          <w:tblInd w:w="0" w:type="dxa"/>
          <w:tblCellMar>
            <w:left w:w="70" w:type="dxa"/>
            <w:right w:w="70" w:type="dxa"/>
          </w:tblCellMar>
          <w:tblLook w:val="0000"/>
        </w:tblPrEx>
        <w:tc>
          <w:tcPr>
            <w:tcW w:w="1330" w:type="dxa"/>
            <w:tcBorders>
              <w:left w:val="nil"/>
            </w:tcBorders>
          </w:tcPr>
          <w:p>
            <w:pPr>
              <w:pStyle w:val="BodyText"/>
              <w:jc w:val="center"/>
            </w:pPr>
            <w:r>
              <w:t>1998</w:t>
            </w:r>
          </w:p>
        </w:tc>
        <w:tc>
          <w:tcPr>
            <w:tcW w:w="1440" w:type="dxa"/>
          </w:tcPr>
          <w:p>
            <w:pPr>
              <w:pStyle w:val="BodyText"/>
              <w:jc w:val="center"/>
            </w:pPr>
            <w:r>
              <w:t>230,7</w:t>
            </w:r>
          </w:p>
        </w:tc>
        <w:tc>
          <w:tcPr>
            <w:tcW w:w="1440" w:type="dxa"/>
          </w:tcPr>
          <w:p>
            <w:pPr>
              <w:pStyle w:val="BodyText"/>
              <w:jc w:val="center"/>
            </w:pPr>
            <w:r>
              <w:t>15,2</w:t>
            </w:r>
          </w:p>
        </w:tc>
        <w:tc>
          <w:tcPr>
            <w:tcW w:w="1620" w:type="dxa"/>
          </w:tcPr>
          <w:p>
            <w:pPr>
              <w:pStyle w:val="BodyText"/>
              <w:jc w:val="center"/>
            </w:pPr>
            <w:r>
              <w:t>97,8</w:t>
            </w:r>
          </w:p>
        </w:tc>
        <w:tc>
          <w:tcPr>
            <w:tcW w:w="1846" w:type="dxa"/>
          </w:tcPr>
          <w:p>
            <w:pPr>
              <w:pStyle w:val="BodyText"/>
              <w:jc w:val="center"/>
            </w:pPr>
            <w:r>
              <w:t>60,2</w:t>
            </w:r>
          </w:p>
        </w:tc>
        <w:tc>
          <w:tcPr>
            <w:tcW w:w="1536" w:type="dxa"/>
            <w:tcBorders>
              <w:right w:val="nil"/>
            </w:tcBorders>
          </w:tcPr>
          <w:p>
            <w:pPr>
              <w:pStyle w:val="BodyText"/>
              <w:jc w:val="center"/>
            </w:pPr>
            <w:r>
              <w:t>403,9</w:t>
            </w:r>
          </w:p>
        </w:tc>
      </w:tr>
      <w:tr>
        <w:tblPrEx>
          <w:tblW w:w="0" w:type="auto"/>
          <w:tblInd w:w="0" w:type="dxa"/>
          <w:tblCellMar>
            <w:left w:w="70" w:type="dxa"/>
            <w:right w:w="70" w:type="dxa"/>
          </w:tblCellMar>
          <w:tblLook w:val="0000"/>
        </w:tblPrEx>
        <w:tc>
          <w:tcPr>
            <w:tcW w:w="1330" w:type="dxa"/>
            <w:tcBorders>
              <w:left w:val="nil"/>
            </w:tcBorders>
          </w:tcPr>
          <w:p>
            <w:pPr>
              <w:pStyle w:val="BodyText"/>
              <w:jc w:val="center"/>
            </w:pPr>
            <w:r>
              <w:t>1999</w:t>
            </w:r>
          </w:p>
        </w:tc>
        <w:tc>
          <w:tcPr>
            <w:tcW w:w="1440" w:type="dxa"/>
          </w:tcPr>
          <w:p>
            <w:pPr>
              <w:pStyle w:val="BodyText"/>
              <w:jc w:val="center"/>
            </w:pPr>
            <w:r>
              <w:t>160,1</w:t>
            </w:r>
          </w:p>
        </w:tc>
        <w:tc>
          <w:tcPr>
            <w:tcW w:w="1440" w:type="dxa"/>
          </w:tcPr>
          <w:p>
            <w:pPr>
              <w:pStyle w:val="BodyText"/>
              <w:jc w:val="center"/>
            </w:pPr>
            <w:r>
              <w:t>2,1</w:t>
            </w:r>
          </w:p>
        </w:tc>
        <w:tc>
          <w:tcPr>
            <w:tcW w:w="1620" w:type="dxa"/>
          </w:tcPr>
          <w:p>
            <w:pPr>
              <w:pStyle w:val="BodyText"/>
              <w:jc w:val="center"/>
            </w:pPr>
            <w:r>
              <w:t>132,9</w:t>
            </w:r>
          </w:p>
        </w:tc>
        <w:tc>
          <w:tcPr>
            <w:tcW w:w="1846" w:type="dxa"/>
          </w:tcPr>
          <w:p>
            <w:pPr>
              <w:pStyle w:val="BodyText"/>
              <w:jc w:val="center"/>
            </w:pPr>
            <w:r>
              <w:t>62,0</w:t>
            </w:r>
          </w:p>
        </w:tc>
        <w:tc>
          <w:tcPr>
            <w:tcW w:w="1536" w:type="dxa"/>
            <w:tcBorders>
              <w:right w:val="nil"/>
            </w:tcBorders>
          </w:tcPr>
          <w:p>
            <w:pPr>
              <w:pStyle w:val="BodyText"/>
              <w:jc w:val="center"/>
            </w:pPr>
            <w:r>
              <w:t>357,1</w:t>
            </w:r>
          </w:p>
        </w:tc>
      </w:tr>
      <w:tr>
        <w:tblPrEx>
          <w:tblW w:w="0" w:type="auto"/>
          <w:tblInd w:w="0" w:type="dxa"/>
          <w:tblCellMar>
            <w:left w:w="70" w:type="dxa"/>
            <w:right w:w="70" w:type="dxa"/>
          </w:tblCellMar>
          <w:tblLook w:val="0000"/>
        </w:tblPrEx>
        <w:tc>
          <w:tcPr>
            <w:tcW w:w="1330" w:type="dxa"/>
            <w:tcBorders>
              <w:left w:val="nil"/>
              <w:bottom w:val="single" w:sz="4" w:space="0" w:color="auto"/>
            </w:tcBorders>
          </w:tcPr>
          <w:p>
            <w:pPr>
              <w:pStyle w:val="BodyText"/>
              <w:jc w:val="center"/>
            </w:pPr>
            <w:r>
              <w:t>2000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>
            <w:pPr>
              <w:pStyle w:val="BodyText"/>
              <w:jc w:val="center"/>
            </w:pPr>
            <w:r>
              <w:t>156,7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>
            <w:pPr>
              <w:pStyle w:val="BodyText"/>
              <w:jc w:val="center"/>
            </w:pPr>
            <w:r>
              <w:t>6,8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>
            <w:pPr>
              <w:pStyle w:val="BodyText"/>
              <w:jc w:val="center"/>
            </w:pPr>
            <w:r>
              <w:t>123,8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>
            <w:pPr>
              <w:pStyle w:val="BodyText"/>
              <w:jc w:val="center"/>
            </w:pPr>
            <w:r>
              <w:t>22,8</w:t>
            </w:r>
          </w:p>
        </w:tc>
        <w:tc>
          <w:tcPr>
            <w:tcW w:w="1536" w:type="dxa"/>
            <w:tcBorders>
              <w:bottom w:val="single" w:sz="4" w:space="0" w:color="auto"/>
              <w:right w:val="nil"/>
            </w:tcBorders>
          </w:tcPr>
          <w:p>
            <w:pPr>
              <w:pStyle w:val="BodyText"/>
              <w:jc w:val="center"/>
            </w:pPr>
            <w:r>
              <w:t>310,1</w:t>
            </w:r>
          </w:p>
        </w:tc>
      </w:tr>
      <w:tr>
        <w:tblPrEx>
          <w:tblW w:w="0" w:type="auto"/>
          <w:tblInd w:w="0" w:type="dxa"/>
          <w:tblCellMar>
            <w:left w:w="70" w:type="dxa"/>
            <w:right w:w="70" w:type="dxa"/>
          </w:tblCellMar>
          <w:tblLook w:val="0000"/>
        </w:tblPrEx>
        <w:tc>
          <w:tcPr>
            <w:tcW w:w="1330" w:type="dxa"/>
            <w:tcBorders>
              <w:left w:val="nil"/>
            </w:tcBorders>
          </w:tcPr>
          <w:p>
            <w:pPr>
              <w:pStyle w:val="BodyText"/>
              <w:jc w:val="center"/>
            </w:pPr>
            <w:r>
              <w:t>2001</w:t>
            </w:r>
          </w:p>
        </w:tc>
        <w:tc>
          <w:tcPr>
            <w:tcW w:w="1440" w:type="dxa"/>
          </w:tcPr>
          <w:p>
            <w:pPr>
              <w:pStyle w:val="BodyText"/>
              <w:jc w:val="center"/>
            </w:pPr>
            <w:r>
              <w:t>151,8</w:t>
            </w:r>
          </w:p>
        </w:tc>
        <w:tc>
          <w:tcPr>
            <w:tcW w:w="1440" w:type="dxa"/>
          </w:tcPr>
          <w:p>
            <w:pPr>
              <w:pStyle w:val="BodyText"/>
              <w:jc w:val="center"/>
            </w:pPr>
            <w:r>
              <w:t>5,3</w:t>
            </w:r>
          </w:p>
        </w:tc>
        <w:tc>
          <w:tcPr>
            <w:tcW w:w="1620" w:type="dxa"/>
          </w:tcPr>
          <w:p>
            <w:pPr>
              <w:pStyle w:val="BodyText"/>
              <w:jc w:val="center"/>
            </w:pPr>
            <w:r>
              <w:t>50,2</w:t>
            </w:r>
          </w:p>
        </w:tc>
        <w:tc>
          <w:tcPr>
            <w:tcW w:w="1846" w:type="dxa"/>
          </w:tcPr>
          <w:p>
            <w:pPr>
              <w:pStyle w:val="BodyText"/>
              <w:jc w:val="center"/>
            </w:pPr>
            <w:r>
              <w:t>10,8</w:t>
            </w:r>
          </w:p>
        </w:tc>
        <w:tc>
          <w:tcPr>
            <w:tcW w:w="1536" w:type="dxa"/>
            <w:tcBorders>
              <w:right w:val="nil"/>
            </w:tcBorders>
          </w:tcPr>
          <w:p>
            <w:pPr>
              <w:pStyle w:val="BodyText"/>
              <w:jc w:val="center"/>
            </w:pPr>
            <w:r>
              <w:t>218,1</w:t>
            </w:r>
          </w:p>
        </w:tc>
      </w:tr>
      <w:tr>
        <w:tblPrEx>
          <w:tblW w:w="0" w:type="auto"/>
          <w:tblInd w:w="0" w:type="dxa"/>
          <w:tblCellMar>
            <w:left w:w="70" w:type="dxa"/>
            <w:right w:w="70" w:type="dxa"/>
          </w:tblCellMar>
          <w:tblLook w:val="0000"/>
        </w:tblPrEx>
        <w:tc>
          <w:tcPr>
            <w:tcW w:w="1330" w:type="dxa"/>
            <w:tcBorders>
              <w:left w:val="nil"/>
              <w:bottom w:val="nil"/>
            </w:tcBorders>
          </w:tcPr>
          <w:p>
            <w:pPr>
              <w:pStyle w:val="BodyText"/>
              <w:jc w:val="center"/>
            </w:pPr>
            <w:r>
              <w:t>2002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BodyText"/>
              <w:jc w:val="center"/>
            </w:pPr>
            <w:r>
              <w:t>143,7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BodyText"/>
              <w:jc w:val="center"/>
            </w:pPr>
            <w:r>
              <w:t>3,7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BodyText"/>
              <w:jc w:val="center"/>
            </w:pPr>
            <w:r>
              <w:t>157,6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BodyText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bottom w:val="nil"/>
              <w:right w:val="nil"/>
            </w:tcBorders>
          </w:tcPr>
          <w:p>
            <w:pPr>
              <w:pStyle w:val="BodyText"/>
              <w:jc w:val="center"/>
            </w:pPr>
            <w:r>
              <w:t>334,0</w:t>
            </w:r>
          </w:p>
        </w:tc>
      </w:tr>
    </w:tbl>
    <w:p>
      <w:pPr>
        <w:pStyle w:val="BodyText"/>
      </w:pPr>
    </w:p>
    <w:p>
      <w:pPr>
        <w:jc w:val="both"/>
      </w:pPr>
      <w:r>
        <w:tab/>
        <w:t xml:space="preserve">Celkove nie je splnených 2 </w:t>
      </w:r>
      <w:r>
        <w:t>773 právoplatne ukončených reštitučných rozhodnutí.</w:t>
      </w:r>
    </w:p>
    <w:p>
      <w:pPr>
        <w:jc w:val="both"/>
      </w:pPr>
    </w:p>
    <w:p>
      <w:pPr>
        <w:jc w:val="both"/>
      </w:pPr>
    </w:p>
    <w:p>
      <w:pPr>
        <w:pStyle w:val="BodyText"/>
        <w:spacing w:line="360" w:lineRule="auto"/>
      </w:pPr>
      <w:r>
        <w:tab/>
        <w:t>Vzhľadom na to, že právo na vydanie nehnuteľnosti, ktoré nebolo uplatnené do 31. decembra 1992, okrem osobitných prípadov, zaniklo ako aj z dôvodu, že doterajšie právne predpisy riešili otázku náhrad komplexne a z dôvodu, že pozemky, ktoré zostali vo vlastníctve štátu boli prideľované oprávneným osobám ako náhradné a tam, kde bol štát spoluvlastník aj odpredávané z dôvodu usporiadania pozemkového vlastníctva podľa Zásad na uplatňovanie niektorých ustanovení zákona č. 180/1995 Z. z. o niektorých opatreniach na usporiadanie vlastníctva k pozemkom, dospelo sa k záveru vypracovať predkladaný návrh zákona.</w:t>
      </w:r>
    </w:p>
    <w:p>
      <w:pPr>
        <w:spacing w:line="360" w:lineRule="auto"/>
        <w:jc w:val="both"/>
      </w:pPr>
    </w:p>
    <w:p>
      <w:pPr>
        <w:pStyle w:val="BodyText"/>
        <w:spacing w:line="360" w:lineRule="auto"/>
      </w:pPr>
      <w:r>
        <w:tab/>
        <w:t xml:space="preserve">Cieľom predkladaného návrhu zákona je umožniť oprávneným osobám, ktoré neuplatnili svoj nárok v lehote, aby tento nárok mohli uplatniť v novej jednoročnej lehote. </w:t>
      </w:r>
    </w:p>
    <w:p>
      <w:pPr>
        <w:pStyle w:val="BodyText"/>
        <w:spacing w:line="360" w:lineRule="auto"/>
      </w:pPr>
    </w:p>
    <w:p>
      <w:pPr>
        <w:spacing w:line="360" w:lineRule="auto"/>
        <w:ind w:firstLine="708"/>
        <w:jc w:val="both"/>
      </w:pPr>
      <w:r>
        <w:t>Predložený návrh zákona je v súlade s ústavou Slovenskej republiky.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ab/>
        <w:t>Návrh zákona nebude mať dopad na štátny rozpočet, rozpočet obcí a rozpočet vyšších územných celkov ani priamy vplyv na zamestnanosť a životné prostredie. Návrh nebude mať priamy dopad na štátny rozpočet a preto sa doložka finančných, ekonomických, environmentálnych vplyvov nevypracúva.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ab/>
        <w:t xml:space="preserve">Prípadné finančné nároky budú hradené z rozpočtovej kapitoly ministerstva a Slovenského pozemkového fondu z fondov podľa § 34a zákona SNR č. 330/1991 Zb. </w:t>
      </w:r>
    </w:p>
    <w:p>
      <w:pPr>
        <w:pStyle w:val="BodyText"/>
      </w:pPr>
    </w:p>
    <w:p>
      <w:pPr>
        <w:rPr>
          <w:b/>
          <w:bCs/>
          <w:u w:val="single"/>
        </w:rPr>
      </w:pPr>
    </w:p>
    <w:p>
      <w:pPr>
        <w:rPr>
          <w:b/>
          <w:bCs/>
          <w:u w:val="single"/>
        </w:rPr>
      </w:pPr>
    </w:p>
    <w:p>
      <w:pPr>
        <w:rPr>
          <w:b/>
          <w:bCs/>
          <w:u w:val="single"/>
        </w:rPr>
      </w:pPr>
    </w:p>
    <w:p>
      <w:pPr>
        <w:jc w:val="center"/>
        <w:rPr>
          <w:b/>
          <w:bCs/>
        </w:rPr>
      </w:pPr>
      <w:r>
        <w:br w:type="page"/>
      </w:r>
      <w:r>
        <w:rPr>
          <w:b/>
          <w:bCs/>
        </w:rPr>
        <w:t>DOLOŽKA  ZLUČITEĽNOSTI</w:t>
      </w:r>
    </w:p>
    <w:p>
      <w:pPr>
        <w:jc w:val="center"/>
        <w:rPr>
          <w:b/>
        </w:rPr>
      </w:pPr>
      <w:r>
        <w:rPr>
          <w:b/>
        </w:rPr>
        <w:t>právneho predpisu</w:t>
      </w:r>
    </w:p>
    <w:p>
      <w:pPr>
        <w:jc w:val="center"/>
        <w:rPr>
          <w:b/>
        </w:rPr>
      </w:pPr>
      <w:r>
        <w:rPr>
          <w:b/>
        </w:rPr>
        <w:t>s právom Európskych spoločenstiev a právom Európskej únie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both"/>
        <w:rPr>
          <w:b/>
        </w:rPr>
      </w:pPr>
    </w:p>
    <w:p>
      <w:pPr>
        <w:numPr>
          <w:ilvl w:val="0"/>
          <w:numId w:val="3"/>
        </w:numPr>
        <w:jc w:val="both"/>
      </w:pPr>
      <w:r>
        <w:t>Navrhovateľ právneho predpisu: vláda Slovenskej republiky</w:t>
      </w:r>
    </w:p>
    <w:p>
      <w:pPr>
        <w:jc w:val="both"/>
      </w:pPr>
    </w:p>
    <w:p>
      <w:pPr>
        <w:jc w:val="both"/>
      </w:pPr>
    </w:p>
    <w:p>
      <w:pPr>
        <w:pStyle w:val="BodyTextIndent"/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>
        <w:rPr>
          <w:sz w:val="24"/>
        </w:rPr>
        <w:t>Názov právneho predpisu: Návrh zákona o úprave lehoty na uplatnenie niektorých nárokov vyplývajúcich zo zákona č. 229/1991 Zb. o úprave vlastníckych vzťahov k pôde a inému poľnohospodárskemu majetku</w:t>
      </w:r>
    </w:p>
    <w:p>
      <w:pPr>
        <w:pStyle w:val="BodyTextIndent"/>
        <w:ind w:left="0" w:firstLine="0"/>
        <w:jc w:val="both"/>
        <w:rPr>
          <w:sz w:val="24"/>
        </w:rPr>
      </w:pPr>
    </w:p>
    <w:p>
      <w:pPr>
        <w:pStyle w:val="BodyTextIndent"/>
        <w:ind w:left="0" w:firstLine="0"/>
        <w:jc w:val="both"/>
        <w:rPr>
          <w:sz w:val="24"/>
        </w:rPr>
      </w:pPr>
    </w:p>
    <w:p>
      <w:pPr>
        <w:pStyle w:val="BodyTextIndent"/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>
        <w:rPr>
          <w:sz w:val="24"/>
        </w:rPr>
        <w:t>Záväzky Slovenskej republiky vo vzťahu k Európskym spoločenstvám a Európskej ún</w:t>
      </w:r>
      <w:r>
        <w:rPr>
          <w:sz w:val="24"/>
        </w:rPr>
        <w:t xml:space="preserve">ii: </w:t>
      </w:r>
    </w:p>
    <w:p>
      <w:pPr>
        <w:pStyle w:val="BodyTextIndent"/>
        <w:ind w:left="0" w:firstLine="0"/>
        <w:jc w:val="both"/>
        <w:rPr>
          <w:sz w:val="24"/>
        </w:rPr>
      </w:pPr>
    </w:p>
    <w:p>
      <w:pPr>
        <w:pStyle w:val="BodyTextIndent"/>
        <w:tabs>
          <w:tab w:val="clear" w:pos="709"/>
        </w:tabs>
        <w:ind w:left="426" w:hanging="66"/>
        <w:jc w:val="both"/>
        <w:rPr>
          <w:sz w:val="24"/>
        </w:rPr>
      </w:pPr>
      <w:r>
        <w:rPr>
          <w:sz w:val="24"/>
        </w:rPr>
        <w:t xml:space="preserve"> Návrh zákona svojou problematikou nepatrí medzi prioritné oblasti aproximácie práva                uvedené v čl. 70 Európskej dohody o pridružení a ani medzi priority odporúčané v Bielej knihe</w:t>
      </w:r>
    </w:p>
    <w:p>
      <w:pPr>
        <w:pStyle w:val="BodyTextIndent"/>
        <w:tabs>
          <w:tab w:val="left" w:pos="426"/>
          <w:tab w:val="clear" w:pos="709"/>
        </w:tabs>
        <w:ind w:left="426" w:firstLine="0"/>
        <w:jc w:val="both"/>
        <w:rPr>
          <w:sz w:val="24"/>
        </w:rPr>
      </w:pPr>
      <w:r>
        <w:rPr>
          <w:sz w:val="24"/>
        </w:rPr>
        <w:t>Problematika návrhu zákona nie je prioritou podľa Partnerstva pre vstup. Nie je prioritou podľa screeningu 2001 a nie je prioritou podľa NPAA. Návrh zákona patrí medzi prioritné úlohy vlády Slovenskej republiky podľa Plánu legislatívnych úloh vlády Slovenskej republiky na rok 2003.</w:t>
      </w:r>
    </w:p>
    <w:p>
      <w:pPr>
        <w:pStyle w:val="BodyTextIndent"/>
        <w:tabs>
          <w:tab w:val="left" w:pos="426"/>
          <w:tab w:val="clear" w:pos="709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       Slovenská republika nemá  v danej oblasti žiadne negociačné požiadavky.</w:t>
      </w:r>
    </w:p>
    <w:p>
      <w:pPr>
        <w:pStyle w:val="BodyTextIndent"/>
        <w:jc w:val="both"/>
        <w:rPr>
          <w:sz w:val="24"/>
        </w:rPr>
      </w:pPr>
    </w:p>
    <w:p>
      <w:pPr>
        <w:pStyle w:val="BodyTextIndent"/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>
        <w:rPr>
          <w:sz w:val="24"/>
        </w:rPr>
        <w:t>Problematika návrhu právneho predpisu je v práve Európskej únie upravená:</w:t>
      </w:r>
    </w:p>
    <w:p>
      <w:pPr>
        <w:pStyle w:val="BodyTextIndent"/>
        <w:ind w:left="0" w:firstLine="0"/>
        <w:jc w:val="both"/>
        <w:rPr>
          <w:sz w:val="24"/>
        </w:rPr>
      </w:pPr>
    </w:p>
    <w:p>
      <w:pPr>
        <w:pStyle w:val="BodyTextIndent"/>
        <w:ind w:left="360" w:firstLine="0"/>
        <w:jc w:val="both"/>
        <w:rPr>
          <w:sz w:val="24"/>
        </w:rPr>
      </w:pPr>
      <w:r>
        <w:rPr>
          <w:sz w:val="24"/>
        </w:rPr>
        <w:t>V primárnom práve sa problematika návrhu zákona rámcovo dotýka čl. 6 ods.2 Zmluvy o Európskej únií (amsterdamské znenie), ktorý zakotvuje, že Únia rešpektuje základné ľudské práva, ako ich zaručuje Európsky dohovor o ochrane ľudských práv a základných slobôd podpísaný v Ríme 4. novembra 1950 a ktoré vyplývajú z ústavných tradícií členských štátov ako základných princípov práva Spoloč</w:t>
      </w:r>
      <w:r>
        <w:rPr>
          <w:sz w:val="24"/>
        </w:rPr>
        <w:t>enstva.</w:t>
      </w:r>
    </w:p>
    <w:p>
      <w:pPr>
        <w:pStyle w:val="BodyTextIndent"/>
        <w:tabs>
          <w:tab w:val="left" w:pos="0"/>
          <w:tab w:val="clear" w:pos="70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BodyTextIndent"/>
        <w:tabs>
          <w:tab w:val="left" w:pos="0"/>
          <w:tab w:val="clear" w:pos="709"/>
        </w:tabs>
        <w:ind w:left="0" w:firstLine="0"/>
        <w:jc w:val="both"/>
        <w:rPr>
          <w:sz w:val="24"/>
        </w:rPr>
      </w:pPr>
    </w:p>
    <w:p>
      <w:pPr>
        <w:pStyle w:val="BodyTextIndent"/>
        <w:numPr>
          <w:ilvl w:val="0"/>
          <w:numId w:val="3"/>
        </w:numPr>
        <w:tabs>
          <w:tab w:val="left" w:pos="0"/>
          <w:tab w:val="clear" w:pos="709"/>
        </w:tabs>
        <w:jc w:val="both"/>
        <w:rPr>
          <w:sz w:val="24"/>
        </w:rPr>
      </w:pPr>
      <w:r>
        <w:rPr>
          <w:sz w:val="24"/>
        </w:rPr>
        <w:t>Stupeň zlučiteľnosti návrhu právneho predpisu s právom Európskych spoločenstiev a právom Európskej únie:</w:t>
      </w:r>
    </w:p>
    <w:p>
      <w:pPr>
        <w:pStyle w:val="BodyTextIndent"/>
        <w:tabs>
          <w:tab w:val="left" w:pos="0"/>
          <w:tab w:val="clear" w:pos="709"/>
        </w:tabs>
        <w:ind w:left="0" w:firstLine="0"/>
        <w:jc w:val="both"/>
        <w:rPr>
          <w:sz w:val="24"/>
        </w:rPr>
      </w:pPr>
    </w:p>
    <w:p>
      <w:pPr>
        <w:pStyle w:val="BodyTextIndent"/>
        <w:tabs>
          <w:tab w:val="left" w:pos="0"/>
          <w:tab w:val="clear" w:pos="709"/>
        </w:tabs>
        <w:ind w:left="360" w:firstLine="0"/>
        <w:jc w:val="both"/>
        <w:rPr>
          <w:sz w:val="24"/>
        </w:rPr>
      </w:pPr>
      <w:r>
        <w:rPr>
          <w:sz w:val="24"/>
        </w:rPr>
        <w:t>Vzhľadom na vnútroštátny charakter upravovanej problematiky je bezpredmetné vyjadrovanie stupňa zlučiteľnosti návrhu právneho predpisu s pr</w:t>
      </w:r>
      <w:r>
        <w:rPr>
          <w:sz w:val="24"/>
        </w:rPr>
        <w:t>ávom ES/EÚ.</w:t>
      </w:r>
    </w:p>
    <w:p>
      <w:pPr>
        <w:pStyle w:val="BodyTextIndent"/>
        <w:tabs>
          <w:tab w:val="left" w:pos="0"/>
          <w:tab w:val="clear" w:pos="709"/>
        </w:tabs>
        <w:ind w:left="360" w:firstLine="0"/>
        <w:jc w:val="both"/>
        <w:rPr>
          <w:sz w:val="24"/>
        </w:rPr>
      </w:pPr>
    </w:p>
    <w:p>
      <w:pPr>
        <w:pStyle w:val="BodyTextIndent"/>
        <w:tabs>
          <w:tab w:val="left" w:pos="0"/>
          <w:tab w:val="clear" w:pos="709"/>
        </w:tabs>
        <w:ind w:left="360" w:firstLine="0"/>
        <w:jc w:val="both"/>
        <w:rPr>
          <w:sz w:val="24"/>
        </w:rPr>
      </w:pPr>
    </w:p>
    <w:p>
      <w:pPr>
        <w:pStyle w:val="BodyTextIndent"/>
        <w:numPr>
          <w:ilvl w:val="0"/>
          <w:numId w:val="3"/>
        </w:numPr>
        <w:tabs>
          <w:tab w:val="left" w:pos="0"/>
          <w:tab w:val="clear" w:pos="709"/>
        </w:tabs>
        <w:jc w:val="both"/>
        <w:rPr>
          <w:sz w:val="24"/>
        </w:rPr>
      </w:pPr>
      <w:r>
        <w:rPr>
          <w:sz w:val="24"/>
        </w:rPr>
        <w:t>Gestor (spolupracujúce rezorty):</w:t>
      </w:r>
    </w:p>
    <w:p>
      <w:pPr>
        <w:pStyle w:val="BodyTextIndent"/>
        <w:tabs>
          <w:tab w:val="left" w:pos="0"/>
          <w:tab w:val="clear" w:pos="709"/>
        </w:tabs>
        <w:ind w:left="0" w:firstLine="0"/>
        <w:jc w:val="both"/>
        <w:rPr>
          <w:sz w:val="24"/>
        </w:rPr>
      </w:pPr>
    </w:p>
    <w:p>
      <w:pPr>
        <w:pStyle w:val="BodyTextIndent"/>
        <w:tabs>
          <w:tab w:val="left" w:pos="0"/>
          <w:tab w:val="clear" w:pos="709"/>
        </w:tabs>
        <w:ind w:left="360" w:firstLine="0"/>
        <w:jc w:val="both"/>
        <w:rPr>
          <w:sz w:val="24"/>
        </w:rPr>
      </w:pPr>
      <w:r>
        <w:rPr>
          <w:sz w:val="24"/>
        </w:rPr>
        <w:t>Ministerstvo pôdohospodárstva Slovenskej republiky</w:t>
      </w:r>
    </w:p>
    <w:p>
      <w:pPr>
        <w:pStyle w:val="BodyTextIndent"/>
        <w:tabs>
          <w:tab w:val="left" w:pos="0"/>
          <w:tab w:val="clear" w:pos="709"/>
        </w:tabs>
        <w:ind w:left="360" w:firstLine="0"/>
        <w:jc w:val="both"/>
        <w:rPr>
          <w:sz w:val="24"/>
        </w:rPr>
      </w:pPr>
    </w:p>
    <w:p>
      <w:pPr>
        <w:pStyle w:val="BodyTextIndent"/>
        <w:tabs>
          <w:tab w:val="left" w:pos="0"/>
          <w:tab w:val="clear" w:pos="709"/>
        </w:tabs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BodyText"/>
        <w:numPr>
          <w:ilvl w:val="0"/>
          <w:numId w:val="3"/>
        </w:numPr>
      </w:pPr>
      <w:r>
        <w:t>Účasť expertov pri príprave návrhu právneho predpisu a ich stanovisko k zlučiteľnosti návrhu právneho predpisu s právom ES/EÚ:</w:t>
      </w:r>
    </w:p>
    <w:p>
      <w:pPr>
        <w:pStyle w:val="BodyText"/>
      </w:pPr>
    </w:p>
    <w:p>
      <w:pPr>
        <w:ind w:left="360"/>
        <w:jc w:val="both"/>
      </w:pPr>
      <w:r>
        <w:t>Bez účasti expertov</w:t>
      </w:r>
    </w:p>
    <w:p>
      <w:pPr>
        <w:pStyle w:val="BodyText"/>
        <w:rPr>
          <w:u w:val="single"/>
        </w:rPr>
      </w:pPr>
      <w:r>
        <w:rPr>
          <w:b/>
          <w:bCs/>
          <w:u w:val="single"/>
        </w:rPr>
        <w:t>Osobitná časť</w:t>
      </w:r>
    </w:p>
    <w:p>
      <w:pPr>
        <w:pStyle w:val="BodyText"/>
        <w:rPr>
          <w:u w:val="single"/>
        </w:rPr>
      </w:pPr>
    </w:p>
    <w:p>
      <w:pPr>
        <w:pStyle w:val="BodyText"/>
        <w:rPr>
          <w:b/>
          <w:bCs/>
        </w:rPr>
      </w:pPr>
      <w:r>
        <w:rPr>
          <w:b/>
          <w:bCs/>
        </w:rPr>
        <w:t xml:space="preserve">K Čl. I </w:t>
      </w:r>
    </w:p>
    <w:p>
      <w:pPr>
        <w:pStyle w:val="Heading2"/>
      </w:pPr>
    </w:p>
    <w:p>
      <w:pPr>
        <w:pStyle w:val="Heading2"/>
      </w:pPr>
      <w:r>
        <w:t>K § 1</w:t>
      </w:r>
    </w:p>
    <w:p>
      <w:pPr>
        <w:jc w:val="both"/>
      </w:pPr>
      <w:r>
        <w:t>Zákon sa vzťahuje na pozemky, ktoré tvoria poľnohospodársky pôdny fond podľa zákona č. 307/1992 Zb. o ochrane poľnohospodárskeho pôdneho fondu v znení neskorších predpisov ako aj pozemky, ktoré tvoria lesný pôdny fond podľa zákona č. 61/1977 Zb. o lesoch v znení neskorších predpisov a zákona SNR č. 100/1977 Zb. o hospodárení v lesoch a štátnej správe lesného hospodárstva v znení neskorších predpisov.</w:t>
      </w:r>
    </w:p>
    <w:p>
      <w:pPr>
        <w:jc w:val="both"/>
      </w:pPr>
      <w:r>
        <w:t>Predmetom vydania sú pozemky, na ktoré neboli uplatnené reštitučné nároky alebo bol</w:t>
      </w:r>
      <w:r>
        <w:t>i uplatnené po ustanovenej lehote.</w:t>
      </w:r>
    </w:p>
    <w:p>
      <w:pPr>
        <w:jc w:val="both"/>
      </w:pPr>
    </w:p>
    <w:p>
      <w:pPr>
        <w:pStyle w:val="Heading2"/>
      </w:pPr>
      <w:r>
        <w:t>K § 2</w:t>
      </w:r>
    </w:p>
    <w:p>
      <w:pPr>
        <w:jc w:val="both"/>
      </w:pPr>
      <w:r>
        <w:t>Oprávnenou osobou pre účely tohto zákona je občan Slovenskej republiky, ktorej nehnuteľnosti prešli na štát alebo inú právnickú osobu. V prípade, že pôvodný vlastník zomrel, nárok si môžu uplatniť dedičia definovan</w:t>
      </w:r>
      <w:r>
        <w:t xml:space="preserve">ý v zákone. </w:t>
      </w:r>
    </w:p>
    <w:p>
      <w:pPr>
        <w:jc w:val="both"/>
      </w:pPr>
    </w:p>
    <w:p>
      <w:pPr>
        <w:pStyle w:val="Heading2"/>
      </w:pPr>
      <w:r>
        <w:t>K § 3</w:t>
      </w:r>
    </w:p>
    <w:p>
      <w:pPr>
        <w:jc w:val="both"/>
      </w:pPr>
      <w:r>
        <w:t xml:space="preserve">Vydaním nehnuteľnosti sa rozumie nadobudnutie vlastníckeho práva k nej, rozhodnutím orgánu štátnej správy. </w:t>
      </w:r>
    </w:p>
    <w:p>
      <w:pPr>
        <w:jc w:val="both"/>
      </w:pPr>
      <w:r>
        <w:t>Reštitučné tituly (dôvody na nadobudnutie vlastníckeho práva k nehnuteľnosti) sú totožné s reštitučnými titulmi podľa ostatných reštitučných zákonov a nadväzuje na osobitosti riešenia reštitúcií na území Slovenska podľa § 37 a nasl. zákona č. 330/1991 Zb.</w:t>
      </w:r>
    </w:p>
    <w:p>
      <w:pPr>
        <w:jc w:val="both"/>
      </w:pPr>
      <w:r>
        <w:t>Zákon zároveň upravuje výmeru vydávaných pozemkov a povinnosť vrátiť nedoplatok prídelovej ceny a podobne.</w:t>
      </w:r>
    </w:p>
    <w:p>
      <w:pPr>
        <w:jc w:val="both"/>
      </w:pPr>
      <w:r>
        <w:t>Zároveň sa riešia časté prípady v súvislosti s výstavbou sídlisk a verejných komunikácií, keď v súvislosti so začatí prípravy výstavby, najmä v sedemdesiatych rokoch 20. storočia, boli v evidencii nehnuteľností zrušené vlastnícke práva dovtedajších vlastníkov pozemkov, ktoré mali byť použité na výstavbu, a to bez toho, aby boli pozemky vopred vykúpené alebo vyvlastnené v prospech štátu. Hoci väčšina takýchto pozemkov bola zastavaná, prípadne dodatočne vysporiadaná, je mnoho nezastavaných pozemkov, ktoré sú v terajšom katastri nehnuteľností vedené ako pozemky bez vlastníka napriek tomu, že ich pôvodní vlastníci a ich potomkovia nepretržite užívajú, nikdy neboli použité na účel, pre ktorý sa mali vykúpiť alebo vyvlastniť. Tento stav je podľa platného právneho stavu neriešiteľný, ani v prospech štátu (obce), ani v prospech pôvodných vlastníkov, pretože nie je právny dôvod, opätovného zápisu ich vlastníckeho práva.</w:t>
      </w:r>
    </w:p>
    <w:p>
      <w:pPr>
        <w:jc w:val="both"/>
      </w:pPr>
    </w:p>
    <w:p>
      <w:pPr>
        <w:pStyle w:val="Heading2"/>
      </w:pPr>
      <w:r>
        <w:t>K § 4</w:t>
      </w:r>
    </w:p>
    <w:p>
      <w:pPr>
        <w:jc w:val="both"/>
      </w:pPr>
      <w:r>
        <w:t xml:space="preserve">Zákon vymedzuje povinnú osobu. Zákaz prevodu sa vzťahuje na nehnuteľnosti, ktoré sa môžu vydať oprávnenej osobe v konaní. Ide o neplatný právny úkon podľa § 39 Občianskeho zákonníka. </w:t>
      </w:r>
    </w:p>
    <w:p>
      <w:pPr>
        <w:jc w:val="both"/>
      </w:pPr>
    </w:p>
    <w:p>
      <w:pPr>
        <w:pStyle w:val="Heading2"/>
      </w:pPr>
      <w:r>
        <w:t>K § 5</w:t>
      </w:r>
    </w:p>
    <w:p>
      <w:pPr>
        <w:jc w:val="both"/>
      </w:pPr>
      <w:r>
        <w:t xml:space="preserve">Neuplatnením práva na vydanie pozemkov v určenej lehote na obvodnom pozemkovom úrade právo zaniká. O vlastníctve sa rozhoduje v správnom konaní a podľa § 132 ods. 2 Občianskeho zákonníka dňom nadobudnutia účinnosti rozhodnutia. Proti rozhodnutiu možno podať opravný prostriedok na súd. </w:t>
      </w:r>
    </w:p>
    <w:p>
      <w:pPr>
        <w:jc w:val="both"/>
      </w:pPr>
    </w:p>
    <w:p>
      <w:pPr>
        <w:pStyle w:val="Heading2"/>
      </w:pPr>
      <w:r>
        <w:t>K § 6</w:t>
      </w:r>
    </w:p>
    <w:p>
      <w:pPr>
        <w:pStyle w:val="BodyText"/>
      </w:pPr>
      <w:r>
        <w:t>Definujú sa prípady, kedy pozemky nemožno vydať. Dôvodom sú prekážky, ktoré bránia riadeniu využitiu pozemkov.</w:t>
      </w:r>
    </w:p>
    <w:p>
      <w:pPr>
        <w:jc w:val="both"/>
      </w:pPr>
      <w:r>
        <w:t>Na bezodplatný prevod pozemku  z vlastníctva štátu do vlastníctva oprávnenej osoby, prípadne poskytnutie finančnej náhrady je príslušný Slovenský pozemkový fond.</w:t>
      </w:r>
    </w:p>
    <w:p>
      <w:pPr>
        <w:jc w:val="both"/>
      </w:pPr>
    </w:p>
    <w:p>
      <w:pPr>
        <w:pStyle w:val="Heading2"/>
      </w:pPr>
      <w:r>
        <w:t>K § 7</w:t>
      </w:r>
    </w:p>
    <w:p>
      <w:pPr>
        <w:jc w:val="both"/>
      </w:pPr>
      <w:r>
        <w:t>Ustanovený postup sa vzťahuje na prípady, keď si nárok na vydanie toho istého pozemku uplatnilo viac oprávnených osôb, pričom k ich odňatiu došlo v rôznom čase.</w:t>
      </w:r>
    </w:p>
    <w:p>
      <w:pPr>
        <w:jc w:val="both"/>
      </w:pPr>
    </w:p>
    <w:p>
      <w:pPr>
        <w:pStyle w:val="Heading2"/>
      </w:pPr>
      <w:r>
        <w:t>K § 8</w:t>
      </w:r>
    </w:p>
    <w:p>
      <w:pPr>
        <w:jc w:val="both"/>
      </w:pPr>
      <w:r>
        <w:t>Za účelom zabezpečenia účelu zákona sa dane a poplatky nevyrubujú a doterajší nájomný vzťah zostáva zachovaný do uplynutia doby, prípadne z dôvodov neplnenia povinností riadneho hospodára resp. iných zmlu</w:t>
      </w:r>
      <w:r>
        <w:t xml:space="preserve">vných dôvodov. </w:t>
      </w:r>
    </w:p>
    <w:p>
      <w:pPr>
        <w:jc w:val="both"/>
      </w:pPr>
      <w:r>
        <w:t xml:space="preserve">Zároveň sa ustanovuje všeobecná povinnosť pomoci oprávneným osobám. </w:t>
      </w:r>
    </w:p>
    <w:p>
      <w:pPr>
        <w:jc w:val="both"/>
      </w:pPr>
    </w:p>
    <w:p>
      <w:pPr>
        <w:pStyle w:val="Heading2"/>
        <w:rPr>
          <w:b/>
          <w:bCs/>
          <w:u w:val="none"/>
        </w:rPr>
      </w:pPr>
      <w:r>
        <w:rPr>
          <w:b/>
          <w:bCs/>
          <w:u w:val="none"/>
        </w:rPr>
        <w:t>K Čl. II</w:t>
      </w:r>
    </w:p>
    <w:p>
      <w:pPr>
        <w:jc w:val="both"/>
      </w:pPr>
    </w:p>
    <w:p>
      <w:pPr>
        <w:jc w:val="both"/>
      </w:pPr>
      <w:r>
        <w:t>Realizuje sa Programové vyhlásenie vlády Slovenskej republiky, podľa ktorého štát tú časť pôdy, ktorá nebude potrebná na výstavbu objektov a infraštruktúry celospoločenského významu, prevedie do vlastníctva obce.</w:t>
      </w:r>
    </w:p>
    <w:p>
      <w:pPr>
        <w:pStyle w:val="Heading2"/>
        <w:rPr>
          <w:b/>
          <w:bCs/>
          <w:u w:val="none"/>
        </w:rPr>
      </w:pPr>
    </w:p>
    <w:p>
      <w:pPr>
        <w:pStyle w:val="Heading2"/>
        <w:rPr>
          <w:b/>
          <w:bCs/>
          <w:u w:val="none"/>
        </w:rPr>
      </w:pPr>
      <w:r>
        <w:rPr>
          <w:b/>
          <w:bCs/>
          <w:u w:val="none"/>
        </w:rPr>
        <w:t>K Čl. III</w:t>
      </w:r>
    </w:p>
    <w:p>
      <w:pPr>
        <w:jc w:val="both"/>
      </w:pPr>
    </w:p>
    <w:p>
      <w:pPr>
        <w:jc w:val="both"/>
      </w:pPr>
      <w:r>
        <w:t>Navrhuje sa účinnosť zákona tak, aby zákon nadobudol účinnosť so zákonmi, ktoré upravujú orgány štátnej správy na tomto úseku štátnej správy.</w:t>
      </w:r>
    </w:p>
    <w:p>
      <w:pPr>
        <w:pStyle w:val="BodyText"/>
        <w:rPr>
          <w:u w:val="single"/>
        </w:rPr>
      </w:pPr>
    </w:p>
    <w:p>
      <w:pPr>
        <w:pStyle w:val="BodyText"/>
        <w:rPr>
          <w:u w:val="single"/>
        </w:rPr>
      </w:pPr>
    </w:p>
    <w:p>
      <w:pPr>
        <w:pStyle w:val="BodyText"/>
        <w:rPr>
          <w:u w:val="single"/>
        </w:rPr>
      </w:pPr>
    </w:p>
    <w:p>
      <w:pPr>
        <w:pStyle w:val="BodyText"/>
        <w:rPr>
          <w:u w:val="single"/>
        </w:rPr>
      </w:pPr>
    </w:p>
    <w:p>
      <w:pPr>
        <w:pStyle w:val="BodyText"/>
        <w:rPr>
          <w:u w:val="single"/>
        </w:rPr>
      </w:pPr>
    </w:p>
    <w:p>
      <w:pPr>
        <w:pStyle w:val="BodyText"/>
        <w:jc w:val="center"/>
      </w:pPr>
      <w:r>
        <w:t>Predseda vlády Slovenskej republiky</w:t>
      </w:r>
    </w:p>
    <w:p>
      <w:pPr>
        <w:pStyle w:val="BodyText"/>
        <w:jc w:val="center"/>
      </w:pPr>
    </w:p>
    <w:p>
      <w:pPr>
        <w:pStyle w:val="BodyText"/>
        <w:jc w:val="center"/>
      </w:pPr>
      <w:r>
        <w:t>Mikuláš</w:t>
      </w:r>
      <w:r>
        <w:t xml:space="preserve">   D z u r i n d a</w:t>
      </w:r>
    </w:p>
    <w:p>
      <w:pPr>
        <w:pStyle w:val="BodyText"/>
        <w:jc w:val="center"/>
      </w:pPr>
    </w:p>
    <w:p>
      <w:pPr>
        <w:pStyle w:val="BodyText"/>
        <w:jc w:val="center"/>
      </w:pPr>
    </w:p>
    <w:p>
      <w:pPr>
        <w:pStyle w:val="BodyText"/>
        <w:jc w:val="center"/>
      </w:pPr>
    </w:p>
    <w:p>
      <w:pPr>
        <w:pStyle w:val="BodyText"/>
        <w:jc w:val="center"/>
      </w:pPr>
      <w:r>
        <w:t xml:space="preserve">Minister pôdohospodárstva </w:t>
      </w:r>
    </w:p>
    <w:p>
      <w:pPr>
        <w:pStyle w:val="BodyText"/>
        <w:jc w:val="center"/>
      </w:pPr>
      <w:r>
        <w:t>Slovenskej republiky</w:t>
      </w:r>
    </w:p>
    <w:p>
      <w:pPr>
        <w:pStyle w:val="BodyText"/>
        <w:jc w:val="center"/>
      </w:pPr>
    </w:p>
    <w:p>
      <w:pPr>
        <w:pStyle w:val="BodyText"/>
        <w:jc w:val="center"/>
      </w:pPr>
      <w:r>
        <w:t>Zsolt   S i m o n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06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6F7623"/>
    <w:multiLevelType w:val="hybridMultilevel"/>
    <w:tmpl w:val="E0CC7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45F89"/>
    <w:multiLevelType w:val="hybridMultilevel"/>
    <w:tmpl w:val="AAC0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E28D7"/>
    <w:multiLevelType w:val="hybridMultilevel"/>
    <w:tmpl w:val="E1D401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E4021"/>
    <w:multiLevelType w:val="hybridMultilevel"/>
    <w:tmpl w:val="B8E258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</w:tabs>
      <w:ind w:left="709" w:hanging="709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308</TotalTime>
  <Pages>1</Pages>
  <Words>1420</Words>
  <Characters>8095</Characters>
  <Application>Microsoft Office Word</Application>
  <DocSecurity>0</DocSecurity>
  <Lines>67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 SR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.</dc:creator>
  <cp:lastModifiedBy>.</cp:lastModifiedBy>
  <cp:revision>89</cp:revision>
  <cp:lastPrinted>2003-06-09T07:07:00Z</cp:lastPrinted>
  <dcterms:created xsi:type="dcterms:W3CDTF">2003-02-25T11:36:00Z</dcterms:created>
  <dcterms:modified xsi:type="dcterms:W3CDTF">2003-08-21T09:59:00Z</dcterms:modified>
</cp:coreProperties>
</file>