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5EA2">
      <w:pPr>
        <w:pStyle w:val="Title"/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NÁRODNÁ RADA </w:t>
      </w:r>
      <w:r>
        <w:rPr>
          <w:rFonts w:ascii="Times New Roman" w:hAnsi="Times New Roman" w:cs="Times New Roman"/>
          <w:caps/>
          <w:sz w:val="32"/>
        </w:rPr>
        <w:t>Slovenskej republiky</w:t>
      </w:r>
    </w:p>
    <w:p w:rsidR="00D55EA2">
      <w:pPr>
        <w:pStyle w:val="Title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volebné obdobie</w:t>
      </w:r>
    </w:p>
    <w:p w:rsidR="00D55EA2">
      <w:pPr>
        <w:pStyle w:val="Title"/>
        <w:spacing w:line="360" w:lineRule="auto"/>
        <w:ind w:left="6372" w:firstLine="708"/>
        <w:jc w:val="both"/>
        <w:rPr>
          <w:rFonts w:ascii="Times New Roman" w:hAnsi="Times New Roman" w:cs="Times New Roman"/>
          <w:b w:val="0"/>
        </w:rPr>
      </w:pPr>
    </w:p>
    <w:p w:rsidR="00D55EA2">
      <w:pPr>
        <w:pStyle w:val="Title"/>
        <w:spacing w:line="360" w:lineRule="auto"/>
        <w:ind w:left="6372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Číslo:</w:t>
      </w:r>
    </w:p>
    <w:p w:rsidR="00D55EA2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55EA2">
      <w:pPr>
        <w:pStyle w:val="Title"/>
        <w:spacing w:line="360" w:lineRule="auto"/>
        <w:jc w:val="both"/>
        <w:rPr>
          <w:rFonts w:ascii="Times New Roman" w:hAnsi="Times New Roman" w:cs="Times New Roman"/>
        </w:rPr>
      </w:pPr>
    </w:p>
    <w:p w:rsidR="00D55EA2">
      <w:pPr>
        <w:pStyle w:val="Title"/>
        <w:spacing w:line="360" w:lineRule="auto"/>
        <w:jc w:val="both"/>
        <w:rPr>
          <w:rFonts w:ascii="Times New Roman" w:hAnsi="Times New Roman" w:cs="Times New Roman"/>
        </w:rPr>
      </w:pPr>
    </w:p>
    <w:p w:rsidR="00D55EA2">
      <w:pPr>
        <w:pStyle w:val="Titl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D55EA2">
      <w:pPr>
        <w:pStyle w:val="Title"/>
        <w:spacing w:line="360" w:lineRule="auto"/>
        <w:rPr>
          <w:rFonts w:ascii="Times New Roman" w:hAnsi="Times New Roman" w:cs="Times New Roman"/>
        </w:rPr>
      </w:pPr>
    </w:p>
    <w:p w:rsidR="00D55EA2">
      <w:pPr>
        <w:pStyle w:val="Titl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skupiny poslancov Národnej rady Slovenskej republiky</w:t>
      </w:r>
    </w:p>
    <w:p w:rsidR="00D55EA2">
      <w:pPr>
        <w:pStyle w:val="Title"/>
        <w:spacing w:line="360" w:lineRule="auto"/>
        <w:rPr>
          <w:rFonts w:ascii="Times New Roman" w:hAnsi="Times New Roman" w:cs="Times New Roman"/>
        </w:rPr>
      </w:pPr>
    </w:p>
    <w:p w:rsidR="00D55EA2">
      <w:pPr>
        <w:pStyle w:val="Titl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vydanie</w:t>
      </w:r>
    </w:p>
    <w:p w:rsidR="00D55EA2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zákona, ktorým sa mení a dopĺňa zákon č. 161/1998 Z. z. o Komore kominárov Slovenska a o zmene a doplnení zákona č. 455/1991 Zb. o živnostenskom podnikaní (živnostenský zákon) v znení neskorších predpisov</w:t>
      </w:r>
    </w:p>
    <w:p w:rsidR="00D55EA2">
      <w:pPr>
        <w:pStyle w:val="Title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D55EA2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55EA2">
      <w:pPr>
        <w:pStyle w:val="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Predkladá:</w:t>
      </w:r>
      <w:r>
        <w:rPr>
          <w:rFonts w:ascii="Times New Roman" w:hAnsi="Times New Roman" w:cs="Times New Roman"/>
          <w:b w:val="0"/>
        </w:rPr>
        <w:tab/>
        <w:tab/>
        <w:tab/>
        <w:tab/>
        <w:tab/>
        <w:tab/>
        <w:t xml:space="preserve">       </w:t>
      </w:r>
      <w:r>
        <w:rPr>
          <w:rFonts w:ascii="Times New Roman" w:hAnsi="Times New Roman" w:cs="Times New Roman"/>
          <w:u w:val="single"/>
        </w:rPr>
        <w:t>Návrh uznesenia:</w:t>
      </w:r>
    </w:p>
    <w:p w:rsidR="00D55EA2">
      <w:pPr>
        <w:pStyle w:val="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Roman Vavrík</w:t>
        <w:tab/>
        <w:tab/>
        <w:tab/>
        <w:tab/>
        <w:tab/>
        <w:t xml:space="preserve">       Národná rada Slovenskej republiky</w:t>
      </w:r>
    </w:p>
    <w:p w:rsidR="00D55EA2">
      <w:pPr>
        <w:pStyle w:val="Title"/>
        <w:ind w:left="5670" w:hanging="567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Ľubomír Lintner</w:t>
        <w:tab/>
        <w:t xml:space="preserve">s c h v a ľ u j e </w:t>
      </w:r>
    </w:p>
    <w:p w:rsidR="00D55EA2">
      <w:pPr>
        <w:pStyle w:val="Title"/>
        <w:ind w:left="5670" w:hanging="567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Peter Muránsky</w:t>
      </w:r>
    </w:p>
    <w:p w:rsidR="00D55EA2">
      <w:pPr>
        <w:pStyle w:val="Title"/>
        <w:spacing w:before="0"/>
        <w:ind w:left="538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návrh skupiny poslancov Národnej rady Slovenskej republiky na vydanie zákona, ktorým sa mení a dopĺňa zákon č. 161/1998 Z. z. o Komore kominárov Slovenska a o zmene a doplnení zákona č. 455/1991 Zb. </w:t>
      </w:r>
    </w:p>
    <w:p w:rsidR="00D55EA2">
      <w:pPr>
        <w:pStyle w:val="Title"/>
        <w:spacing w:before="0"/>
        <w:ind w:left="538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o živnostenskom podnikaní (živnostenský zákon) v znení neskorších predpisov</w:t>
      </w:r>
    </w:p>
    <w:p w:rsidR="00D55EA2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55EA2">
      <w:pPr>
        <w:pStyle w:val="Title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Bratislava jún 2003</w:t>
      </w:r>
    </w:p>
    <w:p w:rsidR="00D55EA2">
      <w:pPr>
        <w:pStyle w:val="Title"/>
        <w:rPr>
          <w:rFonts w:ascii="Arial" w:hAnsi="Arial" w:cs="Times New Roman"/>
          <w:sz w:val="28"/>
        </w:rPr>
      </w:pPr>
      <w:r>
        <w:rPr>
          <w:rFonts w:ascii="Arial" w:hAnsi="Arial" w:cs="Times New Roman"/>
          <w:sz w:val="28"/>
        </w:rPr>
        <w:t>Dôvodová správa</w:t>
      </w:r>
    </w:p>
    <w:p w:rsidR="00D55EA2">
      <w:pPr>
        <w:pStyle w:val="Heading1"/>
        <w:rPr>
          <w:rFonts w:ascii="Times New Roman" w:hAnsi="Times New Roman" w:cs="Times New Roman"/>
        </w:rPr>
      </w:pPr>
    </w:p>
    <w:p w:rsidR="00D55EA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všeobecná časť</w:t>
      </w:r>
    </w:p>
    <w:p w:rsidR="00D55EA2">
      <w:pPr>
        <w:rPr>
          <w:rFonts w:ascii="Times New Roman" w:hAnsi="Times New Roman" w:cs="Times New Roman"/>
        </w:rPr>
      </w:pPr>
    </w:p>
    <w:p w:rsidR="00D55EA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máji 1998 prijala Národná rada Slovenskej republiky zákon č. 161/1998 Z. z. o Komore kominárov Slovenska. Zákon nadobudol účinnosť 1. júla 1998. Pri tvorbe citovaného zákona sa vychádzalo z dlhodobej tradície kominárskej činnosti, ktorú táto činnosť na území Slovenska má. Kominárska činnosť patrila v minulosti medzi typické živnostenské podnikanie.</w:t>
      </w:r>
    </w:p>
    <w:p w:rsidR="00D55EA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súčasnosti je problematika kominárstva okrem zákona č. 161/1998 Z. z. o Komore kominárov Slovenska upravená v zákone č. 455/1991 Zb. o živnostenskom podnikaní (živnostenský zákon) v znení neskorších predpisov a v zákone č. 314/2001 Z. z. o ochrane pred požiarmi a v niektorých ďalších predpisoch.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Uplatňovanie zákona o Komore kominárov Slovenska (ďalej len „komora“) prinieslo pozitívne výsledky, a to najmä tým, že komora svojou činnosťou prispieva k zvyšovaniu úrovne vykonávaných kominárskych prác. Zároveň sa ukázalo, že je potrebné nielen spresniť postavenie komory ako stavovskej organizácie, ale najmä spresniť, čo je kominárska činnosť a bližšie špecifikovať podmienky umožňujúce vykonávať kominársku činnosť na potrebnej úrovni. Z uvedených dôvodov sa navrhuje prijatie novely zákona, ktorým sa mení a dopĺňa zákon č. 161/1998 Z. z. o Komore kominárov Slovenska a o zmene a doplnení zákona č. 455/1991 Zb. o živnostenskom podnikaní (živnostenský zákon) v znení neskorších predpisov.</w:t>
      </w:r>
    </w:p>
    <w:p w:rsidR="00D55EA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314/2001 Z. z. o ochrane pred požiarmi nadobudol účinnosť 1. apríla 2002. Tento zákon upravuje i celý rad otázok, ktoré sa týkajú kominárskej činnosti. Zákon ustanovuje povinnosti fyzickým osobám i právnickým osobám pri zabezpečovaní kontroly komínov a ich čistení ako jedného z predpokladov na zabránenie vzniku požiarov. Túto činnosť môžu podľa citovaného zákona vykonávať len osoby, ktoré majú na túto činnosť odbornú spôsobilosť, t.j. kominári, ktorí spĺňajú požiadavky predpísaného vzdelania a potrebnej praxe, ako aj revízni technici komínov.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1. apríla 2002 otázky odbornej prípravy, overovania a osvedčovania odbornej spôsobilosti, ako aj otázky zadržania a odňatia osvedčenia o odbornej spôsobilosti upravovala vyhláška Ministerstva vnútra Slovenskej republiky č. 82/1996 Z. z., ktorou sa vykonávajú niektoré  ustanovenia zákona Slovenskej  národnej rady o požiarnej  ochrane v obla</w:t>
      </w:r>
      <w:r>
        <w:rPr>
          <w:rFonts w:ascii="Times New Roman" w:hAnsi="Times New Roman" w:cs="Times New Roman"/>
        </w:rPr>
        <w:t>sti prevencie.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 161/1998 Z. z. zveril vykonávanie odbornej prípravy a vydávania osvedčenia o odbornej spôsobilosti komore, avšak ide len o rámcovú úpravu. Ukazuje sa potrebným, aby tieto otázky boli upravené podrobnejšie, obdobne ako tomu bolo vo vyhláške Ministerstva vnútra Slovenskej republiky č. 82/1996 Z. z.. 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Komora vyvinula iniciatívu a pripravila návrh zákona v roku 2001, ktorý mal tieto otázky riešiť. Avšak po predložení návrhu zákona na rokovanie Národnej rady Slovenskej republiky v roku 2002, vzhľadom na množstvo iných návrhov zákonov, bolo rozhodnuté, že navrhovaný zákon o činnosti kominárov, ich odbornej spôsobilosti a o Komore kominárov Slovenska (kominársky zákon), bol z rokovania Národnej rady Slovenskej republiky stiahnutý. Týmto vzniklo legislatívne vákuum, ktoré je potrebné odstrániť. Riešenie tohto problému je možno vykonať navrhovanou novelou zákona č. 161/1998 Z. z.</w:t>
      </w:r>
    </w:p>
    <w:p w:rsidR="00D55EA2">
      <w:pPr>
        <w:ind w:firstLine="708"/>
        <w:rPr>
          <w:rFonts w:ascii="Times New Roman" w:hAnsi="Times New Roman" w:cs="Times New Roman"/>
        </w:rPr>
      </w:pPr>
    </w:p>
    <w:p w:rsidR="00D55EA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Novela zákona bude najmä</w:t>
      </w:r>
    </w:p>
    <w:p w:rsidR="00D55EA2">
      <w:pPr>
        <w:numPr>
          <w:ilvl w:val="0"/>
          <w:numId w:val="4"/>
        </w:numPr>
        <w:tabs>
          <w:tab w:val="left" w:pos="10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upravovať podmienky odbornej prípravy, obsah a rozsah odbornej spôsobilosti, spôsob a podmienky overovania a osvedčovania odbornej spôsobilosti a spôsob vydávania a odnímania osvedčení o odbornej spôsobilosti kominárov a revíznych technikov komínov,</w:t>
      </w:r>
    </w:p>
    <w:p w:rsidR="00D55EA2">
      <w:pPr>
        <w:numPr>
          <w:ilvl w:val="0"/>
          <w:numId w:val="4"/>
        </w:numPr>
        <w:tabs>
          <w:tab w:val="left" w:pos="10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spresňovať postavenie a pôsobnosť komory.</w:t>
      </w:r>
    </w:p>
    <w:p w:rsidR="00D55EA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Prijatím navrhovaného zákona nevzniknú nároky na štátny rozpočet, ani na rozpočty obcí a vyšších územných celkov. Všetky náklady súvisiace s činnosťou komory budú uhrádzané z príjmov komory. Zákon nebude mať dopad na zamestnanosť.</w:t>
      </w:r>
    </w:p>
    <w:p w:rsidR="00D55EA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v súlade s Ústavou Slovenskej republiky, s inými zákonmi, ako a</w:t>
      </w:r>
      <w:r>
        <w:rPr>
          <w:rFonts w:ascii="Times New Roman" w:hAnsi="Times New Roman" w:cs="Times New Roman"/>
        </w:rPr>
        <w:t>j s medzinárodnými zmluvami, ktorými je Slovenská republika viazaná.</w:t>
      </w:r>
    </w:p>
    <w:p w:rsidR="00D55EA2">
      <w:pPr>
        <w:pStyle w:val="Heading5"/>
        <w:jc w:val="both"/>
        <w:rPr>
          <w:rFonts w:ascii="Times New Roman" w:hAnsi="Times New Roman" w:cs="Times New Roman"/>
          <w:sz w:val="24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Osobitná časť</w:t>
      </w:r>
    </w:p>
    <w:p w:rsidR="001D65BC" w:rsidRPr="001D65BC" w:rsidP="001D65BC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 bodu 1:</w:t>
      </w:r>
      <w:r>
        <w:rPr>
          <w:rFonts w:ascii="Times New Roman" w:hAnsi="Times New Roman" w:cs="Times New Roman"/>
        </w:rPr>
        <w:t xml:space="preserve"> 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zmena § 2 platného zákona z toho dôvodu, že sa ukázalo, že presné určenie sídla komory je nepraktické. Preto sa navrhuje aby sídlo si určila komora sama, vo svojich stanovách</w:t>
      </w: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 bodu 2 a 3:</w:t>
      </w:r>
      <w:r>
        <w:rPr>
          <w:rFonts w:ascii="Times New Roman" w:hAnsi="Times New Roman" w:cs="Times New Roman"/>
        </w:rPr>
        <w:t xml:space="preserve"> 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Doterajšia prax uplatňovania zákona o komore kominárov ukazuje na nutnosť spresnenia postavenia komory ako hlavného činiteľa, ktorý zabezpečuje prípravu osôb, ktoré majú mať odbornú spôsobilosť pokiaľ ide o čistenie, kontrolu a odborné preskúšavanie komínov. Ide najmä o vymedzenie podmienok odbornej prípravy, obsah a rozsah odbornej spôsobilosti, podmienok overovania a osvedčovania odborne</w:t>
      </w:r>
      <w:r>
        <w:rPr>
          <w:rFonts w:ascii="Times New Roman" w:hAnsi="Times New Roman" w:cs="Times New Roman"/>
        </w:rPr>
        <w:t>j spôsobilosti a spôsobu vydávania a odnímania osvedčení o odbornej spôsobilosti kominárov a revíznych technikov komínov.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Vychádzajúc z doterajších poznatkov uplatňovania teraz platného zákona navrhuje sa ustanoviť, aby osoba s odbornou spôsobilosťou mala vymedzený územný obvod svojej pôsobnosti. Aby fyzická osoba alebo právnická osoba si mohla vybrať osobu s odbornou spôsobilosťou, sa navrhuje, aby v územnom obvode pôsobnosti boli viaceré osoby spôsobilé vykonávať kominárske práce.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návrhu zákona sa ustanovuje, že kominárske prá</w:t>
      </w:r>
      <w:r w:rsidR="001D65BC">
        <w:rPr>
          <w:rFonts w:ascii="Times New Roman" w:hAnsi="Times New Roman" w:cs="Times New Roman"/>
        </w:rPr>
        <w:t>ce sa členia na odborné preskúša</w:t>
      </w:r>
      <w:r>
        <w:rPr>
          <w:rFonts w:ascii="Times New Roman" w:hAnsi="Times New Roman" w:cs="Times New Roman"/>
        </w:rPr>
        <w:t>vanie komínov, čo môže vykonávať len revízny technik komínov, a kontrolu čistenia komínov, čo môže vykonávať tak kominár, ako aj revízny technik komínov. Kominár a revízny technik komínov sú osoby s odbornou spôsobilosťou. Navrhuje sa, aby kontrolu a čistenie komínov mohla vykonávať aj osoba, ktorá vykonáva prax podľa § 3f. Túto činnosť však môže vykonávať len pod dohľadom kominára alebo revízneho technika komínov.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vymedzuje odbornú spôsobilosť ako súhrn vedomostí, praktických skúseností a aplikačných postupov, ktoré sú nevyhnutné na vykonávanie kominárskych činností. Zároveň bližšie upravuje podmienky odbornej spôsobilosti pre kominárov a pre revíznych technikov s tým, že obsah odbornej spôsobilosti je uvedený v prílohe č. 1 k zákonu. 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sa, aby základná odborná príprava kominárov, ktorí sa majú podrobiť ďalšiemu overeniu je najmenej 100 hodín a základná odborná príprava revíznych technikov komínov bola 60 hodín.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pôjde o ďalšiu prípravu kominárov, tá sa bude vykonávať raz za päť rokov v rozsahu najmenej 25 hodín a odborná príprava revíznych technikov komínov bude trvať najmenej 15 hodín.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Odborná spôsobilosť sa bude overovať skúškou a preukazovať osvedčením o odbornej spôsobilosti. Osvedčenie o odbornej spôsobilosti kominár na základe výučného listu alebo iného dokladu (napr. osvedčenie o rekvalifikácii) o riadnom ukončení učebného odboru alebo príbuzného odboru a dokladu o vykonaní trojročnej praxe v kominárskom odbore vydáva komora. Kominárska prax sa získava buď v učebnom odbore počas štúdia, ktoré trvá tri roky, alebo štúdiom príbuzného odboru s kratším časom ako tri roky. V takomto prípade táto osoba môže získať prax u osoby s odbornou spôsobilosťou, ktorú určí komora.</w:t>
      </w:r>
    </w:p>
    <w:p w:rsidR="00D55EA2">
      <w:pPr>
        <w:pStyle w:val="BodyTextIndent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 xml:space="preserve">Navrhuje sa, aby kominár sa mohol podrobiť overeniu odbornej spôsobilosti revízny technik komínov najskôr tri roky po nadobudnutí odbornej spôsobilosti kominár. </w:t>
      </w:r>
      <w:r>
        <w:rPr>
          <w:rFonts w:ascii="Times New Roman" w:hAnsi="Times New Roman" w:cs="Times New Roman"/>
        </w:rPr>
        <w:t xml:space="preserve">Overovanie odbornej spôsobilosti sa vykonáva pred skúšobnou komisiou, ktorú zriaďuje komora. 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s odbornou spôsobilosťou kominár, ako aj osoba s odbornou spôsobilosťou revízny technik komínov osvedčujú pravosť písomností, ktoré vyhotovia, odtlačkom svojej pečiatky a vlastnoručným podpisom.</w:t>
      </w:r>
    </w:p>
    <w:p w:rsidR="00D55EA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Jedným z opatrení, ktoré bude môcť uplatňovať komora voči osobám s odbornou spôsobilosťou, ktoré majú opakovane vo svojej činnosti nedostatky, je zadržanie osvedčenia o odbornej spôsobilosti, a to až do času vykonania skúšky, najneskôr do troch mesiacov odo dňa zadržania osvedčenia.</w:t>
      </w:r>
      <w:r>
        <w:rPr>
          <w:rFonts w:ascii="Times New Roman" w:hAnsi="Times New Roman" w:cs="Times New Roman"/>
          <w:lang w:eastAsia="cs-CZ"/>
        </w:rPr>
        <w:t xml:space="preserve"> Osobe, ktorá na tejto skúške nevyhovie alebo sa skúške nepodrobí v ustanovenej lehote, zaniká platnosť osvedčenia o odbornej spôsobilosti.</w:t>
      </w: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 bodu 4 a 5:</w:t>
      </w:r>
      <w:r>
        <w:rPr>
          <w:rFonts w:ascii="Times New Roman" w:hAnsi="Times New Roman" w:cs="Times New Roman"/>
        </w:rPr>
        <w:t xml:space="preserve"> </w:t>
      </w:r>
    </w:p>
    <w:p w:rsidR="00D55E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sa, aby medzi orgány komory bol zaradený aj viceprezident komory.</w:t>
      </w: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 bodu 6 až 8:</w:t>
      </w:r>
      <w:r>
        <w:rPr>
          <w:rFonts w:ascii="Times New Roman" w:hAnsi="Times New Roman" w:cs="Times New Roman"/>
        </w:rPr>
        <w:t xml:space="preserve"> </w:t>
      </w:r>
    </w:p>
    <w:p w:rsidR="00D5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 má komora niesť zodpovednosť za kvalifikovaný výkon kominárskych činností v plnom rozsahu, ako jej to vyplýva zo zákona, je potrebné, aby mala vplyv nielen na členov komory, ale na všetky osoby s odbornou spôsobilosťou. Z toho dôvodu sa navrhuje možnosť prípadného sankcionovania všetkých osôb s odbornou spôsobilosťou, ak závažným spôsobom porušujú povinnosti upravené vo všeobecne záväzných právnych predpisoch.</w:t>
      </w: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 bodu 9 a 10:</w:t>
      </w:r>
      <w:r>
        <w:rPr>
          <w:rFonts w:ascii="Times New Roman" w:hAnsi="Times New Roman" w:cs="Times New Roman"/>
        </w:rPr>
        <w:t xml:space="preserve"> </w:t>
      </w:r>
    </w:p>
    <w:p w:rsidR="00D5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Ustanovenia § 19 a čl. II sa z dôvodu neúčinnosti vypúšťajú.</w:t>
      </w: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 bodu 11:</w:t>
      </w:r>
      <w:r>
        <w:rPr>
          <w:rFonts w:ascii="Times New Roman" w:hAnsi="Times New Roman" w:cs="Times New Roman"/>
        </w:rPr>
        <w:t xml:space="preserve"> </w:t>
      </w:r>
    </w:p>
    <w:p w:rsidR="00D5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prílohách zákona sú podrobne upravené najmä obsah odbornej prípravy, vzory osvedčenia, ale aj vzory pečiatok, ktoré budú osoby s odbornou spôsobilosťou pri výkone svojej činnosti používať.</w:t>
      </w: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p w:rsidR="00D55EA2" w:rsidP="00D55EA2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1D65BC" w:rsidP="00D55EA2">
      <w:pPr>
        <w:pStyle w:val="Heading5"/>
        <w:rPr>
          <w:rFonts w:ascii="Times New Roman" w:hAnsi="Times New Roman" w:cs="Times New Roman"/>
          <w:caps w:val="0"/>
        </w:rPr>
      </w:pPr>
    </w:p>
    <w:p w:rsidR="001D65BC" w:rsidP="00D55EA2">
      <w:pPr>
        <w:pStyle w:val="Heading5"/>
        <w:rPr>
          <w:rFonts w:ascii="Times New Roman" w:hAnsi="Times New Roman" w:cs="Times New Roman"/>
          <w:caps w:val="0"/>
        </w:rPr>
      </w:pPr>
    </w:p>
    <w:p w:rsidR="001D65BC" w:rsidP="00D55EA2">
      <w:pPr>
        <w:pStyle w:val="Heading5"/>
        <w:rPr>
          <w:rFonts w:ascii="Times New Roman" w:hAnsi="Times New Roman" w:cs="Times New Roman"/>
          <w:caps w:val="0"/>
        </w:rPr>
      </w:pPr>
    </w:p>
    <w:p w:rsidR="001D65BC" w:rsidP="00D55EA2">
      <w:pPr>
        <w:pStyle w:val="Heading5"/>
        <w:rPr>
          <w:rFonts w:ascii="Times New Roman" w:hAnsi="Times New Roman" w:cs="Times New Roman"/>
          <w:caps w:val="0"/>
        </w:rPr>
      </w:pPr>
    </w:p>
    <w:p w:rsidR="00D55EA2" w:rsidP="00D55EA2">
      <w:pPr>
        <w:pStyle w:val="Heading5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  <w:caps w:val="0"/>
        </w:rPr>
        <w:t>Doložka  zlučiteľnosti</w:t>
      </w:r>
    </w:p>
    <w:p w:rsidR="00D55EA2" w:rsidP="00D55EA2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návrhu zákona s právom Európskej únie</w:t>
      </w:r>
    </w:p>
    <w:p w:rsidR="00D55EA2" w:rsidP="00D55EA2">
      <w:pPr>
        <w:spacing w:before="0"/>
        <w:rPr>
          <w:rFonts w:ascii="Times New Roman" w:hAnsi="Times New Roman" w:cs="Times New Roman"/>
          <w:b/>
        </w:rPr>
      </w:pPr>
    </w:p>
    <w:p w:rsidR="00D55EA2" w:rsidP="00D55EA2">
      <w:pPr>
        <w:spacing w:before="0"/>
        <w:rPr>
          <w:rFonts w:ascii="Times New Roman" w:hAnsi="Times New Roman" w:cs="Times New Roman"/>
          <w:b/>
        </w:rPr>
      </w:pPr>
    </w:p>
    <w:p w:rsidR="001D65BC" w:rsidP="00D55EA2">
      <w:pPr>
        <w:spacing w:before="0"/>
        <w:rPr>
          <w:rFonts w:ascii="Times New Roman" w:hAnsi="Times New Roman" w:cs="Times New Roman"/>
          <w:b/>
        </w:rPr>
      </w:pPr>
    </w:p>
    <w:p w:rsidR="00D55EA2" w:rsidP="00D55EA2">
      <w:pPr>
        <w:numPr>
          <w:ilvl w:val="0"/>
          <w:numId w:val="1"/>
        </w:numPr>
        <w:tabs>
          <w:tab w:val="left" w:pos="570"/>
        </w:tabs>
        <w:spacing w:before="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b/>
        </w:rPr>
        <w:t>Navrhovateľ zákona:</w:t>
      </w:r>
      <w:r>
        <w:rPr>
          <w:rFonts w:ascii="Times New Roman" w:hAnsi="Times New Roman" w:cs="Times New Roman"/>
          <w:caps/>
        </w:rPr>
        <w:t xml:space="preserve">   </w:t>
      </w:r>
    </w:p>
    <w:p w:rsidR="00D55EA2" w:rsidP="00D55EA2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poslancov Národnej rady Slovenskej republiky: Roman Vavrík, Ľubomír Lintner a Peter Muránsky</w:t>
      </w:r>
    </w:p>
    <w:p w:rsidR="00D55EA2" w:rsidP="00D55EA2">
      <w:pPr>
        <w:spacing w:before="0"/>
        <w:ind w:left="567" w:hanging="567"/>
        <w:rPr>
          <w:rFonts w:ascii="Times New Roman" w:hAnsi="Times New Roman" w:cs="Times New Roman"/>
          <w:b/>
        </w:rPr>
      </w:pPr>
    </w:p>
    <w:p w:rsidR="00D55EA2" w:rsidP="00D55EA2">
      <w:pPr>
        <w:spacing w:before="0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  <w:tab/>
        <w:t>Názov návrhu zákona:</w:t>
      </w:r>
    </w:p>
    <w:p w:rsidR="00D55EA2" w:rsidP="00D55EA2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Zákon, ktorým sa mení a dopĺňa zákon č. 161/1998 Z. z. o Komore kominárov Slovenska a o zmene a doplnení zákona č. 455/1991 Zb. o živnostenskom podnikaní (živnostenský zákon) v znení neskorších predpisov</w:t>
      </w:r>
    </w:p>
    <w:p w:rsidR="00D55EA2" w:rsidP="00D55EA2">
      <w:pPr>
        <w:spacing w:before="0"/>
        <w:ind w:left="567" w:hanging="567"/>
        <w:rPr>
          <w:rFonts w:ascii="Times New Roman" w:hAnsi="Times New Roman" w:cs="Times New Roman"/>
          <w:b/>
        </w:rPr>
      </w:pPr>
    </w:p>
    <w:p w:rsidR="00D55EA2" w:rsidP="00D55EA2">
      <w:pPr>
        <w:spacing w:before="0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  <w:tab/>
        <w:t>V práve Európskej únie je problematika návrhu zákona upravená v týchto dokumentoch:</w:t>
      </w:r>
    </w:p>
    <w:p w:rsidR="00FB70D1" w:rsidP="00D55EA2">
      <w:pPr>
        <w:spacing w:before="0"/>
        <w:ind w:firstLine="567"/>
        <w:rPr>
          <w:rFonts w:ascii="Times New Roman" w:hAnsi="Times New Roman" w:cs="Times New Roman"/>
        </w:rPr>
      </w:pPr>
    </w:p>
    <w:p w:rsidR="00D55EA2" w:rsidP="00D55EA2">
      <w:pPr>
        <w:spacing w:before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 nie je v práve Európskej únie upravená.</w:t>
      </w:r>
    </w:p>
    <w:p w:rsidR="00D55EA2" w:rsidP="00D55EA2">
      <w:pPr>
        <w:spacing w:before="0"/>
        <w:ind w:firstLine="567"/>
        <w:rPr>
          <w:rFonts w:ascii="Times New Roman" w:hAnsi="Times New Roman" w:cs="Times New Roman"/>
        </w:rPr>
      </w:pPr>
    </w:p>
    <w:p w:rsidR="00D55EA2" w:rsidP="00D55EA2">
      <w:pPr>
        <w:spacing w:before="0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  <w:tab/>
        <w:t>Návrh zákona svojou problematikou:</w:t>
      </w:r>
    </w:p>
    <w:p w:rsidR="00FB70D1" w:rsidP="00D55EA2">
      <w:pPr>
        <w:spacing w:before="0"/>
        <w:ind w:left="567" w:hanging="567"/>
        <w:rPr>
          <w:rFonts w:ascii="Times New Roman" w:hAnsi="Times New Roman" w:cs="Times New Roman"/>
        </w:rPr>
      </w:pPr>
      <w:r w:rsidR="00D55EA2">
        <w:rPr>
          <w:rFonts w:ascii="Times New Roman" w:hAnsi="Times New Roman" w:cs="Times New Roman"/>
        </w:rPr>
        <w:tab/>
      </w:r>
    </w:p>
    <w:p w:rsidR="00D55EA2" w:rsidP="00D55EA2">
      <w:pPr>
        <w:spacing w:before="0"/>
        <w:ind w:left="567" w:hanging="567"/>
        <w:rPr>
          <w:rFonts w:ascii="Times New Roman" w:hAnsi="Times New Roman" w:cs="Times New Roman"/>
        </w:rPr>
      </w:pPr>
      <w:r w:rsidR="00FB70D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Nepatrí medzi </w:t>
      </w:r>
    </w:p>
    <w:p w:rsidR="00D55EA2" w:rsidP="00D55EA2">
      <w:pPr>
        <w:numPr>
          <w:ilvl w:val="0"/>
          <w:numId w:val="5"/>
        </w:numPr>
        <w:tabs>
          <w:tab w:val="left" w:pos="927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prioritné oblasti aproximácie práva uvedené (v čl. 70 Európskej dohody o pridružení),</w:t>
      </w:r>
    </w:p>
    <w:p w:rsidR="00D55EA2" w:rsidP="00D55EA2">
      <w:pPr>
        <w:numPr>
          <w:ilvl w:val="0"/>
          <w:numId w:val="5"/>
        </w:numPr>
        <w:tabs>
          <w:tab w:val="left" w:pos="927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priority odporúčané Bielou knihou Komisie Európskych spoločenstiev.</w:t>
      </w:r>
    </w:p>
    <w:p w:rsidR="00D55EA2" w:rsidP="00D55EA2">
      <w:pPr>
        <w:spacing w:before="0"/>
        <w:ind w:left="567" w:hanging="567"/>
        <w:rPr>
          <w:rFonts w:ascii="Times New Roman" w:hAnsi="Times New Roman" w:cs="Times New Roman"/>
        </w:rPr>
      </w:pPr>
    </w:p>
    <w:p w:rsidR="00D55EA2" w:rsidP="00D55EA2">
      <w:pPr>
        <w:spacing w:before="0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  <w:tab/>
        <w:t>Charakteristika právnych noriem Európskej únie, ktorými je upravená problematika návrhu legislatívneho zámeru zákona:</w:t>
      </w:r>
    </w:p>
    <w:p w:rsidR="00FB70D1" w:rsidP="00D55EA2">
      <w:pPr>
        <w:spacing w:before="0"/>
        <w:ind w:firstLine="567"/>
        <w:rPr>
          <w:rFonts w:ascii="Times New Roman" w:hAnsi="Times New Roman" w:cs="Times New Roman"/>
        </w:rPr>
      </w:pPr>
    </w:p>
    <w:p w:rsidR="00D55EA2" w:rsidP="00D55EA2">
      <w:pPr>
        <w:spacing w:before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neexistenciu zodpovedajúcich európskych noriem nie je možná.</w:t>
      </w:r>
    </w:p>
    <w:p w:rsidR="00D55EA2" w:rsidP="00D55EA2">
      <w:pPr>
        <w:spacing w:before="0"/>
        <w:rPr>
          <w:rFonts w:ascii="Times New Roman" w:hAnsi="Times New Roman" w:cs="Times New Roman"/>
        </w:rPr>
      </w:pPr>
    </w:p>
    <w:p w:rsidR="00D55EA2" w:rsidP="00D55EA2">
      <w:pPr>
        <w:pStyle w:val="BodyTextInden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  <w:tab/>
        <w:t>Vyjadrenie stupňa kompatibility návrhu zákona s právnou normou Európskej únie:</w:t>
      </w:r>
    </w:p>
    <w:p w:rsidR="00D55EA2" w:rsidP="00D55E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 - neznáme</w:t>
      </w:r>
    </w:p>
    <w:p w:rsidR="00D55EA2" w:rsidP="00D55EA2">
      <w:pPr>
        <w:rPr>
          <w:rFonts w:ascii="Times New Roman" w:hAnsi="Times New Roman" w:cs="Times New Roman"/>
        </w:rPr>
      </w:pPr>
    </w:p>
    <w:p w:rsidR="00D55EA2" w:rsidP="00D55EA2">
      <w:pPr>
        <w:rPr>
          <w:rFonts w:ascii="Times New Roman" w:hAnsi="Times New Roman" w:cs="Times New Roman"/>
        </w:rPr>
      </w:pPr>
    </w:p>
    <w:p w:rsidR="00D55EA2" w:rsidP="00D55EA2">
      <w:pPr>
        <w:rPr>
          <w:rFonts w:ascii="Times New Roman" w:hAnsi="Times New Roman" w:cs="Times New Roman"/>
        </w:rPr>
      </w:pPr>
    </w:p>
    <w:p w:rsidR="00D55EA2" w:rsidP="00D55EA2">
      <w:pPr>
        <w:rPr>
          <w:rFonts w:ascii="Times New Roman" w:hAnsi="Times New Roman" w:cs="Times New Roman"/>
        </w:rPr>
      </w:pPr>
    </w:p>
    <w:p w:rsidR="00D55EA2" w:rsidP="00D55EA2">
      <w:pPr>
        <w:rPr>
          <w:rFonts w:ascii="Times New Roman" w:hAnsi="Times New Roman" w:cs="Times New Roman"/>
        </w:rPr>
      </w:pPr>
    </w:p>
    <w:p w:rsidR="00D55EA2" w:rsidP="00D55EA2">
      <w:pPr>
        <w:rPr>
          <w:rFonts w:ascii="Times New Roman" w:hAnsi="Times New Roman" w:cs="Times New Roman"/>
        </w:rPr>
      </w:pPr>
    </w:p>
    <w:p w:rsidR="00D55EA2" w:rsidP="00D55EA2">
      <w:pPr>
        <w:rPr>
          <w:rFonts w:ascii="Times New Roman" w:hAnsi="Times New Roman" w:cs="Times New Roman"/>
        </w:rPr>
      </w:pPr>
    </w:p>
    <w:p w:rsidR="00D55EA2">
      <w:pPr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D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B70D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CEF"/>
    <w:multiLevelType w:val="singleLevel"/>
    <w:tmpl w:val="0908D36E"/>
    <w:lvl w:ilvl="0">
      <w:start w:val="2"/>
      <w:numFmt w:val="decimal"/>
      <w:lvlText w:val="%1."/>
      <w:lvlJc w:val="left"/>
      <w:pPr>
        <w:tabs>
          <w:tab w:val="num" w:pos="1137"/>
        </w:tabs>
        <w:ind w:left="1137" w:hanging="570"/>
      </w:pPr>
    </w:lvl>
  </w:abstractNum>
  <w:abstractNum w:abstractNumId="1">
    <w:nsid w:val="213245F3"/>
    <w:multiLevelType w:val="singleLevel"/>
    <w:tmpl w:val="7936AA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>
    <w:nsid w:val="2B786389"/>
    <w:multiLevelType w:val="singleLevel"/>
    <w:tmpl w:val="BBBCD288"/>
    <w:lvl w:ilvl="0">
      <w:start w:val="2"/>
      <w:numFmt w:val="decimal"/>
      <w:lvlText w:val="%1."/>
      <w:lvlJc w:val="left"/>
      <w:pPr>
        <w:tabs>
          <w:tab w:val="num" w:pos="1137"/>
        </w:tabs>
        <w:ind w:left="1137" w:hanging="570"/>
      </w:pPr>
    </w:lvl>
  </w:abstractNum>
  <w:abstractNum w:abstractNumId="3">
    <w:nsid w:val="4CD70CF9"/>
    <w:multiLevelType w:val="singleLevel"/>
    <w:tmpl w:val="AAA8790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4">
    <w:nsid w:val="66F626B1"/>
    <w:multiLevelType w:val="singleLevel"/>
    <w:tmpl w:val="3C84ECE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rtl w:val="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D65BC"/>
    <w:rsid w:val="00D55EA2"/>
    <w:rsid w:val="00FB70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spacing w:before="120"/>
      <w:ind w:left="0" w:right="0"/>
      <w:jc w:val="both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pPr>
      <w:keepNext/>
      <w:spacing w:before="0"/>
      <w:jc w:val="center"/>
      <w:outlineLvl w:val="4"/>
    </w:pPr>
    <w:rPr>
      <w:b/>
      <w:caps/>
      <w:sz w:val="28"/>
    </w:rPr>
  </w:style>
  <w:style w:type="character" w:default="1" w:styleId="DefaultParagraphFont">
    <w:name w:val="Default Paragraph Font"/>
    <w:semiHidden/>
  </w:style>
  <w:style w:type="paragraph" w:styleId="EnvelopeReturn">
    <w:name w:val="envelope return"/>
    <w:basedOn w:val="Normal"/>
    <w:pPr>
      <w:jc w:val="both"/>
    </w:pPr>
    <w:rPr>
      <w:b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pPr>
      <w:spacing w:before="0"/>
      <w:jc w:val="center"/>
    </w:pPr>
    <w:rPr>
      <w:b/>
      <w:sz w:val="26"/>
    </w:rPr>
  </w:style>
  <w:style w:type="paragraph" w:customStyle="1" w:styleId="noteheading">
    <w:name w:val="note heading"/>
    <w:basedOn w:val="Normal"/>
    <w:next w:val="Normal"/>
    <w:pPr>
      <w:tabs>
        <w:tab w:val="left" w:pos="567"/>
      </w:tabs>
      <w:spacing w:before="0" w:line="360" w:lineRule="auto"/>
      <w:ind w:firstLine="567"/>
      <w:jc w:val="both"/>
    </w:pPr>
    <w:rPr>
      <w:rFonts w:ascii="Arial Narrow" w:hAnsi="Arial Narrow"/>
    </w:rPr>
  </w:style>
  <w:style w:type="paragraph" w:styleId="BodyTextIndent3">
    <w:name w:val="Body Text Indent 3"/>
    <w:basedOn w:val="Normal"/>
    <w:pPr>
      <w:spacing w:before="0"/>
      <w:ind w:left="567" w:hanging="567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283"/>
      <w:jc w:val="both"/>
    </w:p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Indent2">
    <w:name w:val="Body Text Indent 2"/>
    <w:basedOn w:val="Normal"/>
    <w:pPr>
      <w:ind w:left="567"/>
      <w:jc w:val="both"/>
    </w:pPr>
  </w:style>
  <w:style w:type="paragraph" w:styleId="Header">
    <w:name w:val="header"/>
    <w:basedOn w:val="Normal"/>
    <w:rsid w:val="001D65BC"/>
    <w:pPr>
      <w:tabs>
        <w:tab w:val="center" w:pos="4536"/>
        <w:tab w:val="right" w:pos="9072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7</Pages>
  <Words>1553</Words>
  <Characters>8856</Characters>
  <Application>Microsoft Office Word</Application>
  <DocSecurity>0</DocSecurity>
  <Lines>0</Lines>
  <Paragraphs>0</Paragraphs>
  <ScaleCrop>false</ScaleCrop>
  <Company>mvsr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23</dc:creator>
  <cp:lastModifiedBy>Roman Vavrí</cp:lastModifiedBy>
  <cp:revision>5</cp:revision>
  <cp:lastPrinted>2003-07-11T08:24:00Z</cp:lastPrinted>
  <dcterms:created xsi:type="dcterms:W3CDTF">2003-07-11T08:05:00Z</dcterms:created>
  <dcterms:modified xsi:type="dcterms:W3CDTF">2003-07-11T08:37:00Z</dcterms:modified>
</cp:coreProperties>
</file>