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12F48" w:rsidP="00112F48">
      <w:pPr>
        <w:pBdr>
          <w:bottom w:val="single" w:sz="6" w:space="1" w:color="auto"/>
        </w:pBdr>
        <w:rPr>
          <w:rFonts w:ascii="Times New Roman" w:hAnsi="Times New Roman" w:cs="Times New Roman"/>
          <w:b/>
          <w:sz w:val="32"/>
          <w:szCs w:val="32"/>
        </w:rPr>
      </w:pPr>
      <w:r>
        <w:rPr>
          <w:rFonts w:ascii="Times New Roman" w:hAnsi="Times New Roman" w:cs="Times New Roman"/>
          <w:sz w:val="32"/>
          <w:szCs w:val="32"/>
        </w:rPr>
        <w:t xml:space="preserve">               </w:t>
      </w:r>
      <w:r w:rsidRPr="00FD2885">
        <w:rPr>
          <w:rFonts w:ascii="Times New Roman" w:hAnsi="Times New Roman" w:cs="Times New Roman"/>
          <w:b/>
          <w:sz w:val="32"/>
          <w:szCs w:val="32"/>
        </w:rPr>
        <w:t>NÁRODNÁ RADA SLOVENSKEJ REPUBLIKY</w:t>
      </w:r>
    </w:p>
    <w:p w:rsidR="00112F48" w:rsidRPr="00FD2885" w:rsidP="00112F48">
      <w:pPr>
        <w:pBdr>
          <w:bottom w:val="single" w:sz="6" w:space="1" w:color="auto"/>
        </w:pBdr>
        <w:rPr>
          <w:rFonts w:ascii="Times New Roman" w:hAnsi="Times New Roman" w:cs="Times New Roman"/>
          <w:b/>
          <w:sz w:val="32"/>
          <w:szCs w:val="32"/>
        </w:rPr>
      </w:pPr>
    </w:p>
    <w:p w:rsidR="00112F48" w:rsidP="00112F48">
      <w:pPr>
        <w:rPr>
          <w:rFonts w:ascii="Times New Roman" w:hAnsi="Times New Roman" w:cs="Times New Roman"/>
          <w:sz w:val="32"/>
          <w:szCs w:val="32"/>
        </w:rPr>
      </w:pPr>
    </w:p>
    <w:p w:rsidR="00112F48" w:rsidRPr="00FD2885" w:rsidP="00112F48">
      <w:pPr>
        <w:rPr>
          <w:rFonts w:ascii="Times New Roman" w:hAnsi="Times New Roman" w:cs="Times New Roman"/>
          <w:b/>
          <w:sz w:val="32"/>
          <w:szCs w:val="32"/>
        </w:rPr>
      </w:pPr>
      <w:r>
        <w:rPr>
          <w:rFonts w:ascii="Times New Roman" w:hAnsi="Times New Roman" w:cs="Times New Roman"/>
          <w:sz w:val="32"/>
          <w:szCs w:val="32"/>
        </w:rPr>
        <w:t xml:space="preserve">                                       </w:t>
      </w:r>
      <w:r w:rsidRPr="00FD2885">
        <w:rPr>
          <w:rFonts w:ascii="Times New Roman" w:hAnsi="Times New Roman" w:cs="Times New Roman"/>
          <w:b/>
          <w:sz w:val="32"/>
          <w:szCs w:val="32"/>
        </w:rPr>
        <w:t>III. volebné obdobie</w:t>
      </w:r>
    </w:p>
    <w:p w:rsidR="00112F48" w:rsidP="00112F48">
      <w:pPr>
        <w:rPr>
          <w:rFonts w:ascii="Times New Roman" w:hAnsi="Times New Roman" w:cs="Times New Roman"/>
          <w:sz w:val="32"/>
          <w:szCs w:val="32"/>
        </w:rPr>
      </w:pPr>
    </w:p>
    <w:p w:rsidR="00112F48" w:rsidP="00112F48">
      <w:pPr>
        <w:rPr>
          <w:rFonts w:ascii="Times New Roman" w:hAnsi="Times New Roman" w:cs="Times New Roman"/>
          <w:sz w:val="32"/>
          <w:szCs w:val="32"/>
        </w:rPr>
      </w:pPr>
    </w:p>
    <w:p w:rsidR="00112F48" w:rsidRPr="00FD2885" w:rsidP="00112F48">
      <w:pPr>
        <w:rPr>
          <w:rFonts w:ascii="Times New Roman" w:hAnsi="Times New Roman" w:cs="Times New Roman"/>
          <w:b/>
        </w:rPr>
      </w:pPr>
      <w:r w:rsidRPr="00FD2885">
        <w:rPr>
          <w:rFonts w:ascii="Times New Roman" w:hAnsi="Times New Roman" w:cs="Times New Roman"/>
          <w:b/>
          <w:sz w:val="32"/>
          <w:szCs w:val="32"/>
        </w:rPr>
        <w:t xml:space="preserve">                                               N á v r h </w:t>
      </w:r>
    </w:p>
    <w:p w:rsidR="00112F48" w:rsidP="00112F48">
      <w:pPr>
        <w:rPr>
          <w:rFonts w:ascii="Times New Roman" w:hAnsi="Times New Roman" w:cs="Times New Roman"/>
        </w:rPr>
      </w:pPr>
    </w:p>
    <w:p w:rsidR="00112F48" w:rsidP="00112F48">
      <w:pPr>
        <w:rPr>
          <w:rFonts w:ascii="Times New Roman" w:hAnsi="Times New Roman" w:cs="Times New Roman"/>
        </w:rPr>
      </w:pPr>
      <w:r>
        <w:rPr>
          <w:rFonts w:ascii="Times New Roman" w:hAnsi="Times New Roman" w:cs="Times New Roman"/>
        </w:rPr>
        <w:t xml:space="preserve">                             skupiny poslancov Národnej rady Slovenskej republiky</w:t>
      </w:r>
    </w:p>
    <w:p w:rsidR="00112F48" w:rsidP="00112F48">
      <w:pPr>
        <w:rPr>
          <w:rFonts w:ascii="Times New Roman" w:hAnsi="Times New Roman" w:cs="Times New Roman"/>
        </w:rPr>
      </w:pPr>
    </w:p>
    <w:p w:rsidR="00112F48" w:rsidP="00112F48">
      <w:pPr>
        <w:rPr>
          <w:rFonts w:ascii="Times New Roman" w:hAnsi="Times New Roman" w:cs="Times New Roman"/>
          <w:sz w:val="32"/>
          <w:szCs w:val="32"/>
        </w:rPr>
      </w:pPr>
    </w:p>
    <w:p w:rsidR="00112F48" w:rsidP="00112F48">
      <w:pPr>
        <w:rPr>
          <w:rFonts w:ascii="Times New Roman" w:hAnsi="Times New Roman" w:cs="Times New Roman"/>
        </w:rPr>
      </w:pPr>
      <w:r>
        <w:rPr>
          <w:rFonts w:ascii="Times New Roman" w:hAnsi="Times New Roman" w:cs="Times New Roman"/>
          <w:sz w:val="32"/>
          <w:szCs w:val="32"/>
        </w:rPr>
        <w:t xml:space="preserve">                              </w:t>
      </w:r>
      <w:r w:rsidRPr="00FD2885">
        <w:rPr>
          <w:rFonts w:ascii="Times New Roman" w:hAnsi="Times New Roman" w:cs="Times New Roman"/>
          <w:b/>
          <w:sz w:val="32"/>
          <w:szCs w:val="32"/>
        </w:rPr>
        <w:t>n a   v y d a n i e   z á k o n a</w:t>
      </w:r>
      <w:r>
        <w:rPr>
          <w:rFonts w:ascii="Times New Roman" w:hAnsi="Times New Roman" w:cs="Times New Roman"/>
          <w:sz w:val="32"/>
          <w:szCs w:val="32"/>
        </w:rPr>
        <w:t>,</w:t>
      </w:r>
    </w:p>
    <w:p w:rsidR="00112F48" w:rsidP="00112F48">
      <w:pPr>
        <w:rPr>
          <w:rFonts w:ascii="Times New Roman" w:hAnsi="Times New Roman" w:cs="Times New Roman"/>
        </w:rPr>
      </w:pPr>
    </w:p>
    <w:p w:rsidR="00112F48" w:rsidP="00112F48">
      <w:pPr>
        <w:jc w:val="both"/>
        <w:rPr>
          <w:rFonts w:ascii="Times New Roman" w:hAnsi="Times New Roman" w:cs="Times New Roman"/>
        </w:rPr>
      </w:pPr>
      <w:r>
        <w:rPr>
          <w:rFonts w:ascii="Times New Roman" w:hAnsi="Times New Roman" w:cs="Times New Roman"/>
        </w:rPr>
        <w:t>ktorým sa mení a </w:t>
      </w:r>
      <w:r>
        <w:rPr>
          <w:rFonts w:ascii="Times New Roman" w:hAnsi="Times New Roman" w:cs="Times New Roman"/>
        </w:rPr>
        <w:t>dopĺňa zákon Slovenskej národnej rady č. 369/199O Zb. o obecnom zriadení v znení zákona Slovenskej národnej rady č. 96/1991 Zb. , zákona Slovenskej národnej rady č. 13O/1991 Zb., zákona Slovenskej národnej rady č. 421/1991 Zb., zákona Slovenskej národnej rady č. 5OO/1991 Zb., zákona Slovenskej národnej rady č. 564/1991 Zb., zákona Slovenskej národnej rady č. 11/1992 Zb., zákona Slovenskej národnej rady č. 295/1992 Zb., zákona Národnej rady Slovenskej republiky č. 43/1993</w:t>
      </w:r>
      <w:r w:rsidRPr="00B4210F">
        <w:rPr>
          <w:rFonts w:ascii="Times New Roman" w:hAnsi="Times New Roman" w:cs="Times New Roman"/>
        </w:rPr>
        <w:t xml:space="preserve"> Z.z</w:t>
      </w:r>
      <w:r>
        <w:rPr>
          <w:rFonts w:ascii="Times New Roman" w:hAnsi="Times New Roman" w:cs="Times New Roman"/>
        </w:rPr>
        <w:t>., zákona Národnej rady Slovenskej republiky č. 252/1994 Z.z., zákona Národnej rady Slovenskej republiky č. 287/1994 Z.z., zákona č. 2291997 Z.z., zákona č. 225/1998 Z.z., zákona č. 233/1998 Z.z., nálezu Ústavného súdu Slovenskej republiky č. 185/1999 Z.z., zákona č. 389/1999 Z.z., zákona č. 6/2OO1 Z.z., zákona č. 453/2OO1 Z.z. a zákona č. 2O5/2OO2 Z.z.</w:t>
      </w:r>
    </w:p>
    <w:p w:rsidR="00112F48" w:rsidP="00112F48">
      <w:pPr>
        <w:pBdr>
          <w:bottom w:val="single" w:sz="6" w:space="1" w:color="auto"/>
        </w:pBd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RPr="00FD2885" w:rsidP="00112F48">
      <w:pPr>
        <w:rPr>
          <w:rFonts w:ascii="Times New Roman" w:hAnsi="Times New Roman" w:cs="Times New Roman"/>
          <w:b/>
        </w:rPr>
      </w:pPr>
      <w:r w:rsidRPr="00FD2885">
        <w:rPr>
          <w:rFonts w:ascii="Times New Roman" w:hAnsi="Times New Roman" w:cs="Times New Roman"/>
          <w:b/>
          <w:u w:val="single"/>
        </w:rPr>
        <w:t>Predkladajú</w:t>
      </w:r>
      <w:r w:rsidRPr="00FD2885">
        <w:rPr>
          <w:rFonts w:ascii="Times New Roman" w:hAnsi="Times New Roman" w:cs="Times New Roman"/>
          <w:b/>
        </w:rPr>
        <w:t xml:space="preserve">:                                                 </w:t>
      </w:r>
      <w:r>
        <w:rPr>
          <w:rFonts w:ascii="Times New Roman" w:hAnsi="Times New Roman" w:cs="Times New Roman"/>
          <w:b/>
        </w:rPr>
        <w:t xml:space="preserve">    </w:t>
      </w:r>
      <w:r w:rsidRPr="00FD2885">
        <w:rPr>
          <w:rFonts w:ascii="Times New Roman" w:hAnsi="Times New Roman" w:cs="Times New Roman"/>
          <w:b/>
        </w:rPr>
        <w:t xml:space="preserve">      </w:t>
      </w:r>
      <w:r w:rsidRPr="00FD2885">
        <w:rPr>
          <w:rFonts w:ascii="Times New Roman" w:hAnsi="Times New Roman" w:cs="Times New Roman"/>
          <w:b/>
          <w:u w:val="single"/>
        </w:rPr>
        <w:t>Návrh na uznesenie</w:t>
      </w:r>
      <w:r w:rsidRPr="00FD2885">
        <w:rPr>
          <w:rFonts w:ascii="Times New Roman" w:hAnsi="Times New Roman" w:cs="Times New Roman"/>
          <w:b/>
        </w:rPr>
        <w:t>:</w:t>
      </w:r>
    </w:p>
    <w:p w:rsidR="00112F48" w:rsidP="00112F48">
      <w:pPr>
        <w:rPr>
          <w:rFonts w:ascii="Times New Roman" w:hAnsi="Times New Roman" w:cs="Times New Roman"/>
          <w:b/>
        </w:rPr>
      </w:pPr>
    </w:p>
    <w:p w:rsidR="00112F48" w:rsidRPr="00FD2885" w:rsidP="00112F48">
      <w:pPr>
        <w:rPr>
          <w:rFonts w:ascii="Times New Roman" w:hAnsi="Times New Roman" w:cs="Times New Roman"/>
          <w:b/>
        </w:rPr>
      </w:pPr>
    </w:p>
    <w:p w:rsidR="00112F48" w:rsidP="00112F48">
      <w:pPr>
        <w:rPr>
          <w:rFonts w:ascii="Times New Roman" w:hAnsi="Times New Roman" w:cs="Times New Roman"/>
        </w:rPr>
      </w:pPr>
      <w:r>
        <w:rPr>
          <w:rFonts w:ascii="Times New Roman" w:hAnsi="Times New Roman" w:cs="Times New Roman"/>
        </w:rPr>
        <w:t xml:space="preserve">Jozef     </w:t>
      </w:r>
      <w:r w:rsidRPr="00892942">
        <w:rPr>
          <w:rFonts w:ascii="Times New Roman" w:hAnsi="Times New Roman" w:cs="Times New Roman"/>
          <w:b/>
        </w:rPr>
        <w:t>Hurban</w:t>
      </w:r>
      <w:r>
        <w:rPr>
          <w:rFonts w:ascii="Times New Roman" w:hAnsi="Times New Roman" w:cs="Times New Roman"/>
        </w:rPr>
        <w:t xml:space="preserve">           ................................            Národná rada Slovensk</w:t>
      </w:r>
      <w:r>
        <w:rPr>
          <w:rFonts w:ascii="Times New Roman" w:hAnsi="Times New Roman" w:cs="Times New Roman"/>
        </w:rPr>
        <w:t>ej republiky</w:t>
      </w:r>
    </w:p>
    <w:p w:rsidR="00112F48" w:rsidP="00112F48">
      <w:pPr>
        <w:rPr>
          <w:rFonts w:ascii="Times New Roman" w:hAnsi="Times New Roman" w:cs="Times New Roman"/>
        </w:rPr>
      </w:pPr>
    </w:p>
    <w:p w:rsidR="00112F48" w:rsidP="00112F48">
      <w:pPr>
        <w:rPr>
          <w:rFonts w:ascii="Times New Roman" w:hAnsi="Times New Roman" w:cs="Times New Roman"/>
        </w:rPr>
      </w:pPr>
      <w:r>
        <w:rPr>
          <w:rFonts w:ascii="Times New Roman" w:hAnsi="Times New Roman" w:cs="Times New Roman"/>
        </w:rPr>
        <w:t xml:space="preserve">Peter     </w:t>
      </w:r>
      <w:r w:rsidRPr="00892942">
        <w:rPr>
          <w:rFonts w:ascii="Times New Roman" w:hAnsi="Times New Roman" w:cs="Times New Roman"/>
          <w:b/>
        </w:rPr>
        <w:t xml:space="preserve">Biroš </w:t>
      </w:r>
      <w:r>
        <w:rPr>
          <w:rFonts w:ascii="Times New Roman" w:hAnsi="Times New Roman" w:cs="Times New Roman"/>
        </w:rPr>
        <w:t xml:space="preserve">              ................................                              </w:t>
      </w:r>
      <w:r w:rsidRPr="00FD2885">
        <w:rPr>
          <w:rFonts w:ascii="Times New Roman" w:hAnsi="Times New Roman" w:cs="Times New Roman"/>
          <w:b/>
        </w:rPr>
        <w:t>s c h v a ľ u j e</w:t>
      </w:r>
    </w:p>
    <w:p w:rsidR="00112F48" w:rsidP="00112F48">
      <w:pPr>
        <w:rPr>
          <w:rFonts w:ascii="Times New Roman" w:hAnsi="Times New Roman" w:cs="Times New Roman"/>
        </w:rPr>
      </w:pPr>
    </w:p>
    <w:p w:rsidR="00112F48" w:rsidP="00112F48">
      <w:pPr>
        <w:rPr>
          <w:rFonts w:ascii="Times New Roman" w:hAnsi="Times New Roman" w:cs="Times New Roman"/>
        </w:rPr>
      </w:pPr>
      <w:r>
        <w:rPr>
          <w:rFonts w:ascii="Times New Roman" w:hAnsi="Times New Roman" w:cs="Times New Roman"/>
        </w:rPr>
        <w:t xml:space="preserve">Juraj      </w:t>
      </w:r>
      <w:r w:rsidRPr="00892942">
        <w:rPr>
          <w:rFonts w:ascii="Times New Roman" w:hAnsi="Times New Roman" w:cs="Times New Roman"/>
          <w:b/>
        </w:rPr>
        <w:t xml:space="preserve">Liška </w:t>
      </w:r>
      <w:r>
        <w:rPr>
          <w:rFonts w:ascii="Times New Roman" w:hAnsi="Times New Roman" w:cs="Times New Roman"/>
        </w:rPr>
        <w:t xml:space="preserve">             ................................             návrh skupiny poslancov Národnej rady</w:t>
      </w:r>
    </w:p>
    <w:p w:rsidR="00112F48" w:rsidP="00112F48">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Slovenskej republiky, ktorým sa mení a</w:t>
      </w:r>
    </w:p>
    <w:p w:rsidR="00112F48" w:rsidP="00112F48">
      <w:pPr>
        <w:rPr>
          <w:rFonts w:ascii="Times New Roman" w:hAnsi="Times New Roman" w:cs="Times New Roman"/>
        </w:rPr>
      </w:pPr>
      <w:r>
        <w:rPr>
          <w:rFonts w:ascii="Times New Roman" w:hAnsi="Times New Roman" w:cs="Times New Roman"/>
        </w:rPr>
        <w:t xml:space="preserve">Imrich   </w:t>
      </w:r>
      <w:r w:rsidRPr="00892942">
        <w:rPr>
          <w:rFonts w:ascii="Times New Roman" w:hAnsi="Times New Roman" w:cs="Times New Roman"/>
          <w:b/>
        </w:rPr>
        <w:t xml:space="preserve">Hamarčák </w:t>
      </w:r>
      <w:r>
        <w:rPr>
          <w:rFonts w:ascii="Times New Roman" w:hAnsi="Times New Roman" w:cs="Times New Roman"/>
          <w:b/>
        </w:rPr>
        <w:t xml:space="preserve"> </w:t>
      </w:r>
      <w:r>
        <w:rPr>
          <w:rFonts w:ascii="Times New Roman" w:hAnsi="Times New Roman" w:cs="Times New Roman"/>
        </w:rPr>
        <w:t xml:space="preserve">    ................................            dopĺňa zákon Slovenskej národnej rady</w:t>
      </w:r>
    </w:p>
    <w:p w:rsidR="00112F48" w:rsidP="00112F48">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č. 369/199O Zb. o obecnom zriadení </w:t>
      </w:r>
    </w:p>
    <w:p w:rsidR="00112F48" w:rsidP="00112F48">
      <w:pPr>
        <w:rPr>
          <w:rFonts w:ascii="Times New Roman" w:hAnsi="Times New Roman" w:cs="Times New Roman"/>
        </w:rPr>
      </w:pPr>
      <w:r>
        <w:rPr>
          <w:rFonts w:ascii="Times New Roman" w:hAnsi="Times New Roman" w:cs="Times New Roman"/>
        </w:rPr>
        <w:t xml:space="preserve">Zoltán   </w:t>
      </w:r>
      <w:r w:rsidRPr="00892942">
        <w:rPr>
          <w:rFonts w:ascii="Times New Roman" w:hAnsi="Times New Roman" w:cs="Times New Roman"/>
          <w:b/>
        </w:rPr>
        <w:t xml:space="preserve">Horváth </w:t>
      </w:r>
      <w:r>
        <w:rPr>
          <w:rFonts w:ascii="Times New Roman" w:hAnsi="Times New Roman" w:cs="Times New Roman"/>
        </w:rPr>
        <w:t xml:space="preserve">         ................................            v znení neskorších predpisov.</w:t>
      </w:r>
    </w:p>
    <w:p w:rsidR="00112F48" w:rsidP="00112F48">
      <w:pPr>
        <w:rPr>
          <w:rFonts w:ascii="Times New Roman" w:hAnsi="Times New Roman" w:cs="Times New Roman"/>
        </w:rPr>
      </w:pPr>
    </w:p>
    <w:p w:rsidR="00112F48" w:rsidP="00112F48">
      <w:pPr>
        <w:rPr>
          <w:rFonts w:ascii="Times New Roman" w:hAnsi="Times New Roman" w:cs="Times New Roman"/>
        </w:rPr>
      </w:pPr>
      <w:r>
        <w:rPr>
          <w:rFonts w:ascii="Times New Roman" w:hAnsi="Times New Roman" w:cs="Times New Roman"/>
        </w:rPr>
        <w:t xml:space="preserve">Ján        </w:t>
      </w:r>
      <w:r w:rsidRPr="00892942">
        <w:rPr>
          <w:rFonts w:ascii="Times New Roman" w:hAnsi="Times New Roman" w:cs="Times New Roman"/>
          <w:b/>
        </w:rPr>
        <w:t>Pataky</w:t>
      </w:r>
      <w:r>
        <w:rPr>
          <w:rFonts w:ascii="Times New Roman" w:hAnsi="Times New Roman" w:cs="Times New Roman"/>
        </w:rPr>
        <w:t xml:space="preserve">             ................................</w:t>
      </w: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 xml:space="preserve">                                    </w:t>
      </w:r>
      <w:r w:rsidRPr="00FD2885">
        <w:rPr>
          <w:rFonts w:ascii="Times New Roman" w:hAnsi="Times New Roman" w:cs="Times New Roman"/>
          <w:b/>
        </w:rPr>
        <w:t xml:space="preserve">Bratislava, </w:t>
      </w:r>
      <w:r>
        <w:rPr>
          <w:rFonts w:ascii="Times New Roman" w:hAnsi="Times New Roman" w:cs="Times New Roman"/>
          <w:b/>
        </w:rPr>
        <w:t xml:space="preserve">jún </w:t>
      </w:r>
      <w:r w:rsidRPr="00FD2885">
        <w:rPr>
          <w:rFonts w:ascii="Times New Roman" w:hAnsi="Times New Roman" w:cs="Times New Roman"/>
          <w:b/>
        </w:rPr>
        <w:t xml:space="preserve"> 2OO3</w:t>
      </w:r>
    </w:p>
    <w:p w:rsidR="00112F48" w:rsidP="00112F48">
      <w:pPr>
        <w:pBdr>
          <w:bottom w:val="single" w:sz="6" w:space="1" w:color="auto"/>
        </w:pBdr>
        <w:rPr>
          <w:rFonts w:ascii="Times New Roman" w:hAnsi="Times New Roman" w:cs="Times New Roman"/>
          <w:b/>
          <w:sz w:val="32"/>
          <w:szCs w:val="32"/>
        </w:rPr>
      </w:pPr>
      <w:r>
        <w:rPr>
          <w:rFonts w:ascii="Times New Roman" w:hAnsi="Times New Roman" w:cs="Times New Roman"/>
          <w:sz w:val="32"/>
          <w:szCs w:val="32"/>
        </w:rPr>
        <w:t xml:space="preserve">                 </w:t>
      </w:r>
      <w:r w:rsidRPr="00FD2885">
        <w:rPr>
          <w:rFonts w:ascii="Times New Roman" w:hAnsi="Times New Roman" w:cs="Times New Roman"/>
          <w:b/>
          <w:sz w:val="32"/>
          <w:szCs w:val="32"/>
        </w:rPr>
        <w:t>NÁRODNÁ RADA SLOVENSKEJ REPUBLIKY</w:t>
      </w:r>
    </w:p>
    <w:p w:rsidR="00112F48" w:rsidRPr="00FD2885" w:rsidP="00112F48">
      <w:pPr>
        <w:pBdr>
          <w:bottom w:val="single" w:sz="6" w:space="1" w:color="auto"/>
        </w:pBdr>
        <w:rPr>
          <w:rFonts w:ascii="Times New Roman" w:hAnsi="Times New Roman" w:cs="Times New Roman"/>
          <w:b/>
          <w:sz w:val="32"/>
          <w:szCs w:val="32"/>
        </w:rPr>
      </w:pPr>
      <w:r>
        <w:rPr>
          <w:rFonts w:ascii="Times New Roman" w:hAnsi="Times New Roman" w:cs="Times New Roman"/>
          <w:b/>
          <w:sz w:val="32"/>
          <w:szCs w:val="32"/>
        </w:rPr>
        <w:t xml:space="preserve">                                          III. volebné obdobie </w:t>
      </w:r>
    </w:p>
    <w:p w:rsidR="00112F48" w:rsidP="00112F48">
      <w:pPr>
        <w:rPr>
          <w:rFonts w:ascii="Times New Roman" w:hAnsi="Times New Roman" w:cs="Times New Roman"/>
          <w:sz w:val="32"/>
          <w:szCs w:val="32"/>
        </w:rPr>
      </w:pPr>
    </w:p>
    <w:p w:rsidR="00112F48" w:rsidP="00112F48">
      <w:pPr>
        <w:rPr>
          <w:rFonts w:ascii="Times New Roman" w:hAnsi="Times New Roman" w:cs="Times New Roman"/>
          <w:sz w:val="32"/>
          <w:szCs w:val="32"/>
        </w:rPr>
      </w:pPr>
    </w:p>
    <w:p w:rsidR="00112F48" w:rsidRPr="001E69C4" w:rsidP="00112F48">
      <w:pPr>
        <w:rPr>
          <w:rFonts w:ascii="Times New Roman" w:hAnsi="Times New Roman" w:cs="Times New Roman"/>
          <w:b/>
        </w:rPr>
      </w:pPr>
      <w:r>
        <w:rPr>
          <w:rFonts w:ascii="Times New Roman" w:hAnsi="Times New Roman" w:cs="Times New Roman"/>
          <w:b/>
        </w:rPr>
        <w:t xml:space="preserve">                                                                         </w:t>
      </w:r>
      <w:r w:rsidRPr="001E69C4">
        <w:rPr>
          <w:rFonts w:ascii="Times New Roman" w:hAnsi="Times New Roman" w:cs="Times New Roman"/>
          <w:b/>
        </w:rPr>
        <w:t>Návrh</w:t>
      </w:r>
    </w:p>
    <w:p w:rsidR="00112F48" w:rsidRPr="001E69C4" w:rsidP="00112F48">
      <w:pPr>
        <w:rPr>
          <w:rFonts w:ascii="Times New Roman" w:hAnsi="Times New Roman" w:cs="Times New Roman"/>
          <w:b/>
        </w:rPr>
      </w:pPr>
      <w:r>
        <w:rPr>
          <w:rFonts w:ascii="Times New Roman" w:hAnsi="Times New Roman" w:cs="Times New Roman"/>
          <w:b/>
        </w:rPr>
        <w:t xml:space="preserve">                             </w:t>
      </w:r>
      <w:r w:rsidRPr="001E69C4">
        <w:rPr>
          <w:rFonts w:ascii="Times New Roman" w:hAnsi="Times New Roman" w:cs="Times New Roman"/>
          <w:b/>
        </w:rPr>
        <w:t>skupiny poslancov Národnej rady Slovenskej republiky</w:t>
      </w:r>
    </w:p>
    <w:p w:rsidR="00112F48" w:rsidRPr="001E69C4" w:rsidP="00112F48">
      <w:pPr>
        <w:rPr>
          <w:rFonts w:ascii="Times New Roman" w:hAnsi="Times New Roman" w:cs="Times New Roman"/>
          <w:b/>
        </w:rPr>
      </w:pPr>
      <w:r>
        <w:rPr>
          <w:rFonts w:ascii="Times New Roman" w:hAnsi="Times New Roman" w:cs="Times New Roman"/>
          <w:b/>
        </w:rPr>
        <w:t xml:space="preserve">                                                               </w:t>
      </w:r>
      <w:r w:rsidRPr="001E69C4">
        <w:rPr>
          <w:rFonts w:ascii="Times New Roman" w:hAnsi="Times New Roman" w:cs="Times New Roman"/>
          <w:b/>
        </w:rPr>
        <w:t>n a vydanie zákona,</w:t>
      </w:r>
    </w:p>
    <w:p w:rsidR="00112F48" w:rsidRPr="001E69C4" w:rsidP="00112F48">
      <w:pPr>
        <w:rPr>
          <w:rFonts w:ascii="Times New Roman" w:hAnsi="Times New Roman" w:cs="Times New Roman"/>
          <w:b/>
        </w:rPr>
      </w:pPr>
      <w:r>
        <w:rPr>
          <w:rFonts w:ascii="Times New Roman" w:hAnsi="Times New Roman" w:cs="Times New Roman"/>
          <w:b/>
        </w:rPr>
        <w:t xml:space="preserve"> </w:t>
      </w:r>
      <w:r w:rsidRPr="001E69C4">
        <w:rPr>
          <w:rFonts w:ascii="Times New Roman" w:hAnsi="Times New Roman" w:cs="Times New Roman"/>
          <w:b/>
        </w:rPr>
        <w:t xml:space="preserve">ktorým sa mení a dopĺňa zákon Slovenskej národnej rady č. 369/199O Zb. o obecnom </w:t>
      </w:r>
      <w:r>
        <w:rPr>
          <w:rFonts w:ascii="Times New Roman" w:hAnsi="Times New Roman" w:cs="Times New Roman"/>
          <w:b/>
        </w:rPr>
        <w:t xml:space="preserve">                                                  </w:t>
      </w:r>
    </w:p>
    <w:p w:rsidR="00112F48" w:rsidP="00112F48">
      <w:pPr>
        <w:rPr>
          <w:rFonts w:ascii="Times New Roman" w:hAnsi="Times New Roman" w:cs="Times New Roman"/>
          <w:b/>
          <w:sz w:val="32"/>
          <w:szCs w:val="32"/>
        </w:rPr>
      </w:pPr>
      <w:r>
        <w:rPr>
          <w:rFonts w:ascii="Times New Roman" w:hAnsi="Times New Roman" w:cs="Times New Roman"/>
          <w:b/>
          <w:sz w:val="32"/>
          <w:szCs w:val="32"/>
        </w:rPr>
        <w:t xml:space="preserve">                          </w:t>
      </w:r>
      <w:r w:rsidRPr="001E69C4">
        <w:rPr>
          <w:rFonts w:ascii="Times New Roman" w:hAnsi="Times New Roman" w:cs="Times New Roman"/>
          <w:b/>
          <w:sz w:val="32"/>
          <w:szCs w:val="32"/>
        </w:rPr>
        <w:t xml:space="preserve">       </w:t>
      </w:r>
      <w:r w:rsidRPr="001E69C4">
        <w:rPr>
          <w:rFonts w:ascii="Times New Roman" w:hAnsi="Times New Roman" w:cs="Times New Roman"/>
          <w:b/>
        </w:rPr>
        <w:t>zriadení v znení neskorších predpisov</w:t>
      </w:r>
      <w:r w:rsidRPr="001E69C4">
        <w:rPr>
          <w:rFonts w:ascii="Times New Roman" w:hAnsi="Times New Roman" w:cs="Times New Roman"/>
          <w:b/>
          <w:sz w:val="32"/>
          <w:szCs w:val="32"/>
        </w:rPr>
        <w:t xml:space="preserve">                                </w:t>
      </w:r>
    </w:p>
    <w:p w:rsidR="00112F48" w:rsidP="00112F48">
      <w:pPr>
        <w:rPr>
          <w:rFonts w:ascii="Times New Roman" w:hAnsi="Times New Roman" w:cs="Times New Roman"/>
          <w:b/>
          <w:sz w:val="32"/>
          <w:szCs w:val="32"/>
        </w:rPr>
      </w:pPr>
    </w:p>
    <w:p w:rsidR="00112F48" w:rsidP="00112F48">
      <w:pPr>
        <w:rPr>
          <w:rFonts w:ascii="Times New Roman" w:hAnsi="Times New Roman" w:cs="Times New Roman"/>
          <w:b/>
          <w:sz w:val="32"/>
          <w:szCs w:val="32"/>
        </w:rPr>
      </w:pPr>
    </w:p>
    <w:p w:rsidR="00112F48" w:rsidP="00112F48">
      <w:pPr>
        <w:rPr>
          <w:rFonts w:ascii="Times New Roman" w:hAnsi="Times New Roman" w:cs="Times New Roman"/>
        </w:rPr>
      </w:pPr>
      <w:r>
        <w:rPr>
          <w:rFonts w:ascii="Times New Roman" w:hAnsi="Times New Roman" w:cs="Times New Roman"/>
          <w:b/>
          <w:sz w:val="32"/>
          <w:szCs w:val="32"/>
        </w:rPr>
        <w:t xml:space="preserve">     </w:t>
      </w:r>
      <w:r>
        <w:rPr>
          <w:rFonts w:ascii="Times New Roman" w:hAnsi="Times New Roman" w:cs="Times New Roman"/>
        </w:rPr>
        <w:t>Národná rada S</w:t>
      </w:r>
      <w:r>
        <w:rPr>
          <w:rFonts w:ascii="Times New Roman" w:hAnsi="Times New Roman" w:cs="Times New Roman"/>
        </w:rPr>
        <w:t>lovenskej republiky sa uzniesla na tomto zákone:</w:t>
      </w:r>
    </w:p>
    <w:p w:rsidR="00112F48" w:rsidP="00112F48">
      <w:pPr>
        <w:rPr>
          <w:rFonts w:ascii="Times New Roman" w:hAnsi="Times New Roman" w:cs="Times New Roman"/>
        </w:rPr>
      </w:pPr>
    </w:p>
    <w:p w:rsidR="00112F48" w:rsidP="00112F48">
      <w:pPr>
        <w:rPr>
          <w:rFonts w:ascii="Times New Roman" w:hAnsi="Times New Roman" w:cs="Times New Roman"/>
          <w:b/>
        </w:rPr>
      </w:pPr>
    </w:p>
    <w:p w:rsidR="00112F48" w:rsidRPr="002F4715" w:rsidP="00112F48">
      <w:pPr>
        <w:rPr>
          <w:rFonts w:ascii="Times New Roman" w:hAnsi="Times New Roman" w:cs="Times New Roman"/>
          <w:b/>
        </w:rPr>
      </w:pPr>
      <w:r w:rsidRPr="002F4715">
        <w:rPr>
          <w:rFonts w:ascii="Times New Roman" w:hAnsi="Times New Roman" w:cs="Times New Roman"/>
          <w:b/>
        </w:rPr>
        <w:t xml:space="preserve">                                                                        Čl. I</w:t>
      </w: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jc w:val="both"/>
        <w:rPr>
          <w:rFonts w:ascii="Times New Roman" w:hAnsi="Times New Roman" w:cs="Times New Roman"/>
        </w:rPr>
      </w:pPr>
      <w:r>
        <w:rPr>
          <w:rFonts w:ascii="Times New Roman" w:hAnsi="Times New Roman" w:cs="Times New Roman"/>
        </w:rPr>
        <w:t xml:space="preserve">      Zákon Slovenskej národnej rady č. 369/199O Zb. o obecnom zriadení v znení zákona Slovenskej národnej rady č. 96/1991 Zb. , zákona Slovenskej národnej rady č 13O/1991 Zb., zákona Slovenskej národnej rady č. 421/1991 Zb., zákona Slovenskej národnej rady č. 5OO/1991 Zb., zákona Slovenskej národnej rady č. 564/1991 Zb., zákona Slovenskej národnej rady č. 11/1992 Zb., zákona Slovenskej národnej rady č. 295/1992 Zb., zákona Národnej rady Slovenskej republiky č. 43/1993 Z.z., zákona Národnej rady Slovenskej republiky č. 252/1994 Z.z., zákona Národnej rady Slovenskej republiky č. 287/1994 Z.z., zákona č. 2291997 Z.z., zákona č. 225/1998 Z.z., zákona č. 233/1998 Z.z., nálezu Ústavného súdu Slovenskej republiky č. 185/1999 Z.z., zákona č. 389/1999 Z.z., zákona č. 6/2OO1 Z.z., zákona č. 453/2OO1 Z.z. a zákona č. 2O5/2OO2 Z.z. sa mení a dopĺňa takto:</w:t>
      </w:r>
    </w:p>
    <w:p w:rsidR="00112F48" w:rsidP="00112F48">
      <w:pPr>
        <w:rPr>
          <w:rFonts w:ascii="Times New Roman" w:hAnsi="Times New Roman" w:cs="Times New Roman"/>
        </w:rPr>
      </w:pPr>
    </w:p>
    <w:p w:rsidR="00112F48" w:rsidP="00112F48">
      <w:pPr>
        <w:ind w:left="300"/>
        <w:rPr>
          <w:rFonts w:ascii="Times New Roman" w:hAnsi="Times New Roman" w:cs="Times New Roman"/>
        </w:rPr>
      </w:pPr>
    </w:p>
    <w:p w:rsidR="00112F48" w:rsidP="00112F48">
      <w:pPr>
        <w:numPr>
          <w:ilvl w:val="0"/>
          <w:numId w:val="1"/>
        </w:numPr>
        <w:tabs>
          <w:tab w:val="left" w:pos="660"/>
        </w:tabs>
        <w:rPr>
          <w:rFonts w:ascii="Times New Roman" w:hAnsi="Times New Roman" w:cs="Times New Roman"/>
        </w:rPr>
      </w:pPr>
      <w:r>
        <w:rPr>
          <w:rFonts w:ascii="Times New Roman" w:hAnsi="Times New Roman" w:cs="Times New Roman"/>
        </w:rPr>
        <w:t>V § 2 ods. 1 sa za slovo „je“ vkla</w:t>
      </w:r>
      <w:r>
        <w:rPr>
          <w:rFonts w:ascii="Times New Roman" w:hAnsi="Times New Roman" w:cs="Times New Roman"/>
        </w:rPr>
        <w:t>dá slovo „súvislý“.</w:t>
      </w: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numPr>
          <w:ilvl w:val="0"/>
          <w:numId w:val="1"/>
        </w:numPr>
        <w:tabs>
          <w:tab w:val="left" w:pos="660"/>
        </w:tabs>
        <w:rPr>
          <w:rFonts w:ascii="Times New Roman" w:hAnsi="Times New Roman" w:cs="Times New Roman"/>
        </w:rPr>
      </w:pPr>
      <w:r>
        <w:rPr>
          <w:rFonts w:ascii="Times New Roman" w:hAnsi="Times New Roman" w:cs="Times New Roman"/>
        </w:rPr>
        <w:t>§ 2 sa dopĺňa odsekmi 5, 6 a 7, ktoré znejú:</w:t>
      </w:r>
    </w:p>
    <w:p w:rsidR="00112F48" w:rsidP="00112F48">
      <w:pPr>
        <w:rPr>
          <w:rFonts w:ascii="Times New Roman" w:hAnsi="Times New Roman" w:cs="Times New Roman"/>
        </w:rPr>
      </w:pPr>
    </w:p>
    <w:p w:rsidR="00112F48" w:rsidP="00112F48">
      <w:pPr>
        <w:jc w:val="both"/>
        <w:rPr>
          <w:rFonts w:ascii="Times New Roman" w:hAnsi="Times New Roman" w:cs="Times New Roman"/>
        </w:rPr>
      </w:pPr>
      <w:r>
        <w:rPr>
          <w:rFonts w:ascii="Times New Roman" w:hAnsi="Times New Roman" w:cs="Times New Roman"/>
        </w:rPr>
        <w:t xml:space="preserve">           „(5) Katastrálny úrad rozhodne o inej zmene územia obce aj bez súhlasu obce podľa odseku 4, ak po rozdelení obce nedošlo k usporiadaniu území nových obcí v súlade s verejným záujmom, v dôsledku čoho sa urbanistická súčasť obce nachádza na území inej obce. </w:t>
      </w:r>
    </w:p>
    <w:p w:rsidR="00112F48" w:rsidP="00112F48">
      <w:pPr>
        <w:rPr>
          <w:rFonts w:ascii="Times New Roman" w:hAnsi="Times New Roman" w:cs="Times New Roman"/>
        </w:rPr>
      </w:pPr>
    </w:p>
    <w:p w:rsidR="00112F48" w:rsidP="00112F48">
      <w:pPr>
        <w:rPr>
          <w:rFonts w:ascii="Times New Roman" w:hAnsi="Times New Roman" w:cs="Times New Roman"/>
        </w:rPr>
      </w:pPr>
      <w:r>
        <w:rPr>
          <w:rFonts w:ascii="Times New Roman" w:hAnsi="Times New Roman" w:cs="Times New Roman"/>
        </w:rPr>
        <w:t xml:space="preserve">             (6) Ustanovenie odseku 5 sa vzťahuje na obce uvedené v prílohe č. 1.</w:t>
      </w:r>
    </w:p>
    <w:p w:rsidR="00112F48" w:rsidP="00112F48">
      <w:pPr>
        <w:rPr>
          <w:rFonts w:ascii="Times New Roman" w:hAnsi="Times New Roman" w:cs="Times New Roman"/>
        </w:rPr>
      </w:pPr>
    </w:p>
    <w:p w:rsidR="00112F48" w:rsidP="00112F48">
      <w:pPr>
        <w:rPr>
          <w:rFonts w:ascii="Times New Roman" w:hAnsi="Times New Roman" w:cs="Times New Roman"/>
        </w:rPr>
      </w:pPr>
      <w:r>
        <w:rPr>
          <w:rFonts w:ascii="Times New Roman" w:hAnsi="Times New Roman" w:cs="Times New Roman"/>
        </w:rPr>
        <w:t xml:space="preserve">             (7) Ustanovenie odseku 1 sa nevzťahuje na obce uvedené v prílohe č. 2“.</w:t>
      </w:r>
    </w:p>
    <w:p w:rsidR="00112F48" w:rsidP="00112F48">
      <w:pPr>
        <w:rPr>
          <w:rFonts w:ascii="Times New Roman" w:hAnsi="Times New Roman" w:cs="Times New Roman"/>
        </w:rPr>
      </w:pPr>
    </w:p>
    <w:p w:rsidR="00112F48" w:rsidP="00112F48">
      <w:pPr>
        <w:rPr>
          <w:rFonts w:ascii="Times New Roman" w:hAnsi="Times New Roman" w:cs="Times New Roman"/>
        </w:rPr>
      </w:pPr>
      <w:r>
        <w:rPr>
          <w:rFonts w:ascii="Times New Roman" w:hAnsi="Times New Roman" w:cs="Times New Roman"/>
        </w:rPr>
        <w:t xml:space="preserve">    </w:t>
      </w: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numPr>
          <w:ilvl w:val="0"/>
          <w:numId w:val="1"/>
        </w:numPr>
        <w:tabs>
          <w:tab w:val="left" w:pos="660"/>
        </w:tabs>
        <w:rPr>
          <w:rFonts w:ascii="Times New Roman" w:hAnsi="Times New Roman" w:cs="Times New Roman"/>
        </w:rPr>
      </w:pPr>
      <w:r>
        <w:rPr>
          <w:rFonts w:ascii="Times New Roman" w:hAnsi="Times New Roman" w:cs="Times New Roman"/>
        </w:rPr>
        <w:t>Za § 30 sa vkladá § 30a, ktorý vrátane nadpisu znie:</w:t>
      </w:r>
    </w:p>
    <w:p w:rsidR="00112F48" w:rsidP="00112F48">
      <w:pPr>
        <w:ind w:left="300"/>
        <w:rPr>
          <w:rFonts w:ascii="Times New Roman" w:hAnsi="Times New Roman" w:cs="Times New Roman"/>
        </w:rPr>
      </w:pPr>
    </w:p>
    <w:p w:rsidR="00112F48" w:rsidP="00112F48">
      <w:pPr>
        <w:ind w:left="300"/>
        <w:rPr>
          <w:rFonts w:ascii="Times New Roman" w:hAnsi="Times New Roman" w:cs="Times New Roman"/>
        </w:rPr>
      </w:pPr>
    </w:p>
    <w:p w:rsidR="00112F48" w:rsidP="00112F48">
      <w:pPr>
        <w:ind w:left="300"/>
        <w:rPr>
          <w:rFonts w:ascii="Times New Roman" w:hAnsi="Times New Roman" w:cs="Times New Roman"/>
        </w:rPr>
      </w:pPr>
      <w:r>
        <w:rPr>
          <w:rFonts w:ascii="Times New Roman" w:hAnsi="Times New Roman" w:cs="Times New Roman"/>
        </w:rPr>
        <w:t xml:space="preserve">                                                            „§ 30a</w:t>
      </w:r>
    </w:p>
    <w:p w:rsidR="00112F48" w:rsidP="00112F48">
      <w:pPr>
        <w:rPr>
          <w:rFonts w:ascii="Times New Roman" w:hAnsi="Times New Roman" w:cs="Times New Roman"/>
        </w:rPr>
      </w:pPr>
      <w:r>
        <w:rPr>
          <w:rFonts w:ascii="Times New Roman" w:hAnsi="Times New Roman" w:cs="Times New Roman"/>
        </w:rPr>
        <w:t xml:space="preserve">  </w:t>
      </w:r>
    </w:p>
    <w:p w:rsidR="00112F48" w:rsidP="00112F48">
      <w:pPr>
        <w:rPr>
          <w:rFonts w:ascii="Times New Roman" w:hAnsi="Times New Roman" w:cs="Times New Roman"/>
        </w:rPr>
      </w:pPr>
      <w:r>
        <w:rPr>
          <w:rFonts w:ascii="Times New Roman" w:hAnsi="Times New Roman" w:cs="Times New Roman"/>
        </w:rPr>
        <w:t xml:space="preserve">                               Prechodné ustanovenia účinné od 1. novembra 2OO3</w:t>
      </w:r>
    </w:p>
    <w:p w:rsidR="00112F48" w:rsidP="00112F48">
      <w:pPr>
        <w:rPr>
          <w:rFonts w:ascii="Times New Roman" w:hAnsi="Times New Roman" w:cs="Times New Roman"/>
        </w:rPr>
      </w:pPr>
    </w:p>
    <w:p w:rsidR="00112F48" w:rsidP="00112F48">
      <w:pPr>
        <w:numPr>
          <w:ilvl w:val="0"/>
          <w:numId w:val="2"/>
        </w:numPr>
        <w:tabs>
          <w:tab w:val="left" w:pos="660"/>
        </w:tabs>
        <w:rPr>
          <w:rFonts w:ascii="Times New Roman" w:hAnsi="Times New Roman" w:cs="Times New Roman"/>
        </w:rPr>
      </w:pPr>
      <w:r>
        <w:rPr>
          <w:rFonts w:ascii="Times New Roman" w:hAnsi="Times New Roman" w:cs="Times New Roman"/>
        </w:rPr>
        <w:t>Obce, ktorých územie netvorí súvislý územný ce</w:t>
      </w:r>
      <w:r>
        <w:rPr>
          <w:rFonts w:ascii="Times New Roman" w:hAnsi="Times New Roman" w:cs="Times New Roman"/>
        </w:rPr>
        <w:t>lok, usporiadajú svoje územie v súlade</w:t>
      </w:r>
    </w:p>
    <w:p w:rsidR="00112F48" w:rsidP="00112F48">
      <w:pPr>
        <w:jc w:val="both"/>
        <w:rPr>
          <w:rFonts w:ascii="Times New Roman" w:hAnsi="Times New Roman" w:cs="Times New Roman"/>
        </w:rPr>
      </w:pPr>
      <w:r>
        <w:rPr>
          <w:rFonts w:ascii="Times New Roman" w:hAnsi="Times New Roman" w:cs="Times New Roman"/>
        </w:rPr>
        <w:t>s § 2 ods. 1 do 30. apríla 2004 a dohodu o usporiadaní územia predložia príslušnej správe katastra najneskôr do 31. júla 2004; inak sa územie obce, ktoré netvorí s obcou súvislý územný celok pričleňuje k obci podľa prílohy č. 3.</w:t>
      </w:r>
    </w:p>
    <w:p w:rsidR="00112F48" w:rsidP="00112F48">
      <w:pPr>
        <w:rPr>
          <w:rFonts w:ascii="Times New Roman" w:hAnsi="Times New Roman" w:cs="Times New Roman"/>
        </w:rPr>
      </w:pPr>
    </w:p>
    <w:p w:rsidR="00112F48" w:rsidP="00112F48">
      <w:pPr>
        <w:numPr>
          <w:ilvl w:val="0"/>
          <w:numId w:val="2"/>
        </w:numPr>
        <w:tabs>
          <w:tab w:val="left" w:pos="660"/>
        </w:tabs>
        <w:rPr>
          <w:rFonts w:ascii="Times New Roman" w:hAnsi="Times New Roman" w:cs="Times New Roman"/>
        </w:rPr>
      </w:pPr>
      <w:r>
        <w:rPr>
          <w:rFonts w:ascii="Times New Roman" w:hAnsi="Times New Roman" w:cs="Times New Roman"/>
        </w:rPr>
        <w:t>Postupom podľa odseku 1 nie sú dotknuté vlastnícke vzťahy.</w:t>
      </w:r>
    </w:p>
    <w:p w:rsidR="00112F48" w:rsidP="00112F48">
      <w:pPr>
        <w:ind w:left="300"/>
        <w:rPr>
          <w:rFonts w:ascii="Times New Roman" w:hAnsi="Times New Roman" w:cs="Times New Roman"/>
        </w:rPr>
      </w:pPr>
    </w:p>
    <w:p w:rsidR="00112F48" w:rsidP="00112F48">
      <w:pPr>
        <w:numPr>
          <w:ilvl w:val="0"/>
          <w:numId w:val="2"/>
        </w:numPr>
        <w:tabs>
          <w:tab w:val="left" w:pos="0"/>
          <w:tab w:val="clear" w:pos="660"/>
        </w:tabs>
        <w:ind w:left="0" w:firstLine="300"/>
        <w:jc w:val="both"/>
        <w:rPr>
          <w:rFonts w:ascii="Times New Roman" w:hAnsi="Times New Roman" w:cs="Times New Roman"/>
        </w:rPr>
      </w:pPr>
      <w:r>
        <w:rPr>
          <w:rFonts w:ascii="Times New Roman" w:hAnsi="Times New Roman" w:cs="Times New Roman"/>
        </w:rPr>
        <w:t>Príslušné správy katastra vykonajú opatrenia vyplývajúce z územných zmien podľa odseku 1 do 31. októbra 2004.</w:t>
      </w:r>
    </w:p>
    <w:p w:rsidR="00112F48" w:rsidP="00112F48">
      <w:pPr>
        <w:rPr>
          <w:rFonts w:ascii="Times New Roman" w:hAnsi="Times New Roman" w:cs="Times New Roman"/>
        </w:rPr>
      </w:pPr>
    </w:p>
    <w:p w:rsidR="00112F48" w:rsidP="00112F48">
      <w:pPr>
        <w:numPr>
          <w:ilvl w:val="0"/>
          <w:numId w:val="2"/>
        </w:numPr>
        <w:tabs>
          <w:tab w:val="left" w:pos="0"/>
          <w:tab w:val="clear" w:pos="660"/>
        </w:tabs>
        <w:ind w:left="0" w:firstLine="360"/>
        <w:rPr>
          <w:rFonts w:ascii="Times New Roman" w:hAnsi="Times New Roman" w:cs="Times New Roman"/>
        </w:rPr>
      </w:pPr>
      <w:r>
        <w:rPr>
          <w:rFonts w:ascii="Times New Roman" w:hAnsi="Times New Roman" w:cs="Times New Roman"/>
        </w:rPr>
        <w:t>Ustanovenie § 2 ods. 5 sa použije aj v prípade, ak k rozdeleniu obce doš</w:t>
      </w:r>
      <w:r>
        <w:rPr>
          <w:rFonts w:ascii="Times New Roman" w:hAnsi="Times New Roman" w:cs="Times New Roman"/>
        </w:rPr>
        <w:t>lo pred 1. novembrom 2OO3.</w:t>
      </w: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b/>
        </w:rPr>
      </w:pPr>
      <w:r>
        <w:rPr>
          <w:rFonts w:ascii="Times New Roman" w:hAnsi="Times New Roman" w:cs="Times New Roman"/>
        </w:rPr>
        <w:t xml:space="preserve">                                                                   </w:t>
      </w:r>
      <w:r w:rsidRPr="002F4715">
        <w:rPr>
          <w:rFonts w:ascii="Times New Roman" w:hAnsi="Times New Roman" w:cs="Times New Roman"/>
          <w:b/>
        </w:rPr>
        <w:t>Čl. II</w:t>
      </w:r>
    </w:p>
    <w:p w:rsidR="00112F48" w:rsidRPr="002F4715" w:rsidP="00112F48">
      <w:pPr>
        <w:rPr>
          <w:rFonts w:ascii="Times New Roman" w:hAnsi="Times New Roman" w:cs="Times New Roman"/>
          <w:b/>
        </w:rPr>
      </w:pPr>
    </w:p>
    <w:p w:rsidR="00112F48" w:rsidP="00112F48">
      <w:pPr>
        <w:rPr>
          <w:rFonts w:ascii="Times New Roman" w:hAnsi="Times New Roman" w:cs="Times New Roman"/>
        </w:rPr>
      </w:pPr>
      <w:r>
        <w:rPr>
          <w:rFonts w:ascii="Times New Roman" w:hAnsi="Times New Roman" w:cs="Times New Roman"/>
        </w:rPr>
        <w:t xml:space="preserve">     Tento zákon nadobúda účinnosť 1. novembra 2OO3.</w:t>
      </w: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RPr="00AD3E66" w:rsidP="00112F48">
      <w:pPr>
        <w:rPr>
          <w:rFonts w:ascii="Times New Roman" w:hAnsi="Times New Roman" w:cs="Times New Roman"/>
        </w:rPr>
      </w:pPr>
    </w:p>
    <w:p w:rsidR="00112F48" w:rsidRPr="00AD3E66" w:rsidP="00112F48">
      <w:pPr>
        <w:rPr>
          <w:rFonts w:ascii="Times New Roman" w:hAnsi="Times New Roman" w:cs="Times New Roman"/>
          <w:b/>
          <w:sz w:val="28"/>
          <w:szCs w:val="28"/>
        </w:rPr>
      </w:pPr>
      <w:r>
        <w:rPr>
          <w:rFonts w:ascii="Times New Roman" w:hAnsi="Times New Roman" w:cs="Times New Roman"/>
          <w:b/>
        </w:rPr>
        <w:t xml:space="preserve">                                                    </w:t>
      </w:r>
      <w:r w:rsidRPr="00AD3E66">
        <w:rPr>
          <w:rFonts w:ascii="Times New Roman" w:hAnsi="Times New Roman" w:cs="Times New Roman"/>
          <w:b/>
          <w:sz w:val="28"/>
          <w:szCs w:val="28"/>
        </w:rPr>
        <w:t>A. Všeobecná časť</w:t>
      </w:r>
    </w:p>
    <w:p w:rsidR="00112F48" w:rsidP="00112F48">
      <w:pPr>
        <w:rPr>
          <w:rFonts w:ascii="Times New Roman" w:hAnsi="Times New Roman" w:cs="Times New Roman"/>
          <w:b/>
        </w:rPr>
      </w:pPr>
    </w:p>
    <w:p w:rsidR="00112F48" w:rsidP="00112F48">
      <w:pPr>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rPr>
        <w:t xml:space="preserve">   </w:t>
      </w:r>
      <w:r>
        <w:rPr>
          <w:rFonts w:ascii="Times New Roman" w:hAnsi="Times New Roman" w:cs="Times New Roman"/>
        </w:rPr>
        <w:t>Podľa čl. 64a Ústavy Slovenskej republiky a podľa § ods. 1 zákona Slovenskej národnej ady č. 369/1990 Zb. o obecnom zriadení je obec samostatný územný samosprávny a správny celok Slovenskej republiky. Podľa § 2 ods. 1 citovaného zákona, územie obce je ú</w:t>
      </w:r>
      <w:r>
        <w:rPr>
          <w:rFonts w:ascii="Times New Roman" w:hAnsi="Times New Roman" w:cs="Times New Roman"/>
        </w:rPr>
        <w:t>zemný celok, ktorý tvorí jedno katastrálne územie alebo viac katastrálnych území.</w:t>
      </w:r>
    </w:p>
    <w:p w:rsidR="00112F48" w:rsidP="00112F48">
      <w:pPr>
        <w:jc w:val="both"/>
        <w:rPr>
          <w:rFonts w:ascii="Times New Roman" w:hAnsi="Times New Roman" w:cs="Times New Roman"/>
        </w:rPr>
      </w:pPr>
    </w:p>
    <w:p w:rsidR="00112F48" w:rsidP="00112F48">
      <w:pPr>
        <w:jc w:val="both"/>
        <w:rPr>
          <w:rFonts w:ascii="Times New Roman" w:hAnsi="Times New Roman" w:cs="Times New Roman"/>
        </w:rPr>
      </w:pPr>
      <w:r>
        <w:rPr>
          <w:rFonts w:ascii="Times New Roman" w:hAnsi="Times New Roman" w:cs="Times New Roman"/>
        </w:rPr>
        <w:t xml:space="preserve">     Z dikcie uvedených právnych noriem, najmä zo slova „celok“ vyplýva, že územie obce má</w:t>
      </w:r>
    </w:p>
    <w:p w:rsidR="00112F48" w:rsidP="00112F48">
      <w:pPr>
        <w:jc w:val="both"/>
        <w:rPr>
          <w:rFonts w:ascii="Times New Roman" w:hAnsi="Times New Roman" w:cs="Times New Roman"/>
        </w:rPr>
      </w:pPr>
      <w:r>
        <w:rPr>
          <w:rFonts w:ascii="Times New Roman" w:hAnsi="Times New Roman" w:cs="Times New Roman"/>
        </w:rPr>
        <w:t xml:space="preserve">byť súvislé a nemá narúšať územnú integritu inej obce. V nesúlade s touto právnou </w:t>
      </w:r>
      <w:r>
        <w:rPr>
          <w:rFonts w:ascii="Times New Roman" w:hAnsi="Times New Roman" w:cs="Times New Roman"/>
        </w:rPr>
        <w:t>konštruk-</w:t>
      </w:r>
    </w:p>
    <w:p w:rsidR="00112F48" w:rsidP="00112F48">
      <w:pPr>
        <w:jc w:val="both"/>
        <w:rPr>
          <w:rFonts w:ascii="Times New Roman" w:hAnsi="Times New Roman" w:cs="Times New Roman"/>
        </w:rPr>
      </w:pPr>
      <w:r>
        <w:rPr>
          <w:rFonts w:ascii="Times New Roman" w:hAnsi="Times New Roman" w:cs="Times New Roman"/>
        </w:rPr>
        <w:t>ciou však jestvuje  prípad, keď územie obce netvorí súvislý uzavretý celok, ale ide o oddelené územia, ktoré spolu bezprostredne nesusedia. Tento dlhodobo pretrvávajúci nežiadúci stav sťažuje správu obcí, najmä ak ide o osídlené územie, vyvoláva zbytočné spory medzi dotknutými obcami, spôsobuje problémy aj orgánom štátnej správy a vyšším územným celkom predovšetkým pri územnom plánovaní a pri koordinácii postupu právnych subjektov v sociálnom, ekonomickom a environmentálnom rozvoji štátu ako celku a jeho jednotlivých častí. Preto sa  navrhuje tento nepriaznivý stav riešiť tak, že územie obce musí tvoriť súvislý územný celok a ustanovuje sa postup na zabezpečenie tohto cieľa.</w:t>
      </w:r>
    </w:p>
    <w:p w:rsidR="00112F48" w:rsidP="00112F48">
      <w:pPr>
        <w:jc w:val="both"/>
        <w:rPr>
          <w:rFonts w:ascii="Times New Roman" w:hAnsi="Times New Roman" w:cs="Times New Roman"/>
        </w:rPr>
      </w:pPr>
    </w:p>
    <w:p w:rsidR="00112F48" w:rsidP="00112F48">
      <w:pPr>
        <w:jc w:val="both"/>
        <w:rPr>
          <w:rFonts w:ascii="Times New Roman" w:hAnsi="Times New Roman" w:cs="Times New Roman"/>
        </w:rPr>
      </w:pPr>
      <w:r>
        <w:rPr>
          <w:rFonts w:ascii="Times New Roman" w:hAnsi="Times New Roman" w:cs="Times New Roman"/>
        </w:rPr>
        <w:t xml:space="preserve">     Návrh zákona reaguje tiež na situácie, keď v dôsledku rozdelenia obc</w:t>
      </w:r>
      <w:r>
        <w:rPr>
          <w:rFonts w:ascii="Times New Roman" w:hAnsi="Times New Roman" w:cs="Times New Roman"/>
        </w:rPr>
        <w:t xml:space="preserve">e nedošlo k usporiadaniu území nových obcí v súlade s verejným záujmom, v dôsledku čoho sa urbanistická súčasť obce nachádza na území inej obce. </w:t>
      </w:r>
    </w:p>
    <w:p w:rsidR="00112F48" w:rsidP="00112F48">
      <w:pPr>
        <w:jc w:val="both"/>
        <w:rPr>
          <w:rFonts w:ascii="Times New Roman" w:hAnsi="Times New Roman" w:cs="Times New Roman"/>
        </w:rPr>
      </w:pPr>
    </w:p>
    <w:p w:rsidR="00112F48" w:rsidP="00112F48">
      <w:pPr>
        <w:jc w:val="both"/>
        <w:rPr>
          <w:rFonts w:ascii="Times New Roman" w:hAnsi="Times New Roman" w:cs="Times New Roman"/>
        </w:rPr>
      </w:pPr>
      <w:r>
        <w:rPr>
          <w:rFonts w:ascii="Times New Roman" w:hAnsi="Times New Roman" w:cs="Times New Roman"/>
        </w:rPr>
        <w:t xml:space="preserve">     Navrhovaná zákonná úprava je v súlade s Ústavou Slovenskej republiky, ústavnými zákonmi, zákonmi a inými</w:t>
      </w:r>
      <w:r>
        <w:rPr>
          <w:rFonts w:ascii="Times New Roman" w:hAnsi="Times New Roman" w:cs="Times New Roman"/>
        </w:rPr>
        <w:t xml:space="preserve"> všeobecne záväznými právnymi predpismi, ako aj s medzinárodnými zmluvami, ktorými je Slovenská republika viazaná.</w:t>
      </w:r>
    </w:p>
    <w:p w:rsidR="00112F48" w:rsidP="00112F48">
      <w:pPr>
        <w:rPr>
          <w:rFonts w:ascii="Times New Roman" w:hAnsi="Times New Roman" w:cs="Times New Roman"/>
        </w:rPr>
      </w:pPr>
    </w:p>
    <w:p w:rsidR="00112F48" w:rsidP="00112F48">
      <w:pPr>
        <w:jc w:val="both"/>
        <w:rPr>
          <w:rFonts w:ascii="Times New Roman" w:hAnsi="Times New Roman" w:cs="Times New Roman"/>
        </w:rPr>
      </w:pPr>
      <w:r>
        <w:rPr>
          <w:rFonts w:ascii="Times New Roman" w:hAnsi="Times New Roman" w:cs="Times New Roman"/>
        </w:rPr>
        <w:t xml:space="preserve">     Návrh zákona bude mať dopad na štátny rozpočet, pretože sa predpokladá, že náklady bude znášať štát, avšak tieto náklady budú minimálne</w:t>
      </w:r>
      <w:r>
        <w:rPr>
          <w:rFonts w:ascii="Times New Roman" w:hAnsi="Times New Roman" w:cs="Times New Roman"/>
        </w:rPr>
        <w:t>. Pôjde o prípady, kedy na základe dohody o výmene územia bude potrebné vyhotoviť technickú dokumentáciu, najmä geometrické plány pre vyznačenie zmien v katastri nehnuteľností. Túto úlohu zabezpečí katastrálny úrad zadaním prác komerčnej sfére. Predpokladajú sa náklady vo výške približne 2 mil. Sk, ktoré sa budú postupne čerpať. Z toho na  zadanie vyhotovení geometrických plánov pre dotknuté územia odborným posúdením je potrebné alokovať približne 1,76 mil. Sk,  na premietnutie geometrických plánov do katastrálneho operátu je potrebné alokovať približne O,24 mil. Sk, z toho: na mzdy 132 tis. Sk, na odvody 5O tis. Sk, na tovary a služby 58 tis. Sk.</w:t>
      </w:r>
    </w:p>
    <w:p w:rsidR="00112F48" w:rsidP="00112F48">
      <w:pPr>
        <w:rPr>
          <w:rFonts w:ascii="Times New Roman" w:hAnsi="Times New Roman" w:cs="Times New Roman"/>
        </w:rPr>
      </w:pPr>
      <w:r>
        <w:rPr>
          <w:rFonts w:ascii="Times New Roman" w:hAnsi="Times New Roman" w:cs="Times New Roman"/>
        </w:rPr>
        <w:t xml:space="preserve">  </w:t>
      </w:r>
    </w:p>
    <w:p w:rsidR="00112F48" w:rsidP="00112F48">
      <w:pPr>
        <w:rPr>
          <w:rFonts w:ascii="Times New Roman" w:hAnsi="Times New Roman" w:cs="Times New Roman"/>
        </w:rPr>
      </w:pPr>
      <w:r>
        <w:rPr>
          <w:rFonts w:ascii="Times New Roman" w:hAnsi="Times New Roman" w:cs="Times New Roman"/>
        </w:rPr>
        <w:t xml:space="preserve">     Návrh zákona nebude mať vplyv na rozpočty územnej samosprávy, ani na pracovné sily.</w:t>
      </w:r>
    </w:p>
    <w:p w:rsidR="00112F48" w:rsidP="00112F48">
      <w:pPr>
        <w:rPr>
          <w:rFonts w:ascii="Times New Roman" w:hAnsi="Times New Roman" w:cs="Times New Roman"/>
        </w:rPr>
      </w:pPr>
    </w:p>
    <w:p w:rsidR="00112F48" w:rsidP="00112F48">
      <w:pPr>
        <w:jc w:val="both"/>
        <w:rPr>
          <w:rFonts w:ascii="Times New Roman" w:hAnsi="Times New Roman" w:cs="Times New Roman"/>
        </w:rPr>
      </w:pPr>
      <w:r>
        <w:rPr>
          <w:rFonts w:ascii="Times New Roman" w:hAnsi="Times New Roman" w:cs="Times New Roman"/>
        </w:rPr>
        <w:t xml:space="preserve">     Návrh zákona nemá dopad na zamestnanosť, tvorbu pracovných miest ani na životné prostredie.</w:t>
      </w:r>
    </w:p>
    <w:p w:rsidR="00112F48" w:rsidP="00112F48">
      <w:pPr>
        <w:rPr>
          <w:rFonts w:ascii="Times New Roman" w:hAnsi="Times New Roman" w:cs="Times New Roman"/>
        </w:rPr>
      </w:pPr>
    </w:p>
    <w:p w:rsidR="00112F48" w:rsidP="00112F48">
      <w:pPr>
        <w:rPr>
          <w:rFonts w:ascii="Times New Roman" w:hAnsi="Times New Roman" w:cs="Times New Roman"/>
        </w:rPr>
      </w:pPr>
      <w:r>
        <w:rPr>
          <w:rFonts w:ascii="Times New Roman" w:hAnsi="Times New Roman" w:cs="Times New Roman"/>
        </w:rPr>
        <w:t xml:space="preserve">     Vzhľadom na obsah doložky zlučiteľnosti nie je potrebná tabuľka zhody.</w:t>
      </w: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b/>
          <w:sz w:val="28"/>
          <w:szCs w:val="28"/>
        </w:rPr>
      </w:pPr>
      <w:r>
        <w:rPr>
          <w:rFonts w:ascii="Times New Roman" w:hAnsi="Times New Roman" w:cs="Times New Roman"/>
          <w:b/>
          <w:sz w:val="28"/>
          <w:szCs w:val="28"/>
        </w:rPr>
        <w:t xml:space="preserve">B. Osobitná časť </w:t>
      </w:r>
    </w:p>
    <w:p w:rsidR="00112F48" w:rsidP="00112F48">
      <w:pPr>
        <w:rPr>
          <w:rFonts w:ascii="Times New Roman" w:hAnsi="Times New Roman" w:cs="Times New Roman"/>
          <w:b/>
          <w:sz w:val="28"/>
          <w:szCs w:val="28"/>
        </w:rPr>
      </w:pPr>
    </w:p>
    <w:p w:rsidR="00112F48" w:rsidRPr="00E527AC" w:rsidP="00112F48">
      <w:pPr>
        <w:rPr>
          <w:rFonts w:ascii="Times New Roman" w:hAnsi="Times New Roman" w:cs="Times New Roman"/>
          <w:b/>
          <w:sz w:val="28"/>
          <w:szCs w:val="28"/>
        </w:rPr>
      </w:pPr>
      <w:r w:rsidRPr="00E527AC">
        <w:rPr>
          <w:rFonts w:ascii="Times New Roman" w:hAnsi="Times New Roman" w:cs="Times New Roman"/>
          <w:b/>
          <w:sz w:val="28"/>
          <w:szCs w:val="28"/>
        </w:rPr>
        <w:t>K čl. I</w:t>
      </w:r>
    </w:p>
    <w:p w:rsidR="00112F48" w:rsidRPr="0074083E" w:rsidP="00112F48">
      <w:pPr>
        <w:rPr>
          <w:rFonts w:ascii="Times New Roman" w:hAnsi="Times New Roman" w:cs="Times New Roman"/>
          <w:b/>
        </w:rPr>
      </w:pPr>
    </w:p>
    <w:p w:rsidR="00112F48" w:rsidP="00112F48">
      <w:pPr>
        <w:rPr>
          <w:rFonts w:ascii="Times New Roman" w:hAnsi="Times New Roman" w:cs="Times New Roman"/>
          <w:b/>
        </w:rPr>
      </w:pPr>
    </w:p>
    <w:p w:rsidR="00112F48" w:rsidP="00112F48">
      <w:pPr>
        <w:rPr>
          <w:rFonts w:ascii="Times New Roman" w:hAnsi="Times New Roman" w:cs="Times New Roman"/>
          <w:b/>
        </w:rPr>
      </w:pPr>
      <w:r w:rsidRPr="0074083E">
        <w:rPr>
          <w:rFonts w:ascii="Times New Roman" w:hAnsi="Times New Roman" w:cs="Times New Roman"/>
          <w:b/>
        </w:rPr>
        <w:t>K bodu 1</w:t>
      </w:r>
      <w:r>
        <w:rPr>
          <w:rFonts w:ascii="Times New Roman" w:hAnsi="Times New Roman" w:cs="Times New Roman"/>
          <w:b/>
        </w:rPr>
        <w:t>:</w:t>
      </w:r>
    </w:p>
    <w:p w:rsidR="00112F48" w:rsidP="00112F48">
      <w:pPr>
        <w:rPr>
          <w:rFonts w:ascii="Times New Roman" w:hAnsi="Times New Roman" w:cs="Times New Roman"/>
        </w:rPr>
      </w:pPr>
    </w:p>
    <w:p w:rsidR="00112F48" w:rsidP="00112F48">
      <w:pPr>
        <w:rPr>
          <w:rFonts w:ascii="Times New Roman" w:hAnsi="Times New Roman" w:cs="Times New Roman"/>
        </w:rPr>
      </w:pPr>
      <w:r>
        <w:rPr>
          <w:rFonts w:ascii="Times New Roman" w:hAnsi="Times New Roman" w:cs="Times New Roman"/>
        </w:rPr>
        <w:t xml:space="preserve">     Spresňuje sa definícia územia obce tak, že územie obce musí tvoriť súvislý územný celok.</w:t>
      </w:r>
    </w:p>
    <w:p w:rsidR="00112F48" w:rsidP="00112F48">
      <w:pPr>
        <w:rPr>
          <w:rFonts w:ascii="Times New Roman" w:hAnsi="Times New Roman" w:cs="Times New Roman"/>
        </w:rPr>
      </w:pPr>
    </w:p>
    <w:p w:rsidR="00112F48" w:rsidP="00112F48">
      <w:pPr>
        <w:rPr>
          <w:rFonts w:ascii="Times New Roman" w:hAnsi="Times New Roman" w:cs="Times New Roman"/>
          <w:b/>
        </w:rPr>
      </w:pPr>
    </w:p>
    <w:p w:rsidR="00112F48" w:rsidP="00112F48">
      <w:pPr>
        <w:rPr>
          <w:rFonts w:ascii="Times New Roman" w:hAnsi="Times New Roman" w:cs="Times New Roman"/>
        </w:rPr>
      </w:pPr>
      <w:r>
        <w:rPr>
          <w:rFonts w:ascii="Times New Roman" w:hAnsi="Times New Roman" w:cs="Times New Roman"/>
          <w:b/>
        </w:rPr>
        <w:t>K bodu 2:</w:t>
      </w:r>
    </w:p>
    <w:p w:rsidR="00112F48" w:rsidP="00112F48">
      <w:pPr>
        <w:rPr>
          <w:rFonts w:ascii="Times New Roman" w:hAnsi="Times New Roman" w:cs="Times New Roman"/>
        </w:rPr>
      </w:pPr>
    </w:p>
    <w:p w:rsidR="00112F48" w:rsidP="00112F48">
      <w:pPr>
        <w:jc w:val="both"/>
        <w:rPr>
          <w:rFonts w:ascii="Times New Roman" w:hAnsi="Times New Roman" w:cs="Times New Roman"/>
        </w:rPr>
      </w:pPr>
      <w:r>
        <w:rPr>
          <w:rFonts w:ascii="Times New Roman" w:hAnsi="Times New Roman" w:cs="Times New Roman"/>
        </w:rPr>
        <w:t xml:space="preserve">     Umožňuje sa vykonať zmenu územia obcí ako dôsledok rozdelenia obce aj bez súhlasu obce, avšak len v prípade, ak po rozdelení obce nedošlo k usporiadaniu území nových obcí v súlade s verejným záujmom, v dôsledku čoho sa urbanistická súčasť obce nachádza na území inej obce. Zoznam týchto obcí je uvedený v prílohe č. 1. Príslušným orgánom na rozhodnutie v predmetnej veci je katastrálny úrad. </w:t>
      </w:r>
    </w:p>
    <w:p w:rsidR="00112F48" w:rsidP="00112F48">
      <w:pPr>
        <w:jc w:val="both"/>
        <w:rPr>
          <w:rFonts w:ascii="Times New Roman" w:hAnsi="Times New Roman" w:cs="Times New Roman"/>
        </w:rPr>
      </w:pPr>
      <w:r>
        <w:rPr>
          <w:rFonts w:ascii="Times New Roman" w:hAnsi="Times New Roman" w:cs="Times New Roman"/>
        </w:rPr>
        <w:t xml:space="preserve">     Súčasne sa navrhuje ponechať katastrálne územia, ktoré netvoria s obcou súvislý celok ako súčasť obce v tých prípadoch, kedy celistvosť územia obce bola narušená odčlenením sa časti obce a vznikom samostatnej obce. Ide o katastrálne územie osídlené obyvateľmi, ktorí sa nerozhodli vytvoriť samostatnú obec. Tieto prípady je potrebné považovať za výnimku z pravidla, že územie obce je súvislý územný celok. Zoznam týchto katastrálnych území, spolu s určením obce do ktorej patria, je uvedený v prílohe č. 2 zákona.</w:t>
      </w:r>
    </w:p>
    <w:p w:rsidR="00112F48" w:rsidP="00112F48">
      <w:pPr>
        <w:rPr>
          <w:rFonts w:ascii="Times New Roman" w:hAnsi="Times New Roman" w:cs="Times New Roman"/>
        </w:rPr>
      </w:pPr>
    </w:p>
    <w:p w:rsidR="00112F48" w:rsidP="00112F48">
      <w:pPr>
        <w:rPr>
          <w:rFonts w:ascii="Times New Roman" w:hAnsi="Times New Roman" w:cs="Times New Roman"/>
          <w:b/>
        </w:rPr>
      </w:pPr>
    </w:p>
    <w:p w:rsidR="00112F48" w:rsidP="00112F48">
      <w:pPr>
        <w:rPr>
          <w:rFonts w:ascii="Times New Roman" w:hAnsi="Times New Roman" w:cs="Times New Roman"/>
        </w:rPr>
      </w:pPr>
      <w:r>
        <w:rPr>
          <w:rFonts w:ascii="Times New Roman" w:hAnsi="Times New Roman" w:cs="Times New Roman"/>
          <w:b/>
        </w:rPr>
        <w:t>K bodu 3:</w:t>
      </w:r>
    </w:p>
    <w:p w:rsidR="00112F48" w:rsidP="00112F48">
      <w:pPr>
        <w:rPr>
          <w:rFonts w:ascii="Times New Roman" w:hAnsi="Times New Roman" w:cs="Times New Roman"/>
        </w:rPr>
      </w:pPr>
    </w:p>
    <w:p w:rsidR="00112F48" w:rsidP="00112F48">
      <w:pPr>
        <w:rPr>
          <w:rFonts w:ascii="Times New Roman" w:hAnsi="Times New Roman" w:cs="Times New Roman"/>
        </w:rPr>
      </w:pPr>
      <w:r>
        <w:rPr>
          <w:rFonts w:ascii="Times New Roman" w:hAnsi="Times New Roman" w:cs="Times New Roman"/>
        </w:rPr>
        <w:t xml:space="preserve">     Zákon sa dopĺňa o ďalšie prechodné ustanovenia, ktoré súvisia s navrhovanými zmenami v</w:t>
      </w:r>
    </w:p>
    <w:p w:rsidR="00112F48" w:rsidP="00112F48">
      <w:pPr>
        <w:jc w:val="both"/>
        <w:rPr>
          <w:rFonts w:ascii="Times New Roman" w:hAnsi="Times New Roman" w:cs="Times New Roman"/>
        </w:rPr>
      </w:pPr>
      <w:r>
        <w:rPr>
          <w:rFonts w:ascii="Times New Roman" w:hAnsi="Times New Roman" w:cs="Times New Roman"/>
        </w:rPr>
        <w:t xml:space="preserve">bodoch 1 a 2. Predovšetkým sa ukladá dotknutým obciam vyporiadať svoje územné pomery v zákonom ustanovenej lehote tak, aby územie každej obce tvoril súvislý územný celok. V prípade, že na základe dohody obcí príde k zámene územia, k zápisu do katastra nehnuteľností bude potrebné predložiť technickú dokumentáciu vymedzujúcu rozsah zmeny (geometrické plány). Ak obce neupravia navzájom tieto právne vzťahy, priamo zo zákona sa pričleňuje dotknuté územie  k územiu obce podľa prílohy č. 3.  </w:t>
      </w:r>
    </w:p>
    <w:p w:rsidR="00112F48" w:rsidP="00112F48">
      <w:pPr>
        <w:rPr>
          <w:rFonts w:ascii="Times New Roman" w:hAnsi="Times New Roman" w:cs="Times New Roman"/>
        </w:rPr>
      </w:pPr>
      <w:r>
        <w:rPr>
          <w:rFonts w:ascii="Times New Roman" w:hAnsi="Times New Roman" w:cs="Times New Roman"/>
        </w:rPr>
        <w:t xml:space="preserve">     Uvedené zmeny nemajú vplyv na vlastnícke vzťahy, ktoré zostávajú zachované. Príslušné</w:t>
      </w:r>
    </w:p>
    <w:p w:rsidR="00112F48" w:rsidP="00112F48">
      <w:pPr>
        <w:rPr>
          <w:rFonts w:ascii="Times New Roman" w:hAnsi="Times New Roman" w:cs="Times New Roman"/>
        </w:rPr>
      </w:pPr>
      <w:r>
        <w:rPr>
          <w:rFonts w:ascii="Times New Roman" w:hAnsi="Times New Roman" w:cs="Times New Roman"/>
        </w:rPr>
        <w:t>orgány  miestnej štátnej správy na úseku katastra sú povinné vykonať potrebné úkony súvisiace s týmito územnými zmenami.</w:t>
      </w: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b/>
        </w:rPr>
      </w:pPr>
    </w:p>
    <w:p w:rsidR="00112F48" w:rsidRPr="00E527AC" w:rsidP="00112F48">
      <w:pPr>
        <w:rPr>
          <w:rFonts w:ascii="Times New Roman" w:hAnsi="Times New Roman" w:cs="Times New Roman"/>
          <w:sz w:val="28"/>
          <w:szCs w:val="28"/>
        </w:rPr>
      </w:pPr>
      <w:r w:rsidRPr="00E527AC">
        <w:rPr>
          <w:rFonts w:ascii="Times New Roman" w:hAnsi="Times New Roman" w:cs="Times New Roman"/>
          <w:b/>
          <w:sz w:val="28"/>
          <w:szCs w:val="28"/>
        </w:rPr>
        <w:t>K čl. II:</w:t>
      </w:r>
    </w:p>
    <w:p w:rsidR="00112F48" w:rsidP="00112F48">
      <w:pPr>
        <w:rPr>
          <w:rFonts w:ascii="Times New Roman" w:hAnsi="Times New Roman" w:cs="Times New Roman"/>
        </w:rPr>
      </w:pPr>
    </w:p>
    <w:p w:rsidR="00112F48" w:rsidP="00112F48">
      <w:pPr>
        <w:jc w:val="both"/>
        <w:rPr>
          <w:rFonts w:ascii="Times New Roman" w:hAnsi="Times New Roman" w:cs="Times New Roman"/>
        </w:rPr>
      </w:pPr>
      <w:r>
        <w:rPr>
          <w:rFonts w:ascii="Times New Roman" w:hAnsi="Times New Roman" w:cs="Times New Roman"/>
        </w:rPr>
        <w:t xml:space="preserve">     Navrhuje sa, aby ustanovenia tejto novely zákona bolo možné aplikovať v praxi od           1. novembra 2003.</w:t>
      </w: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b/>
          <w:sz w:val="28"/>
          <w:szCs w:val="28"/>
        </w:rPr>
      </w:pPr>
      <w:r>
        <w:rPr>
          <w:rFonts w:ascii="Times New Roman" w:hAnsi="Times New Roman" w:cs="Times New Roman"/>
          <w:b/>
          <w:sz w:val="28"/>
          <w:szCs w:val="28"/>
        </w:rPr>
        <w:t xml:space="preserve">                                DOLOŽKA ZLUČITEĽNOSTI</w:t>
      </w:r>
    </w:p>
    <w:p w:rsidR="00112F48" w:rsidP="00112F48">
      <w:pPr>
        <w:rPr>
          <w:rFonts w:ascii="Times New Roman" w:hAnsi="Times New Roman" w:cs="Times New Roman"/>
          <w:b/>
          <w:sz w:val="28"/>
          <w:szCs w:val="28"/>
        </w:rPr>
      </w:pPr>
      <w:r>
        <w:rPr>
          <w:rFonts w:ascii="Times New Roman" w:hAnsi="Times New Roman" w:cs="Times New Roman"/>
          <w:b/>
          <w:sz w:val="28"/>
          <w:szCs w:val="28"/>
        </w:rPr>
        <w:t xml:space="preserve">                                                 návrhu zákona</w:t>
      </w:r>
    </w:p>
    <w:p w:rsidR="00112F48" w:rsidP="00112F48">
      <w:pPr>
        <w:pBdr>
          <w:bottom w:val="single" w:sz="6" w:space="1" w:color="auto"/>
        </w:pBdr>
        <w:rPr>
          <w:rFonts w:ascii="Times New Roman" w:hAnsi="Times New Roman" w:cs="Times New Roman"/>
          <w:sz w:val="28"/>
          <w:szCs w:val="28"/>
        </w:rPr>
      </w:pPr>
      <w:r>
        <w:rPr>
          <w:rFonts w:ascii="Times New Roman" w:hAnsi="Times New Roman" w:cs="Times New Roman"/>
          <w:b/>
          <w:sz w:val="28"/>
          <w:szCs w:val="28"/>
        </w:rPr>
        <w:t xml:space="preserve">      s právom Európskych spoločenstiev a právom Európskej únie</w:t>
      </w:r>
    </w:p>
    <w:p w:rsidR="00112F48" w:rsidRPr="004647A3"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r>
        <w:rPr>
          <w:rFonts w:ascii="Times New Roman" w:hAnsi="Times New Roman" w:cs="Times New Roman"/>
        </w:rPr>
        <w:t>1. Navrhovateľ právneho predpisu:</w:t>
      </w:r>
    </w:p>
    <w:p w:rsidR="00112F48" w:rsidP="00112F48">
      <w:pPr>
        <w:rPr>
          <w:rFonts w:ascii="Times New Roman" w:hAnsi="Times New Roman" w:cs="Times New Roman"/>
        </w:rPr>
      </w:pPr>
      <w:r>
        <w:rPr>
          <w:rFonts w:ascii="Times New Roman" w:hAnsi="Times New Roman" w:cs="Times New Roman"/>
        </w:rPr>
        <w:t xml:space="preserve">    Skupina poslancov Národnej rady Slovenskej republiky</w:t>
      </w: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r>
        <w:rPr>
          <w:rFonts w:ascii="Times New Roman" w:hAnsi="Times New Roman" w:cs="Times New Roman"/>
        </w:rPr>
        <w:t>2. Názov návrhu právneho predpisu:</w:t>
      </w:r>
    </w:p>
    <w:p w:rsidR="00112F48" w:rsidP="00112F48">
      <w:pPr>
        <w:jc w:val="both"/>
        <w:rPr>
          <w:rFonts w:ascii="Times New Roman" w:hAnsi="Times New Roman" w:cs="Times New Roman"/>
        </w:rPr>
      </w:pPr>
      <w:r>
        <w:rPr>
          <w:rFonts w:ascii="Times New Roman" w:hAnsi="Times New Roman" w:cs="Times New Roman"/>
        </w:rPr>
        <w:t xml:space="preserve">    Zákon, ktorým sa mení a dopĺňa zákon Slovenskej národnej rady č. 369/199O Zb. o obecnom zriadení v znení neskorších predpisov</w:t>
      </w: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jc w:val="both"/>
        <w:rPr>
          <w:rFonts w:ascii="Times New Roman" w:hAnsi="Times New Roman" w:cs="Times New Roman"/>
        </w:rPr>
      </w:pPr>
      <w:r>
        <w:rPr>
          <w:rFonts w:ascii="Times New Roman" w:hAnsi="Times New Roman" w:cs="Times New Roman"/>
        </w:rPr>
        <w:t>3.Záväzky Slovenskej republiky vo vzťahu k Európskym spoločenstvám a Európskej únii:</w:t>
      </w:r>
    </w:p>
    <w:p w:rsidR="00112F48" w:rsidP="00112F48">
      <w:pPr>
        <w:jc w:val="both"/>
        <w:rPr>
          <w:rFonts w:ascii="Times New Roman" w:hAnsi="Times New Roman" w:cs="Times New Roman"/>
        </w:rPr>
      </w:pPr>
      <w:r>
        <w:rPr>
          <w:rFonts w:ascii="Times New Roman" w:hAnsi="Times New Roman" w:cs="Times New Roman"/>
        </w:rPr>
        <w:t xml:space="preserve">   a) identifikácia predmetu návrhu právneho predpisu z pohľadu Európskej dohody o pridružení, Národného programu pre prijatie acquis communautaire, Partnerstva pre vstup, Bielej knihy, screeningu a plánu legislatívnych úloh vlády Slovenskej republiky: bezpredmetné</w:t>
      </w: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r>
        <w:rPr>
          <w:rFonts w:ascii="Times New Roman" w:hAnsi="Times New Roman" w:cs="Times New Roman"/>
        </w:rPr>
        <w:t>4.Problematika návrhu právneho predpisu:</w:t>
      </w:r>
    </w:p>
    <w:p w:rsidR="00112F48" w:rsidP="00112F48">
      <w:pPr>
        <w:rPr>
          <w:rFonts w:ascii="Times New Roman" w:hAnsi="Times New Roman" w:cs="Times New Roman"/>
        </w:rPr>
      </w:pPr>
      <w:r>
        <w:rPr>
          <w:rFonts w:ascii="Times New Roman" w:hAnsi="Times New Roman" w:cs="Times New Roman"/>
        </w:rPr>
        <w:t xml:space="preserve">   a) je upravená v práve Európskych spoločenstiev: -</w:t>
      </w:r>
    </w:p>
    <w:p w:rsidR="00112F48" w:rsidP="00112F48">
      <w:pPr>
        <w:rPr>
          <w:rFonts w:ascii="Times New Roman" w:hAnsi="Times New Roman" w:cs="Times New Roman"/>
        </w:rPr>
      </w:pPr>
      <w:r>
        <w:rPr>
          <w:rFonts w:ascii="Times New Roman" w:hAnsi="Times New Roman" w:cs="Times New Roman"/>
        </w:rPr>
        <w:t xml:space="preserve">   b) nie je upravená v práve Európskych spoločenstiev: -</w:t>
      </w:r>
    </w:p>
    <w:p w:rsidR="00112F48" w:rsidP="00112F48">
      <w:pPr>
        <w:rPr>
          <w:rFonts w:ascii="Times New Roman" w:hAnsi="Times New Roman" w:cs="Times New Roman"/>
        </w:rPr>
      </w:pPr>
      <w:r>
        <w:rPr>
          <w:rFonts w:ascii="Times New Roman" w:hAnsi="Times New Roman" w:cs="Times New Roman"/>
        </w:rPr>
        <w:t xml:space="preserve">   c) je upravená v práve Európskej únie:</w:t>
      </w:r>
    </w:p>
    <w:p w:rsidR="00112F48" w:rsidP="00112F48">
      <w:pPr>
        <w:rPr>
          <w:rFonts w:ascii="Times New Roman" w:hAnsi="Times New Roman" w:cs="Times New Roman"/>
        </w:rPr>
      </w:pPr>
      <w:r>
        <w:rPr>
          <w:rFonts w:ascii="Times New Roman" w:hAnsi="Times New Roman" w:cs="Times New Roman"/>
        </w:rPr>
        <w:t xml:space="preserve">       1. Európska dohoda o pridružení medzi Slovenskou republikou a Európskymi spoločenstvami</w:t>
      </w:r>
    </w:p>
    <w:p w:rsidR="00112F48" w:rsidP="00112F48">
      <w:pPr>
        <w:rPr>
          <w:rFonts w:ascii="Times New Roman" w:hAnsi="Times New Roman" w:cs="Times New Roman"/>
        </w:rPr>
      </w:pPr>
      <w:r>
        <w:rPr>
          <w:rFonts w:ascii="Times New Roman" w:hAnsi="Times New Roman" w:cs="Times New Roman"/>
        </w:rPr>
        <w:t xml:space="preserve">           a ich členskými štátmi (čl. 6) podpísaná v Luxemburgu 4. októbra 1993.</w:t>
      </w:r>
    </w:p>
    <w:p w:rsidR="00112F48" w:rsidP="00112F48">
      <w:pPr>
        <w:rPr>
          <w:rFonts w:ascii="Times New Roman" w:hAnsi="Times New Roman" w:cs="Times New Roman"/>
        </w:rPr>
      </w:pPr>
      <w:r>
        <w:rPr>
          <w:rFonts w:ascii="Times New Roman" w:hAnsi="Times New Roman" w:cs="Times New Roman"/>
        </w:rPr>
        <w:t xml:space="preserve">       2. Zmluva o Európskej únii (čl. 6 bod 2) podpísaná v Maastrichte 9. februára 1992 v znení</w:t>
      </w:r>
    </w:p>
    <w:p w:rsidR="00112F48" w:rsidP="00112F48">
      <w:pPr>
        <w:rPr>
          <w:rFonts w:ascii="Times New Roman" w:hAnsi="Times New Roman" w:cs="Times New Roman"/>
        </w:rPr>
      </w:pPr>
      <w:r>
        <w:rPr>
          <w:rFonts w:ascii="Times New Roman" w:hAnsi="Times New Roman" w:cs="Times New Roman"/>
        </w:rPr>
        <w:t xml:space="preserve">           Amsterdamskej zmluvy.</w:t>
      </w:r>
    </w:p>
    <w:p w:rsidR="00112F48" w:rsidP="00112F48">
      <w:pPr>
        <w:rPr>
          <w:rFonts w:ascii="Times New Roman" w:hAnsi="Times New Roman" w:cs="Times New Roman"/>
        </w:rPr>
      </w:pPr>
      <w:r>
        <w:rPr>
          <w:rFonts w:ascii="Times New Roman" w:hAnsi="Times New Roman" w:cs="Times New Roman"/>
        </w:rPr>
        <w:t xml:space="preserve">   d) nie je upravená v práve Európskej únie: -</w:t>
      </w: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r>
        <w:rPr>
          <w:rFonts w:ascii="Times New Roman" w:hAnsi="Times New Roman" w:cs="Times New Roman"/>
        </w:rPr>
        <w:t>5.Stupeň zlučiteľnosti návrhu právneho predpisu s právom Európskej únie:</w:t>
      </w:r>
    </w:p>
    <w:p w:rsidR="00112F48" w:rsidP="00112F48">
      <w:pPr>
        <w:rPr>
          <w:rFonts w:ascii="Times New Roman" w:hAnsi="Times New Roman" w:cs="Times New Roman"/>
        </w:rPr>
      </w:pPr>
      <w:r>
        <w:rPr>
          <w:rFonts w:ascii="Times New Roman" w:hAnsi="Times New Roman" w:cs="Times New Roman"/>
        </w:rPr>
        <w:t xml:space="preserve">    Ú – úplná</w:t>
      </w: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r>
        <w:rPr>
          <w:rFonts w:ascii="Times New Roman" w:hAnsi="Times New Roman" w:cs="Times New Roman"/>
        </w:rPr>
        <w:t>6.Gestor:</w:t>
      </w:r>
    </w:p>
    <w:p w:rsidR="00112F48" w:rsidP="00112F48">
      <w:pPr>
        <w:rPr>
          <w:rFonts w:ascii="Times New Roman" w:hAnsi="Times New Roman" w:cs="Times New Roman"/>
        </w:rPr>
      </w:pPr>
      <w:r>
        <w:rPr>
          <w:rFonts w:ascii="Times New Roman" w:hAnsi="Times New Roman" w:cs="Times New Roman"/>
        </w:rPr>
        <w:t xml:space="preserve">    bezpredmetné</w:t>
      </w: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jc w:val="both"/>
        <w:rPr>
          <w:rFonts w:ascii="Times New Roman" w:hAnsi="Times New Roman" w:cs="Times New Roman"/>
        </w:rPr>
      </w:pPr>
      <w:r>
        <w:rPr>
          <w:rFonts w:ascii="Times New Roman" w:hAnsi="Times New Roman" w:cs="Times New Roman"/>
        </w:rPr>
        <w:t>7.Účasť expertov pri príprave návrhu právneho predpisu a ich stanovisko k zlučiteľnosti návrhu právneho predpisu s právom Európskych spoločenstiev a právom Európskej únie:     bezpredmetné</w:t>
      </w: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RPr="0074083E" w:rsidP="00112F48">
      <w:pPr>
        <w:rPr>
          <w:rFonts w:ascii="Times New Roman" w:hAnsi="Times New Roman" w:cs="Times New Roman"/>
          <w:b/>
        </w:rPr>
      </w:pPr>
    </w:p>
    <w:p w:rsidR="00112F48" w:rsidP="00112F48">
      <w:pPr>
        <w:rPr>
          <w:rFonts w:ascii="Times New Roman" w:hAnsi="Times New Roman" w:cs="Times New Roman"/>
        </w:rPr>
      </w:pPr>
      <w:r>
        <w:rPr>
          <w:rFonts w:ascii="Times New Roman" w:hAnsi="Times New Roman" w:cs="Times New Roman"/>
        </w:rPr>
        <w:t xml:space="preserve">                                                                                                                   Príloha č. 1</w:t>
      </w:r>
    </w:p>
    <w:p w:rsidR="00112F48" w:rsidP="00112F48">
      <w:pPr>
        <w:rPr>
          <w:rFonts w:ascii="Times New Roman" w:hAnsi="Times New Roman" w:cs="Times New Roman"/>
        </w:rPr>
      </w:pPr>
      <w:r>
        <w:rPr>
          <w:rFonts w:ascii="Times New Roman" w:hAnsi="Times New Roman" w:cs="Times New Roman"/>
        </w:rPr>
        <w:t xml:space="preserve">                                                                                                                   k zákonu č. ......../2003 Z.z.</w:t>
      </w: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594"/>
        <w:gridCol w:w="1485"/>
        <w:gridCol w:w="1870"/>
        <w:gridCol w:w="3089"/>
        <w:gridCol w:w="2104"/>
      </w:tblGrid>
      <w:tr>
        <w:tblPrEx>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720"/>
        </w:trPr>
        <w:tc>
          <w:tcPr>
            <w:tcW w:w="5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b/>
              </w:rPr>
            </w:pPr>
            <w:r w:rsidRPr="003E7626">
              <w:rPr>
                <w:rFonts w:ascii="Times New Roman" w:hAnsi="Times New Roman" w:cs="Times New Roman"/>
                <w:b/>
              </w:rPr>
              <w:t>Por.</w:t>
            </w:r>
          </w:p>
          <w:p w:rsidR="00112F48" w:rsidP="00112F48">
            <w:pPr>
              <w:rPr>
                <w:rFonts w:ascii="Times New Roman" w:hAnsi="Times New Roman" w:cs="Times New Roman"/>
                <w:b/>
              </w:rPr>
            </w:pPr>
            <w:r>
              <w:rPr>
                <w:rFonts w:ascii="Times New Roman" w:hAnsi="Times New Roman" w:cs="Times New Roman"/>
                <w:b/>
              </w:rPr>
              <w:t>č</w:t>
            </w:r>
            <w:r w:rsidRPr="003E7626">
              <w:rPr>
                <w:rFonts w:ascii="Times New Roman" w:hAnsi="Times New Roman" w:cs="Times New Roman"/>
                <w:b/>
              </w:rPr>
              <w:t>íslo</w:t>
            </w:r>
          </w:p>
          <w:p w:rsidR="00112F48" w:rsidP="00112F48">
            <w:pPr>
              <w:rPr>
                <w:rFonts w:ascii="Times New Roman" w:hAnsi="Times New Roman" w:cs="Times New Roman"/>
              </w:rPr>
            </w:pPr>
          </w:p>
        </w:tc>
        <w:tc>
          <w:tcPr>
            <w:tcW w:w="15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b/>
              </w:rPr>
            </w:pPr>
            <w:r w:rsidRPr="003E7626">
              <w:rPr>
                <w:rFonts w:ascii="Times New Roman" w:hAnsi="Times New Roman" w:cs="Times New Roman"/>
                <w:b/>
              </w:rPr>
              <w:t xml:space="preserve">Názov </w:t>
            </w:r>
            <w:r>
              <w:rPr>
                <w:rFonts w:ascii="Times New Roman" w:hAnsi="Times New Roman" w:cs="Times New Roman"/>
                <w:b/>
              </w:rPr>
              <w:t>okresu</w:t>
            </w:r>
          </w:p>
          <w:p w:rsidR="00112F48" w:rsidP="00112F48">
            <w:pPr>
              <w:rPr>
                <w:rFonts w:ascii="Times New Roman" w:hAnsi="Times New Roman" w:cs="Times New Roman"/>
                <w:b/>
              </w:rPr>
            </w:pPr>
          </w:p>
          <w:p w:rsidR="00112F48" w:rsidP="00112F48">
            <w:pPr>
              <w:rPr>
                <w:rFonts w:ascii="Times New Roman" w:hAnsi="Times New Roman" w:cs="Times New Roman"/>
              </w:rPr>
            </w:pPr>
          </w:p>
        </w:tc>
        <w:tc>
          <w:tcPr>
            <w:tcW w:w="187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ind w:left="125"/>
              <w:rPr>
                <w:rFonts w:ascii="Times New Roman" w:hAnsi="Times New Roman" w:cs="Times New Roman"/>
                <w:b/>
              </w:rPr>
            </w:pPr>
            <w:r>
              <w:rPr>
                <w:rFonts w:ascii="Times New Roman" w:hAnsi="Times New Roman" w:cs="Times New Roman"/>
                <w:b/>
              </w:rPr>
              <w:t>Názov obce</w:t>
            </w:r>
          </w:p>
          <w:p w:rsidR="00112F48" w:rsidP="00112F48">
            <w:pPr>
              <w:ind w:left="1730"/>
              <w:rPr>
                <w:rFonts w:ascii="Times New Roman" w:hAnsi="Times New Roman" w:cs="Times New Roman"/>
                <w:b/>
              </w:rPr>
            </w:pPr>
          </w:p>
          <w:p w:rsidR="00112F48" w:rsidP="00112F48">
            <w:pPr>
              <w:rPr>
                <w:rFonts w:ascii="Times New Roman" w:hAnsi="Times New Roman" w:cs="Times New Roman"/>
              </w:rPr>
            </w:pPr>
          </w:p>
        </w:tc>
        <w:tc>
          <w:tcPr>
            <w:tcW w:w="33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b/>
              </w:rPr>
            </w:pPr>
            <w:r w:rsidRPr="003E7626">
              <w:rPr>
                <w:rFonts w:ascii="Times New Roman" w:hAnsi="Times New Roman" w:cs="Times New Roman"/>
                <w:b/>
              </w:rPr>
              <w:t>Názov katastrálneho územia,</w:t>
            </w:r>
          </w:p>
          <w:p w:rsidR="00112F48" w:rsidRPr="003E7626" w:rsidP="00112F48">
            <w:pPr>
              <w:rPr>
                <w:rFonts w:ascii="Times New Roman" w:hAnsi="Times New Roman" w:cs="Times New Roman"/>
                <w:b/>
              </w:rPr>
            </w:pPr>
            <w:r>
              <w:rPr>
                <w:rFonts w:ascii="Times New Roman" w:hAnsi="Times New Roman" w:cs="Times New Roman"/>
                <w:b/>
              </w:rPr>
              <w:t>ktoré leží mimo územia obce</w:t>
            </w:r>
            <w:r w:rsidRPr="003E7626">
              <w:rPr>
                <w:rFonts w:ascii="Times New Roman" w:hAnsi="Times New Roman" w:cs="Times New Roman"/>
                <w:b/>
              </w:rPr>
              <w:t xml:space="preserve"> </w:t>
            </w:r>
          </w:p>
          <w:p w:rsidR="00112F48" w:rsidP="00112F48">
            <w:pPr>
              <w:rPr>
                <w:rFonts w:ascii="Times New Roman" w:hAnsi="Times New Roman" w:cs="Times New Roman"/>
                <w:b/>
              </w:rPr>
            </w:pPr>
          </w:p>
          <w:p w:rsidR="00112F48" w:rsidP="00112F48">
            <w:pPr>
              <w:rPr>
                <w:rFonts w:ascii="Times New Roman" w:hAnsi="Times New Roman" w:cs="Times New Roman"/>
              </w:rPr>
            </w:pPr>
          </w:p>
        </w:tc>
        <w:tc>
          <w:tcPr>
            <w:tcW w:w="22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b/>
              </w:rPr>
            </w:pPr>
            <w:r w:rsidRPr="003E7626">
              <w:rPr>
                <w:rFonts w:ascii="Times New Roman" w:hAnsi="Times New Roman" w:cs="Times New Roman"/>
                <w:b/>
              </w:rPr>
              <w:t xml:space="preserve">Katastrálne </w:t>
            </w:r>
            <w:r>
              <w:rPr>
                <w:rFonts w:ascii="Times New Roman" w:hAnsi="Times New Roman" w:cs="Times New Roman"/>
                <w:b/>
              </w:rPr>
              <w:t>územie</w:t>
            </w:r>
          </w:p>
          <w:p w:rsidR="00112F48" w:rsidRPr="00314B8E" w:rsidP="00112F48">
            <w:pPr>
              <w:rPr>
                <w:rFonts w:ascii="Times New Roman" w:hAnsi="Times New Roman" w:cs="Times New Roman"/>
                <w:b/>
              </w:rPr>
            </w:pPr>
            <w:r>
              <w:rPr>
                <w:rFonts w:ascii="Times New Roman" w:hAnsi="Times New Roman" w:cs="Times New Roman"/>
                <w:b/>
              </w:rPr>
              <w:t>sa pričlení k obci</w:t>
            </w:r>
          </w:p>
          <w:p w:rsidR="00112F48" w:rsidRPr="003E7626" w:rsidP="00112F48">
            <w:pPr>
              <w:ind w:left="220"/>
              <w:rPr>
                <w:rFonts w:ascii="Times New Roman" w:hAnsi="Times New Roman" w:cs="Times New Roman"/>
                <w:b/>
              </w:rPr>
            </w:pPr>
          </w:p>
          <w:p w:rsidR="00112F48" w:rsidP="00112F48">
            <w:pPr>
              <w:rPr>
                <w:rFonts w:ascii="Times New Roman" w:hAnsi="Times New Roman" w:cs="Times New Roman"/>
              </w:rPr>
            </w:pPr>
          </w:p>
        </w:tc>
      </w:tr>
      <w:tr>
        <w:tblPrEx>
          <w:tblW w:w="0" w:type="auto"/>
          <w:tblInd w:w="70" w:type="dxa"/>
          <w:tblCellMar>
            <w:top w:w="0" w:type="dxa"/>
            <w:left w:w="70" w:type="dxa"/>
            <w:bottom w:w="0" w:type="dxa"/>
            <w:right w:w="70" w:type="dxa"/>
          </w:tblCellMar>
        </w:tblPrEx>
        <w:trPr>
          <w:trHeight w:val="315"/>
        </w:trPr>
        <w:tc>
          <w:tcPr>
            <w:tcW w:w="5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rPr>
            </w:pPr>
            <w:r>
              <w:rPr>
                <w:rFonts w:ascii="Times New Roman" w:hAnsi="Times New Roman" w:cs="Times New Roman"/>
              </w:rPr>
              <w:t xml:space="preserve">  1.</w:t>
            </w:r>
          </w:p>
        </w:tc>
        <w:tc>
          <w:tcPr>
            <w:tcW w:w="15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rPr>
            </w:pPr>
            <w:r>
              <w:rPr>
                <w:rFonts w:ascii="Times New Roman" w:hAnsi="Times New Roman" w:cs="Times New Roman"/>
              </w:rPr>
              <w:t xml:space="preserve">   Kežmarok</w:t>
            </w:r>
          </w:p>
        </w:tc>
        <w:tc>
          <w:tcPr>
            <w:tcW w:w="187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rPr>
            </w:pPr>
            <w:r>
              <w:rPr>
                <w:rFonts w:ascii="Times New Roman" w:hAnsi="Times New Roman" w:cs="Times New Roman"/>
              </w:rPr>
              <w:t xml:space="preserve">     Kežmarok</w:t>
            </w:r>
          </w:p>
        </w:tc>
        <w:tc>
          <w:tcPr>
            <w:tcW w:w="33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rPr>
            </w:pPr>
            <w:r>
              <w:rPr>
                <w:rFonts w:ascii="Times New Roman" w:hAnsi="Times New Roman" w:cs="Times New Roman"/>
              </w:rPr>
              <w:t xml:space="preserve">                   Ľubica</w:t>
            </w:r>
          </w:p>
        </w:tc>
        <w:tc>
          <w:tcPr>
            <w:tcW w:w="22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rPr>
            </w:pPr>
            <w:r>
              <w:rPr>
                <w:rFonts w:ascii="Times New Roman" w:hAnsi="Times New Roman" w:cs="Times New Roman"/>
              </w:rPr>
              <w:t xml:space="preserve">         Kežmarok</w:t>
            </w:r>
          </w:p>
        </w:tc>
      </w:tr>
    </w:tbl>
    <w:p w:rsidR="00112F48" w:rsidP="00112F48">
      <w:pPr>
        <w:rPr>
          <w:rFonts w:ascii="Times New Roman" w:hAnsi="Times New Roman" w:cs="Times New Roman"/>
        </w:rPr>
      </w:pPr>
      <w:r>
        <w:rPr>
          <w:rFonts w:ascii="Times New Roman" w:hAnsi="Times New Roman" w:cs="Times New Roman"/>
        </w:rPr>
        <w:t xml:space="preserve"> </w:t>
      </w: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r>
        <w:rPr>
          <w:rFonts w:ascii="Times New Roman" w:hAnsi="Times New Roman" w:cs="Times New Roman"/>
        </w:rPr>
        <w:t xml:space="preserve">                                                                                                              Príloha č. 2</w:t>
      </w:r>
    </w:p>
    <w:p w:rsidR="00112F48" w:rsidP="00112F48">
      <w:pPr>
        <w:rPr>
          <w:rFonts w:ascii="Times New Roman" w:hAnsi="Times New Roman" w:cs="Times New Roman"/>
        </w:rPr>
      </w:pPr>
      <w:r>
        <w:rPr>
          <w:rFonts w:ascii="Times New Roman" w:hAnsi="Times New Roman" w:cs="Times New Roman"/>
        </w:rPr>
        <w:t xml:space="preserve">                                                                                                              k zákonu č. .........../2003 Z.z.</w:t>
      </w: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1062"/>
        <w:gridCol w:w="14"/>
        <w:gridCol w:w="1800"/>
        <w:gridCol w:w="11"/>
        <w:gridCol w:w="2300"/>
        <w:gridCol w:w="25"/>
        <w:gridCol w:w="10"/>
        <w:gridCol w:w="3920"/>
      </w:tblGrid>
      <w:tr>
        <w:tblPrEx>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660"/>
        </w:trPr>
        <w:tc>
          <w:tcPr>
            <w:tcW w:w="106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RPr="001246F3" w:rsidP="00112F48">
            <w:pPr>
              <w:rPr>
                <w:rFonts w:ascii="Times New Roman" w:hAnsi="Times New Roman" w:cs="Times New Roman"/>
                <w:b/>
              </w:rPr>
            </w:pPr>
            <w:r>
              <w:rPr>
                <w:rFonts w:ascii="Times New Roman" w:hAnsi="Times New Roman" w:cs="Times New Roman"/>
                <w:b/>
              </w:rPr>
              <w:t xml:space="preserve">Por.číslo </w:t>
            </w:r>
            <w:r w:rsidRPr="001246F3">
              <w:rPr>
                <w:rFonts w:ascii="Times New Roman" w:hAnsi="Times New Roman" w:cs="Times New Roman"/>
                <w:b/>
              </w:rPr>
              <w:t xml:space="preserve"> </w:t>
            </w:r>
            <w:r>
              <w:rPr>
                <w:rFonts w:ascii="Times New Roman" w:hAnsi="Times New Roman" w:cs="Times New Roman"/>
                <w:b/>
              </w:rPr>
              <w:t xml:space="preserve">                   </w:t>
            </w:r>
          </w:p>
          <w:p w:rsidR="00112F48" w:rsidP="00112F48">
            <w:pPr>
              <w:rPr>
                <w:rFonts w:ascii="Times New Roman" w:hAnsi="Times New Roman" w:cs="Times New Roman"/>
              </w:rPr>
            </w:pPr>
          </w:p>
        </w:tc>
        <w:tc>
          <w:tcPr>
            <w:tcW w:w="1825"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RPr="001246F3" w:rsidP="00112F48">
            <w:pPr>
              <w:rPr>
                <w:rFonts w:ascii="Times New Roman" w:hAnsi="Times New Roman" w:cs="Times New Roman"/>
                <w:b/>
              </w:rPr>
            </w:pPr>
            <w:r>
              <w:rPr>
                <w:rFonts w:ascii="Times New Roman" w:hAnsi="Times New Roman" w:cs="Times New Roman"/>
                <w:b/>
              </w:rPr>
              <w:t xml:space="preserve"> </w:t>
            </w:r>
            <w:r w:rsidRPr="001246F3">
              <w:rPr>
                <w:rFonts w:ascii="Times New Roman" w:hAnsi="Times New Roman" w:cs="Times New Roman"/>
                <w:b/>
              </w:rPr>
              <w:t>Názov okresu</w:t>
            </w:r>
          </w:p>
          <w:p w:rsidR="00112F48" w:rsidRPr="001246F3" w:rsidP="00112F48">
            <w:pPr>
              <w:rPr>
                <w:rFonts w:ascii="Times New Roman" w:hAnsi="Times New Roman" w:cs="Times New Roman"/>
                <w:b/>
              </w:rPr>
            </w:pPr>
          </w:p>
          <w:p w:rsidR="00112F48" w:rsidP="00112F48">
            <w:pPr>
              <w:rPr>
                <w:rFonts w:ascii="Times New Roman" w:hAnsi="Times New Roman" w:cs="Times New Roman"/>
              </w:rPr>
            </w:pPr>
          </w:p>
        </w:tc>
        <w:tc>
          <w:tcPr>
            <w:tcW w:w="248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RPr="001246F3" w:rsidP="00112F48">
            <w:pPr>
              <w:rPr>
                <w:rFonts w:ascii="Times New Roman" w:hAnsi="Times New Roman" w:cs="Times New Roman"/>
                <w:b/>
              </w:rPr>
            </w:pPr>
            <w:r>
              <w:rPr>
                <w:rFonts w:ascii="Times New Roman" w:hAnsi="Times New Roman" w:cs="Times New Roman"/>
                <w:b/>
              </w:rPr>
              <w:t xml:space="preserve"> </w:t>
            </w:r>
            <w:r w:rsidRPr="001246F3">
              <w:rPr>
                <w:rFonts w:ascii="Times New Roman" w:hAnsi="Times New Roman" w:cs="Times New Roman"/>
                <w:b/>
              </w:rPr>
              <w:t xml:space="preserve">Názov obce </w:t>
            </w:r>
          </w:p>
          <w:p w:rsidR="00112F48" w:rsidP="00112F48">
            <w:pPr>
              <w:rPr>
                <w:rFonts w:ascii="Times New Roman" w:hAnsi="Times New Roman" w:cs="Times New Roman"/>
              </w:rPr>
            </w:pPr>
          </w:p>
          <w:p w:rsidR="00112F48" w:rsidP="00112F48">
            <w:pPr>
              <w:rPr>
                <w:rFonts w:ascii="Times New Roman" w:hAnsi="Times New Roman" w:cs="Times New Roman"/>
              </w:rPr>
            </w:pPr>
          </w:p>
        </w:tc>
        <w:tc>
          <w:tcPr>
            <w:tcW w:w="4260"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RPr="001246F3" w:rsidP="00112F48">
            <w:pPr>
              <w:rPr>
                <w:rFonts w:ascii="Times New Roman" w:hAnsi="Times New Roman" w:cs="Times New Roman"/>
                <w:b/>
              </w:rPr>
            </w:pPr>
            <w:r>
              <w:rPr>
                <w:rFonts w:ascii="Times New Roman" w:hAnsi="Times New Roman" w:cs="Times New Roman"/>
                <w:b/>
              </w:rPr>
              <w:t xml:space="preserve"> </w:t>
            </w:r>
            <w:r w:rsidRPr="001246F3">
              <w:rPr>
                <w:rFonts w:ascii="Times New Roman" w:hAnsi="Times New Roman" w:cs="Times New Roman"/>
                <w:b/>
              </w:rPr>
              <w:t>Názov katastrálneho územia, ktoré</w:t>
            </w:r>
          </w:p>
          <w:p w:rsidR="00112F48" w:rsidRPr="001246F3" w:rsidP="00112F48">
            <w:pPr>
              <w:rPr>
                <w:rFonts w:ascii="Times New Roman" w:hAnsi="Times New Roman" w:cs="Times New Roman"/>
                <w:b/>
              </w:rPr>
            </w:pPr>
            <w:r>
              <w:rPr>
                <w:rFonts w:ascii="Times New Roman" w:hAnsi="Times New Roman" w:cs="Times New Roman"/>
                <w:b/>
              </w:rPr>
              <w:t xml:space="preserve"> </w:t>
            </w:r>
            <w:r w:rsidRPr="001246F3">
              <w:rPr>
                <w:rFonts w:ascii="Times New Roman" w:hAnsi="Times New Roman" w:cs="Times New Roman"/>
                <w:b/>
              </w:rPr>
              <w:t>leží mimo územia obce</w:t>
            </w:r>
          </w:p>
          <w:p w:rsidR="00112F48" w:rsidRPr="001246F3" w:rsidP="00112F48">
            <w:pPr>
              <w:rPr>
                <w:rFonts w:ascii="Times New Roman" w:hAnsi="Times New Roman" w:cs="Times New Roman"/>
                <w:b/>
              </w:rPr>
            </w:pPr>
          </w:p>
        </w:tc>
      </w:tr>
      <w:tr>
        <w:tblPrEx>
          <w:tblW w:w="0" w:type="auto"/>
          <w:tblInd w:w="70" w:type="dxa"/>
          <w:tblCellMar>
            <w:top w:w="0" w:type="dxa"/>
            <w:left w:w="70" w:type="dxa"/>
            <w:bottom w:w="0" w:type="dxa"/>
            <w:right w:w="70" w:type="dxa"/>
          </w:tblCellMar>
        </w:tblPrEx>
        <w:trPr>
          <w:trHeight w:val="435"/>
        </w:trPr>
        <w:tc>
          <w:tcPr>
            <w:tcW w:w="9633"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RPr="001246F3" w:rsidP="00112F48">
            <w:pPr>
              <w:rPr>
                <w:rFonts w:ascii="Times New Roman" w:hAnsi="Times New Roman" w:cs="Times New Roman"/>
                <w:b/>
              </w:rPr>
            </w:pPr>
            <w:r>
              <w:rPr>
                <w:rFonts w:ascii="Times New Roman" w:hAnsi="Times New Roman" w:cs="Times New Roman"/>
                <w:b/>
              </w:rPr>
              <w:t xml:space="preserve">                                                      Nitriansky kraj</w:t>
            </w:r>
          </w:p>
        </w:tc>
      </w:tr>
      <w:tr>
        <w:tblPrEx>
          <w:tblW w:w="0" w:type="auto"/>
          <w:tblInd w:w="70" w:type="dxa"/>
          <w:tblCellMar>
            <w:top w:w="0" w:type="dxa"/>
            <w:left w:w="70" w:type="dxa"/>
            <w:bottom w:w="0" w:type="dxa"/>
            <w:right w:w="70" w:type="dxa"/>
          </w:tblCellMar>
        </w:tblPrEx>
        <w:trPr>
          <w:trHeight w:val="675"/>
        </w:trPr>
        <w:tc>
          <w:tcPr>
            <w:tcW w:w="106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rPr>
            </w:pPr>
            <w:r>
              <w:rPr>
                <w:rFonts w:ascii="Times New Roman" w:hAnsi="Times New Roman" w:cs="Times New Roman"/>
              </w:rPr>
              <w:t xml:space="preserve">     1.           </w:t>
            </w:r>
          </w:p>
        </w:tc>
        <w:tc>
          <w:tcPr>
            <w:tcW w:w="1825"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rPr>
            </w:pPr>
            <w:r>
              <w:rPr>
                <w:rFonts w:ascii="Times New Roman" w:hAnsi="Times New Roman" w:cs="Times New Roman"/>
              </w:rPr>
              <w:t xml:space="preserve">Nitra                   </w:t>
            </w:r>
          </w:p>
        </w:tc>
        <w:tc>
          <w:tcPr>
            <w:tcW w:w="248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rPr>
            </w:pPr>
            <w:r>
              <w:rPr>
                <w:rFonts w:ascii="Times New Roman" w:hAnsi="Times New Roman" w:cs="Times New Roman"/>
              </w:rPr>
              <w:t xml:space="preserve">Nitra                                 </w:t>
            </w:r>
          </w:p>
        </w:tc>
        <w:tc>
          <w:tcPr>
            <w:tcW w:w="4260"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rPr>
            </w:pPr>
            <w:r>
              <w:rPr>
                <w:rFonts w:ascii="Times New Roman" w:hAnsi="Times New Roman" w:cs="Times New Roman"/>
              </w:rPr>
              <w:t>Dolné Štitáre</w:t>
            </w:r>
          </w:p>
        </w:tc>
      </w:tr>
      <w:tr>
        <w:tblPrEx>
          <w:tblW w:w="0" w:type="auto"/>
          <w:tblInd w:w="70" w:type="dxa"/>
          <w:tblCellMar>
            <w:top w:w="0" w:type="dxa"/>
            <w:left w:w="70" w:type="dxa"/>
            <w:bottom w:w="0" w:type="dxa"/>
            <w:right w:w="70" w:type="dxa"/>
          </w:tblCellMar>
        </w:tblPrEx>
        <w:trPr>
          <w:trHeight w:val="510"/>
        </w:trPr>
        <w:tc>
          <w:tcPr>
            <w:tcW w:w="9633"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b/>
              </w:rPr>
            </w:pPr>
            <w:r w:rsidRPr="001246F3">
              <w:rPr>
                <w:rFonts w:ascii="Times New Roman" w:hAnsi="Times New Roman" w:cs="Times New Roman"/>
                <w:b/>
              </w:rPr>
              <w:t xml:space="preserve">  </w:t>
            </w:r>
            <w:r>
              <w:rPr>
                <w:rFonts w:ascii="Times New Roman" w:hAnsi="Times New Roman" w:cs="Times New Roman"/>
                <w:b/>
              </w:rPr>
              <w:t xml:space="preserve">  </w:t>
            </w:r>
            <w:r w:rsidRPr="001246F3">
              <w:rPr>
                <w:rFonts w:ascii="Times New Roman" w:hAnsi="Times New Roman" w:cs="Times New Roman"/>
                <w:b/>
              </w:rPr>
              <w:t xml:space="preserve">                                             Banskobystrický kraj</w:t>
            </w:r>
          </w:p>
        </w:tc>
      </w:tr>
      <w:tr>
        <w:tblPrEx>
          <w:tblW w:w="0" w:type="auto"/>
          <w:tblInd w:w="70" w:type="dxa"/>
          <w:tblCellMar>
            <w:top w:w="0" w:type="dxa"/>
            <w:left w:w="70" w:type="dxa"/>
            <w:bottom w:w="0" w:type="dxa"/>
            <w:right w:w="70" w:type="dxa"/>
          </w:tblCellMar>
        </w:tblPrEx>
        <w:trPr>
          <w:trHeight w:val="480"/>
        </w:trPr>
        <w:tc>
          <w:tcPr>
            <w:tcW w:w="106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2.</w:t>
            </w:r>
          </w:p>
          <w:p w:rsidR="00112F48" w:rsidRPr="001246F3" w:rsidP="00112F48">
            <w:pPr>
              <w:rPr>
                <w:rFonts w:ascii="Times New Roman" w:hAnsi="Times New Roman" w:cs="Times New Roman"/>
                <w:b/>
              </w:rPr>
            </w:pPr>
          </w:p>
        </w:tc>
        <w:tc>
          <w:tcPr>
            <w:tcW w:w="1825" w:type="dxa"/>
            <w:gridSpan w:val="3"/>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ind w:left="5"/>
              <w:rPr>
                <w:rFonts w:ascii="Times New Roman" w:hAnsi="Times New Roman" w:cs="Times New Roman"/>
              </w:rPr>
            </w:pPr>
            <w:r>
              <w:rPr>
                <w:rFonts w:ascii="Times New Roman" w:hAnsi="Times New Roman" w:cs="Times New Roman"/>
              </w:rPr>
              <w:t>Zvolen</w:t>
            </w:r>
          </w:p>
          <w:p w:rsidR="00112F48" w:rsidP="00112F48">
            <w:pPr>
              <w:rPr>
                <w:rFonts w:ascii="Times New Roman" w:hAnsi="Times New Roman" w:cs="Times New Roman"/>
                <w:b/>
              </w:rPr>
            </w:pPr>
          </w:p>
          <w:p w:rsidR="00112F48" w:rsidP="00112F48">
            <w:pPr>
              <w:ind w:left="1685"/>
              <w:rPr>
                <w:rFonts w:ascii="Times New Roman" w:hAnsi="Times New Roman" w:cs="Times New Roman"/>
              </w:rPr>
            </w:pPr>
          </w:p>
          <w:p w:rsidR="00112F48" w:rsidP="00112F48">
            <w:pPr>
              <w:rPr>
                <w:rFonts w:ascii="Times New Roman" w:hAnsi="Times New Roman" w:cs="Times New Roman"/>
                <w:b/>
              </w:rPr>
            </w:pPr>
          </w:p>
          <w:p w:rsidR="00112F48" w:rsidRPr="001246F3" w:rsidP="00112F48">
            <w:pPr>
              <w:rPr>
                <w:rFonts w:ascii="Times New Roman" w:hAnsi="Times New Roman" w:cs="Times New Roman"/>
                <w:b/>
              </w:rPr>
            </w:pPr>
          </w:p>
        </w:tc>
        <w:tc>
          <w:tcPr>
            <w:tcW w:w="2520"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ind w:left="10"/>
              <w:rPr>
                <w:rFonts w:ascii="Times New Roman" w:hAnsi="Times New Roman" w:cs="Times New Roman"/>
              </w:rPr>
            </w:pPr>
            <w:r>
              <w:rPr>
                <w:rFonts w:ascii="Times New Roman" w:hAnsi="Times New Roman" w:cs="Times New Roman"/>
              </w:rPr>
              <w:t>Sliač</w:t>
            </w:r>
          </w:p>
          <w:p w:rsidR="00112F48" w:rsidRPr="001246F3" w:rsidP="00112F48">
            <w:pPr>
              <w:rPr>
                <w:rFonts w:ascii="Times New Roman" w:hAnsi="Times New Roman" w:cs="Times New Roman"/>
                <w:b/>
              </w:rPr>
            </w:pPr>
          </w:p>
        </w:tc>
        <w:tc>
          <w:tcPr>
            <w:tcW w:w="42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ind w:left="15"/>
              <w:rPr>
                <w:rFonts w:ascii="Times New Roman" w:hAnsi="Times New Roman" w:cs="Times New Roman"/>
              </w:rPr>
            </w:pPr>
            <w:r>
              <w:rPr>
                <w:rFonts w:ascii="Times New Roman" w:hAnsi="Times New Roman" w:cs="Times New Roman"/>
              </w:rPr>
              <w:t>Sampor</w:t>
            </w:r>
          </w:p>
          <w:p w:rsidR="00112F48" w:rsidRPr="001246F3" w:rsidP="00112F48">
            <w:pPr>
              <w:ind w:left="80"/>
              <w:rPr>
                <w:rFonts w:ascii="Times New Roman" w:hAnsi="Times New Roman" w:cs="Times New Roman"/>
                <w:b/>
              </w:rPr>
            </w:pPr>
          </w:p>
        </w:tc>
      </w:tr>
      <w:tr>
        <w:tblPrEx>
          <w:tblW w:w="0" w:type="auto"/>
          <w:tblInd w:w="70" w:type="dxa"/>
          <w:tblCellMar>
            <w:top w:w="0" w:type="dxa"/>
            <w:left w:w="70" w:type="dxa"/>
            <w:bottom w:w="0" w:type="dxa"/>
            <w:right w:w="70" w:type="dxa"/>
          </w:tblCellMar>
        </w:tblPrEx>
        <w:trPr>
          <w:trHeight w:val="465"/>
        </w:trPr>
        <w:tc>
          <w:tcPr>
            <w:tcW w:w="106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rPr>
            </w:pPr>
            <w:r>
              <w:rPr>
                <w:rFonts w:ascii="Times New Roman" w:hAnsi="Times New Roman" w:cs="Times New Roman"/>
              </w:rPr>
              <w:t xml:space="preserve">      3.</w:t>
            </w:r>
          </w:p>
          <w:p w:rsidR="00112F48" w:rsidP="00112F48">
            <w:pPr>
              <w:rPr>
                <w:rFonts w:ascii="Times New Roman" w:hAnsi="Times New Roman" w:cs="Times New Roman"/>
                <w:b/>
              </w:rPr>
            </w:pPr>
          </w:p>
        </w:tc>
        <w:tc>
          <w:tcPr>
            <w:tcW w:w="1825" w:type="dxa"/>
            <w:gridSpan w:val="3"/>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ind w:left="5"/>
              <w:rPr>
                <w:rFonts w:ascii="Times New Roman" w:hAnsi="Times New Roman" w:cs="Times New Roman"/>
              </w:rPr>
            </w:pPr>
          </w:p>
        </w:tc>
        <w:tc>
          <w:tcPr>
            <w:tcW w:w="2520" w:type="dxa"/>
            <w:gridSpan w:val="3"/>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ind w:left="65"/>
              <w:rPr>
                <w:rFonts w:ascii="Times New Roman" w:hAnsi="Times New Roman" w:cs="Times New Roman"/>
              </w:rPr>
            </w:pPr>
            <w:r>
              <w:rPr>
                <w:rFonts w:ascii="Times New Roman" w:hAnsi="Times New Roman" w:cs="Times New Roman"/>
              </w:rPr>
              <w:t>Zvolen</w:t>
            </w:r>
          </w:p>
          <w:p w:rsidR="00112F48" w:rsidP="00112F48">
            <w:pPr>
              <w:rPr>
                <w:rFonts w:ascii="Times New Roman" w:hAnsi="Times New Roman" w:cs="Times New Roman"/>
                <w:b/>
              </w:rPr>
            </w:pPr>
          </w:p>
          <w:p w:rsidR="00112F48" w:rsidP="00112F48">
            <w:pPr>
              <w:rPr>
                <w:rFonts w:ascii="Times New Roman" w:hAnsi="Times New Roman" w:cs="Times New Roman"/>
              </w:rPr>
            </w:pPr>
          </w:p>
        </w:tc>
        <w:tc>
          <w:tcPr>
            <w:tcW w:w="4222"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rPr>
            </w:pPr>
            <w:r>
              <w:rPr>
                <w:rFonts w:ascii="Times New Roman" w:hAnsi="Times New Roman" w:cs="Times New Roman"/>
              </w:rPr>
              <w:t>Lukové</w:t>
            </w:r>
          </w:p>
          <w:p w:rsidR="00112F48" w:rsidP="00112F48">
            <w:pPr>
              <w:rPr>
                <w:rFonts w:ascii="Times New Roman" w:hAnsi="Times New Roman" w:cs="Times New Roman"/>
                <w:b/>
              </w:rPr>
            </w:pPr>
          </w:p>
          <w:p w:rsidR="00112F48" w:rsidP="00112F48">
            <w:pPr>
              <w:rPr>
                <w:rFonts w:ascii="Times New Roman" w:hAnsi="Times New Roman" w:cs="Times New Roman"/>
              </w:rPr>
            </w:pPr>
            <w:r>
              <w:rPr>
                <w:rFonts w:ascii="Times New Roman" w:hAnsi="Times New Roman" w:cs="Times New Roman"/>
              </w:rPr>
              <w:t>Zolná</w:t>
            </w:r>
          </w:p>
        </w:tc>
      </w:tr>
      <w:tr>
        <w:tblPrEx>
          <w:tblW w:w="0" w:type="auto"/>
          <w:tblInd w:w="70" w:type="dxa"/>
          <w:tblCellMar>
            <w:top w:w="0" w:type="dxa"/>
            <w:left w:w="70" w:type="dxa"/>
            <w:bottom w:w="0" w:type="dxa"/>
            <w:right w:w="70" w:type="dxa"/>
          </w:tblCellMar>
        </w:tblPrEx>
        <w:trPr>
          <w:trHeight w:val="465"/>
        </w:trPr>
        <w:tc>
          <w:tcPr>
            <w:tcW w:w="106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rPr>
            </w:pPr>
            <w:r>
              <w:rPr>
                <w:rFonts w:ascii="Times New Roman" w:hAnsi="Times New Roman" w:cs="Times New Roman"/>
              </w:rPr>
              <w:t xml:space="preserve">      4.</w:t>
            </w:r>
          </w:p>
        </w:tc>
        <w:tc>
          <w:tcPr>
            <w:tcW w:w="1825" w:type="dxa"/>
            <w:gridSpan w:val="3"/>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ind w:left="5"/>
              <w:rPr>
                <w:rFonts w:ascii="Times New Roman" w:hAnsi="Times New Roman" w:cs="Times New Roman"/>
              </w:rPr>
            </w:pPr>
          </w:p>
        </w:tc>
        <w:tc>
          <w:tcPr>
            <w:tcW w:w="2520" w:type="dxa"/>
            <w:gridSpan w:val="3"/>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ind w:left="10"/>
              <w:rPr>
                <w:rFonts w:ascii="Times New Roman" w:hAnsi="Times New Roman" w:cs="Times New Roman"/>
              </w:rPr>
            </w:pPr>
          </w:p>
        </w:tc>
        <w:tc>
          <w:tcPr>
            <w:tcW w:w="4222"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ind w:left="15"/>
              <w:rPr>
                <w:rFonts w:ascii="Times New Roman" w:hAnsi="Times New Roman" w:cs="Times New Roman"/>
              </w:rPr>
            </w:pPr>
          </w:p>
        </w:tc>
      </w:tr>
      <w:tr>
        <w:tblPrEx>
          <w:tblW w:w="0" w:type="auto"/>
          <w:tblInd w:w="70" w:type="dxa"/>
          <w:tblCellMar>
            <w:top w:w="0" w:type="dxa"/>
            <w:left w:w="70" w:type="dxa"/>
            <w:bottom w:w="0" w:type="dxa"/>
            <w:right w:w="70" w:type="dxa"/>
          </w:tblCellMar>
        </w:tblPrEx>
        <w:trPr>
          <w:trHeight w:val="315"/>
        </w:trPr>
        <w:tc>
          <w:tcPr>
            <w:tcW w:w="9633"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b/>
              </w:rPr>
            </w:pPr>
            <w:r w:rsidRPr="006F1173">
              <w:rPr>
                <w:rFonts w:ascii="Times New Roman" w:hAnsi="Times New Roman" w:cs="Times New Roman"/>
                <w:b/>
              </w:rPr>
              <w:t xml:space="preserve"> </w:t>
            </w:r>
            <w:r>
              <w:rPr>
                <w:rFonts w:ascii="Times New Roman" w:hAnsi="Times New Roman" w:cs="Times New Roman"/>
                <w:b/>
              </w:rPr>
              <w:t xml:space="preserve">  </w:t>
            </w:r>
            <w:r w:rsidRPr="006F1173">
              <w:rPr>
                <w:rFonts w:ascii="Times New Roman" w:hAnsi="Times New Roman" w:cs="Times New Roman"/>
                <w:b/>
              </w:rPr>
              <w:t xml:space="preserve">                                                    Žilinský kraj</w:t>
            </w:r>
          </w:p>
        </w:tc>
      </w:tr>
      <w:tr>
        <w:tblPrEx>
          <w:tblW w:w="0" w:type="auto"/>
          <w:tblInd w:w="70" w:type="dxa"/>
          <w:tblCellMar>
            <w:top w:w="0" w:type="dxa"/>
            <w:left w:w="70" w:type="dxa"/>
            <w:bottom w:w="0" w:type="dxa"/>
            <w:right w:w="70" w:type="dxa"/>
          </w:tblCellMar>
        </w:tblPrEx>
        <w:trPr>
          <w:trHeight w:val="390"/>
        </w:trPr>
        <w:tc>
          <w:tcPr>
            <w:tcW w:w="108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b/>
              </w:rPr>
            </w:pPr>
            <w:r>
              <w:rPr>
                <w:rFonts w:ascii="Times New Roman" w:hAnsi="Times New Roman" w:cs="Times New Roman"/>
              </w:rPr>
              <w:t xml:space="preserve">       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ind w:left="5"/>
              <w:rPr>
                <w:rFonts w:ascii="Times New Roman" w:hAnsi="Times New Roman" w:cs="Times New Roman"/>
                <w:b/>
              </w:rPr>
            </w:pPr>
            <w:r>
              <w:rPr>
                <w:rFonts w:ascii="Times New Roman" w:hAnsi="Times New Roman" w:cs="Times New Roman"/>
              </w:rPr>
              <w:t>Žilina</w:t>
            </w:r>
          </w:p>
        </w:tc>
        <w:tc>
          <w:tcPr>
            <w:tcW w:w="2520"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ind w:left="40"/>
              <w:rPr>
                <w:rFonts w:ascii="Times New Roman" w:hAnsi="Times New Roman" w:cs="Times New Roman"/>
                <w:b/>
              </w:rPr>
            </w:pPr>
            <w:r>
              <w:rPr>
                <w:rFonts w:ascii="Times New Roman" w:hAnsi="Times New Roman" w:cs="Times New Roman"/>
              </w:rPr>
              <w:t>Žilina</w:t>
            </w:r>
          </w:p>
        </w:tc>
        <w:tc>
          <w:tcPr>
            <w:tcW w:w="423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b/>
              </w:rPr>
            </w:pPr>
            <w:r>
              <w:rPr>
                <w:rFonts w:ascii="Times New Roman" w:hAnsi="Times New Roman" w:cs="Times New Roman"/>
              </w:rPr>
              <w:t xml:space="preserve">Zástranie                                       </w:t>
            </w:r>
          </w:p>
        </w:tc>
      </w:tr>
    </w:tbl>
    <w:p w:rsidR="00112F48" w:rsidP="00112F48">
      <w:pPr>
        <w:ind w:left="300"/>
        <w:rPr>
          <w:rFonts w:ascii="Times New Roman" w:hAnsi="Times New Roman" w:cs="Times New Roman"/>
        </w:rPr>
      </w:pPr>
    </w:p>
    <w:p w:rsidR="00112F48" w:rsidP="00112F48">
      <w:pPr>
        <w:ind w:left="300"/>
        <w:rPr>
          <w:rFonts w:ascii="Times New Roman" w:hAnsi="Times New Roman" w:cs="Times New Roman"/>
        </w:rPr>
      </w:pPr>
    </w:p>
    <w:p w:rsidR="00112F48" w:rsidP="00112F48">
      <w:pPr>
        <w:ind w:left="300"/>
        <w:rPr>
          <w:rFonts w:ascii="Times New Roman" w:hAnsi="Times New Roman" w:cs="Times New Roman"/>
        </w:rPr>
      </w:pPr>
    </w:p>
    <w:p w:rsidR="00112F48" w:rsidP="00112F48">
      <w:pPr>
        <w:rPr>
          <w:rFonts w:ascii="Times New Roman" w:hAnsi="Times New Roman" w:cs="Times New Roman"/>
        </w:rPr>
      </w:pPr>
      <w:r>
        <w:rPr>
          <w:rFonts w:ascii="Times New Roman" w:hAnsi="Times New Roman" w:cs="Times New Roman"/>
        </w:rPr>
        <w:t xml:space="preserve">    </w:t>
      </w:r>
    </w:p>
    <w:p w:rsidR="00112F48" w:rsidP="00112F48">
      <w:pPr>
        <w:rPr>
          <w:rFonts w:ascii="Times New Roman" w:hAnsi="Times New Roman" w:cs="Times New Roman"/>
        </w:rPr>
      </w:pPr>
      <w:r>
        <w:rPr>
          <w:rFonts w:ascii="Times New Roman" w:hAnsi="Times New Roman" w:cs="Times New Roman"/>
        </w:rPr>
        <w:t xml:space="preserve">     </w:t>
      </w: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ind w:left="-1417" w:right="-877"/>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r>
        <w:rPr>
          <w:rFonts w:ascii="Times New Roman" w:hAnsi="Times New Roman" w:cs="Times New Roman"/>
        </w:rPr>
        <w:t xml:space="preserve">                                                                                                                   Príloha č. 3</w:t>
      </w:r>
    </w:p>
    <w:p w:rsidR="00112F48" w:rsidP="00112F48">
      <w:pPr>
        <w:rPr>
          <w:rFonts w:ascii="Times New Roman" w:hAnsi="Times New Roman" w:cs="Times New Roman"/>
        </w:rPr>
      </w:pPr>
      <w:r>
        <w:rPr>
          <w:rFonts w:ascii="Times New Roman" w:hAnsi="Times New Roman" w:cs="Times New Roman"/>
        </w:rPr>
        <w:t xml:space="preserve">                                                                                                                   k zákonu č. ......../2003 Z.z.</w:t>
      </w: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594"/>
        <w:gridCol w:w="1468"/>
        <w:gridCol w:w="1870"/>
        <w:gridCol w:w="3100"/>
        <w:gridCol w:w="2110"/>
      </w:tblGrid>
      <w:tr>
        <w:tblPrEx>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720"/>
        </w:trPr>
        <w:tc>
          <w:tcPr>
            <w:tcW w:w="5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b/>
              </w:rPr>
            </w:pPr>
            <w:r w:rsidRPr="003E7626">
              <w:rPr>
                <w:rFonts w:ascii="Times New Roman" w:hAnsi="Times New Roman" w:cs="Times New Roman"/>
                <w:b/>
              </w:rPr>
              <w:t>Por.</w:t>
            </w:r>
          </w:p>
          <w:p w:rsidR="00112F48" w:rsidP="00112F48">
            <w:pPr>
              <w:rPr>
                <w:rFonts w:ascii="Times New Roman" w:hAnsi="Times New Roman" w:cs="Times New Roman"/>
                <w:b/>
              </w:rPr>
            </w:pPr>
            <w:r>
              <w:rPr>
                <w:rFonts w:ascii="Times New Roman" w:hAnsi="Times New Roman" w:cs="Times New Roman"/>
                <w:b/>
              </w:rPr>
              <w:t>č</w:t>
            </w:r>
            <w:r w:rsidRPr="003E7626">
              <w:rPr>
                <w:rFonts w:ascii="Times New Roman" w:hAnsi="Times New Roman" w:cs="Times New Roman"/>
                <w:b/>
              </w:rPr>
              <w:t>íslo</w:t>
            </w:r>
          </w:p>
          <w:p w:rsidR="00112F48" w:rsidP="00112F48">
            <w:pPr>
              <w:rPr>
                <w:rFonts w:ascii="Times New Roman" w:hAnsi="Times New Roman" w:cs="Times New Roman"/>
              </w:rPr>
            </w:pPr>
          </w:p>
        </w:tc>
        <w:tc>
          <w:tcPr>
            <w:tcW w:w="15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b/>
              </w:rPr>
            </w:pPr>
            <w:r w:rsidRPr="003E7626">
              <w:rPr>
                <w:rFonts w:ascii="Times New Roman" w:hAnsi="Times New Roman" w:cs="Times New Roman"/>
                <w:b/>
              </w:rPr>
              <w:t xml:space="preserve">Názov </w:t>
            </w:r>
            <w:r>
              <w:rPr>
                <w:rFonts w:ascii="Times New Roman" w:hAnsi="Times New Roman" w:cs="Times New Roman"/>
                <w:b/>
              </w:rPr>
              <w:t>okresu</w:t>
            </w:r>
          </w:p>
          <w:p w:rsidR="00112F48" w:rsidP="00112F48">
            <w:pPr>
              <w:rPr>
                <w:rFonts w:ascii="Times New Roman" w:hAnsi="Times New Roman" w:cs="Times New Roman"/>
                <w:b/>
              </w:rPr>
            </w:pPr>
          </w:p>
          <w:p w:rsidR="00112F48" w:rsidP="00112F48">
            <w:pPr>
              <w:rPr>
                <w:rFonts w:ascii="Times New Roman" w:hAnsi="Times New Roman" w:cs="Times New Roman"/>
              </w:rPr>
            </w:pPr>
          </w:p>
        </w:tc>
        <w:tc>
          <w:tcPr>
            <w:tcW w:w="187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ind w:left="125"/>
              <w:rPr>
                <w:rFonts w:ascii="Times New Roman" w:hAnsi="Times New Roman" w:cs="Times New Roman"/>
                <w:b/>
              </w:rPr>
            </w:pPr>
            <w:r>
              <w:rPr>
                <w:rFonts w:ascii="Times New Roman" w:hAnsi="Times New Roman" w:cs="Times New Roman"/>
                <w:b/>
              </w:rPr>
              <w:t>Názov obce</w:t>
            </w:r>
          </w:p>
          <w:p w:rsidR="00112F48" w:rsidP="00112F48">
            <w:pPr>
              <w:ind w:left="1730"/>
              <w:rPr>
                <w:rFonts w:ascii="Times New Roman" w:hAnsi="Times New Roman" w:cs="Times New Roman"/>
                <w:b/>
              </w:rPr>
            </w:pPr>
          </w:p>
          <w:p w:rsidR="00112F48" w:rsidP="00112F48">
            <w:pPr>
              <w:rPr>
                <w:rFonts w:ascii="Times New Roman" w:hAnsi="Times New Roman" w:cs="Times New Roman"/>
              </w:rPr>
            </w:pPr>
          </w:p>
        </w:tc>
        <w:tc>
          <w:tcPr>
            <w:tcW w:w="33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b/>
              </w:rPr>
            </w:pPr>
            <w:r w:rsidRPr="003E7626">
              <w:rPr>
                <w:rFonts w:ascii="Times New Roman" w:hAnsi="Times New Roman" w:cs="Times New Roman"/>
                <w:b/>
              </w:rPr>
              <w:t>Názov katastrálneho územia,</w:t>
            </w:r>
          </w:p>
          <w:p w:rsidR="00112F48" w:rsidRPr="003E7626" w:rsidP="00112F48">
            <w:pPr>
              <w:rPr>
                <w:rFonts w:ascii="Times New Roman" w:hAnsi="Times New Roman" w:cs="Times New Roman"/>
                <w:b/>
              </w:rPr>
            </w:pPr>
            <w:r>
              <w:rPr>
                <w:rFonts w:ascii="Times New Roman" w:hAnsi="Times New Roman" w:cs="Times New Roman"/>
                <w:b/>
              </w:rPr>
              <w:t>ktoré leží mimo územia obce</w:t>
            </w:r>
            <w:r w:rsidRPr="003E7626">
              <w:rPr>
                <w:rFonts w:ascii="Times New Roman" w:hAnsi="Times New Roman" w:cs="Times New Roman"/>
                <w:b/>
              </w:rPr>
              <w:t xml:space="preserve"> </w:t>
            </w:r>
          </w:p>
          <w:p w:rsidR="00112F48" w:rsidP="00112F48">
            <w:pPr>
              <w:rPr>
                <w:rFonts w:ascii="Times New Roman" w:hAnsi="Times New Roman" w:cs="Times New Roman"/>
                <w:b/>
              </w:rPr>
            </w:pPr>
          </w:p>
          <w:p w:rsidR="00112F48" w:rsidP="00112F48">
            <w:pPr>
              <w:rPr>
                <w:rFonts w:ascii="Times New Roman" w:hAnsi="Times New Roman" w:cs="Times New Roman"/>
              </w:rPr>
            </w:pPr>
          </w:p>
        </w:tc>
        <w:tc>
          <w:tcPr>
            <w:tcW w:w="22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b/>
              </w:rPr>
            </w:pPr>
            <w:r w:rsidRPr="003E7626">
              <w:rPr>
                <w:rFonts w:ascii="Times New Roman" w:hAnsi="Times New Roman" w:cs="Times New Roman"/>
                <w:b/>
              </w:rPr>
              <w:t xml:space="preserve">Katastrálne </w:t>
            </w:r>
            <w:r>
              <w:rPr>
                <w:rFonts w:ascii="Times New Roman" w:hAnsi="Times New Roman" w:cs="Times New Roman"/>
                <w:b/>
              </w:rPr>
              <w:t>územie</w:t>
            </w:r>
          </w:p>
          <w:p w:rsidR="00112F48" w:rsidRPr="00314B8E" w:rsidP="00112F48">
            <w:pPr>
              <w:rPr>
                <w:rFonts w:ascii="Times New Roman" w:hAnsi="Times New Roman" w:cs="Times New Roman"/>
                <w:b/>
              </w:rPr>
            </w:pPr>
            <w:r>
              <w:rPr>
                <w:rFonts w:ascii="Times New Roman" w:hAnsi="Times New Roman" w:cs="Times New Roman"/>
                <w:b/>
              </w:rPr>
              <w:t>sa pričlení k obci</w:t>
            </w:r>
          </w:p>
          <w:p w:rsidR="00112F48" w:rsidRPr="003E7626" w:rsidP="00112F48">
            <w:pPr>
              <w:ind w:left="220"/>
              <w:rPr>
                <w:rFonts w:ascii="Times New Roman" w:hAnsi="Times New Roman" w:cs="Times New Roman"/>
                <w:b/>
              </w:rPr>
            </w:pPr>
          </w:p>
          <w:p w:rsidR="00112F48" w:rsidP="00112F48">
            <w:pPr>
              <w:rPr>
                <w:rFonts w:ascii="Times New Roman" w:hAnsi="Times New Roman" w:cs="Times New Roman"/>
              </w:rPr>
            </w:pPr>
          </w:p>
        </w:tc>
      </w:tr>
      <w:tr>
        <w:tblPrEx>
          <w:tblW w:w="0" w:type="auto"/>
          <w:tblInd w:w="70" w:type="dxa"/>
          <w:tblCellMar>
            <w:top w:w="0" w:type="dxa"/>
            <w:left w:w="70" w:type="dxa"/>
            <w:bottom w:w="0" w:type="dxa"/>
            <w:right w:w="70" w:type="dxa"/>
          </w:tblCellMar>
        </w:tblPrEx>
        <w:trPr>
          <w:trHeight w:val="315"/>
        </w:trPr>
        <w:tc>
          <w:tcPr>
            <w:tcW w:w="5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rPr>
            </w:pPr>
            <w:r>
              <w:rPr>
                <w:rFonts w:ascii="Times New Roman" w:hAnsi="Times New Roman" w:cs="Times New Roman"/>
              </w:rPr>
              <w:t xml:space="preserve">  1.</w:t>
            </w:r>
          </w:p>
        </w:tc>
        <w:tc>
          <w:tcPr>
            <w:tcW w:w="15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rPr>
            </w:pPr>
            <w:r>
              <w:rPr>
                <w:rFonts w:ascii="Times New Roman" w:hAnsi="Times New Roman" w:cs="Times New Roman"/>
              </w:rPr>
              <w:t xml:space="preserve">    Tvrdošín</w:t>
            </w:r>
          </w:p>
        </w:tc>
        <w:tc>
          <w:tcPr>
            <w:tcW w:w="187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rPr>
            </w:pPr>
            <w:r>
              <w:rPr>
                <w:rFonts w:ascii="Times New Roman" w:hAnsi="Times New Roman" w:cs="Times New Roman"/>
              </w:rPr>
              <w:t xml:space="preserve">       Tvrdošín</w:t>
            </w:r>
          </w:p>
        </w:tc>
        <w:tc>
          <w:tcPr>
            <w:tcW w:w="33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rPr>
            </w:pPr>
            <w:r>
              <w:rPr>
                <w:rFonts w:ascii="Times New Roman" w:hAnsi="Times New Roman" w:cs="Times New Roman"/>
              </w:rPr>
              <w:t xml:space="preserve">              Tvrdošín II.</w:t>
            </w:r>
          </w:p>
        </w:tc>
        <w:tc>
          <w:tcPr>
            <w:tcW w:w="22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F48" w:rsidP="00112F48">
            <w:pPr>
              <w:rPr>
                <w:rFonts w:ascii="Times New Roman" w:hAnsi="Times New Roman" w:cs="Times New Roman"/>
              </w:rPr>
            </w:pPr>
            <w:r>
              <w:rPr>
                <w:rFonts w:ascii="Times New Roman" w:hAnsi="Times New Roman" w:cs="Times New Roman"/>
              </w:rPr>
              <w:t xml:space="preserve">        Vitanová</w:t>
            </w:r>
          </w:p>
        </w:tc>
      </w:tr>
    </w:tbl>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rsidP="00112F48">
      <w:pPr>
        <w:rPr>
          <w:rFonts w:ascii="Times New Roman" w:hAnsi="Times New Roman" w:cs="Times New Roman"/>
        </w:rPr>
      </w:pPr>
    </w:p>
    <w:p w:rsidR="00112F48">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B6259"/>
    <w:multiLevelType w:val="hybridMultilevel"/>
    <w:tmpl w:val="F550A300"/>
    <w:lvl w:ilvl="0">
      <w:start w:val="1"/>
      <w:numFmt w:val="decimal"/>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
    <w:nsid w:val="45551F36"/>
    <w:multiLevelType w:val="hybridMultilevel"/>
    <w:tmpl w:val="EDDA5BE0"/>
    <w:lvl w:ilvl="0">
      <w:start w:val="1"/>
      <w:numFmt w:val="decimal"/>
      <w:lvlText w:val="(%1)"/>
      <w:lvlJc w:val="left"/>
      <w:pPr>
        <w:tabs>
          <w:tab w:val="num" w:pos="660"/>
        </w:tabs>
        <w:ind w:left="660" w:hanging="360"/>
      </w:pPr>
    </w:lvl>
    <w:lvl w:ilvl="1">
      <w:start w:val="1"/>
      <w:numFmt w:val="decimal"/>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112F48"/>
    <w:rsid w:val="001246F3"/>
    <w:rsid w:val="001E69C4"/>
    <w:rsid w:val="002F4715"/>
    <w:rsid w:val="00314B8E"/>
    <w:rsid w:val="003E7626"/>
    <w:rsid w:val="004647A3"/>
    <w:rsid w:val="006F1173"/>
    <w:rsid w:val="0074083E"/>
    <w:rsid w:val="00892942"/>
    <w:rsid w:val="00AD3E66"/>
    <w:rsid w:val="00B4210F"/>
    <w:rsid w:val="00E527AC"/>
    <w:rsid w:val="00FD288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F48"/>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14</TotalTime>
  <Pages>9</Pages>
  <Words>2047</Words>
  <Characters>11670</Characters>
  <Application>Microsoft Office Word</Application>
  <DocSecurity>0</DocSecurity>
  <Lines>0</Lines>
  <Paragraphs>0</Paragraphs>
  <ScaleCrop>false</ScaleCrop>
  <Company>Kancelaria NRSR</Company>
  <LinksUpToDate>false</LinksUpToDate>
  <CharactersWithSpaces>13690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Jozef HURBAN</dc:creator>
  <cp:lastModifiedBy>Jozef HURBAN</cp:lastModifiedBy>
  <cp:revision>1</cp:revision>
  <dcterms:created xsi:type="dcterms:W3CDTF">2003-07-02T11:50:00Z</dcterms:created>
  <dcterms:modified xsi:type="dcterms:W3CDTF">2003-07-02T12:04:00Z</dcterms:modified>
</cp:coreProperties>
</file>