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0AE0" w:rsidRPr="00FD6808">
      <w:pPr>
        <w:pStyle w:val="BodyText"/>
        <w:rPr>
          <w:rFonts w:ascii="Times New Roman" w:hAnsi="Times New Roman" w:cs="Times New Roman"/>
          <w:sz w:val="24"/>
        </w:rPr>
      </w:pPr>
      <w:r w:rsidRPr="00FD6808">
        <w:rPr>
          <w:rFonts w:ascii="Times New Roman" w:hAnsi="Times New Roman" w:cs="Times New Roman"/>
          <w:sz w:val="24"/>
        </w:rPr>
        <w:t>Doložka zlučiteľnosti</w:t>
      </w:r>
    </w:p>
    <w:p w:rsidR="007E0AE0" w:rsidRPr="00FD6808">
      <w:pPr>
        <w:pStyle w:val="BodyText"/>
        <w:rPr>
          <w:rFonts w:ascii="Times New Roman" w:hAnsi="Times New Roman" w:cs="Times New Roman"/>
          <w:sz w:val="24"/>
        </w:rPr>
      </w:pPr>
      <w:r w:rsidRPr="00FD6808">
        <w:rPr>
          <w:rFonts w:ascii="Times New Roman" w:hAnsi="Times New Roman" w:cs="Times New Roman"/>
          <w:sz w:val="24"/>
        </w:rPr>
        <w:t>návrhu zákona</w:t>
      </w:r>
    </w:p>
    <w:p w:rsidR="007E0AE0" w:rsidRPr="00FD6808">
      <w:pPr>
        <w:pStyle w:val="BodyText"/>
        <w:rPr>
          <w:rFonts w:ascii="Times New Roman" w:hAnsi="Times New Roman" w:cs="Times New Roman"/>
          <w:sz w:val="24"/>
        </w:rPr>
      </w:pPr>
      <w:r w:rsidRPr="00FD6808">
        <w:rPr>
          <w:rFonts w:ascii="Times New Roman" w:hAnsi="Times New Roman" w:cs="Times New Roman"/>
          <w:sz w:val="24"/>
        </w:rPr>
        <w:t>s právom Európskych spoločenstiev a právom Európskej únie</w:t>
      </w:r>
    </w:p>
    <w:p w:rsidR="007E0AE0">
      <w:pPr>
        <w:jc w:val="both"/>
        <w:rPr>
          <w:rFonts w:ascii="Times New Roman" w:hAnsi="Times New Roman" w:cs="Times New Roman"/>
        </w:rPr>
      </w:pPr>
    </w:p>
    <w:p w:rsidR="007E0AE0">
      <w:pPr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</w:r>
      <w:r>
        <w:rPr>
          <w:rFonts w:ascii="Times New Roman" w:hAnsi="Times New Roman" w:cs="Times New Roman"/>
          <w:b/>
          <w:bCs/>
        </w:rPr>
        <w:t>Navrhovateľ zákona:</w:t>
      </w:r>
    </w:p>
    <w:p w:rsidR="007E0AE0">
      <w:pPr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Slovenskej republiky.</w:t>
      </w:r>
    </w:p>
    <w:p w:rsidR="007E0AE0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</w:tabs>
        <w:ind w:left="2880" w:hanging="28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 </w:t>
        <w:tab/>
      </w:r>
      <w:r>
        <w:rPr>
          <w:rFonts w:ascii="Times New Roman" w:hAnsi="Times New Roman" w:cs="Times New Roman"/>
          <w:b/>
          <w:bCs/>
        </w:rPr>
        <w:t>Názov návrhu zákona:</w:t>
      </w:r>
    </w:p>
    <w:p w:rsidR="007E0AE0">
      <w:pPr>
        <w:pStyle w:val="BodyTextIndent3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Zákon, ktorým sa mení a dopĺňa zákona Národnej rady Slovenskej republiky č. 289/199</w:t>
      </w:r>
      <w:r>
        <w:rPr>
          <w:rFonts w:ascii="Times New Roman" w:hAnsi="Times New Roman" w:cs="Times New Roman"/>
        </w:rPr>
        <w:t>5 Z.z. o dani z pridanej hodnoty v znení neskorších predpisov.</w:t>
      </w:r>
    </w:p>
    <w:p w:rsidR="007E0AE0">
      <w:pPr>
        <w:tabs>
          <w:tab w:val="left" w:pos="360"/>
        </w:tabs>
        <w:ind w:left="2880" w:hanging="288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</w:r>
      <w:r>
        <w:rPr>
          <w:rFonts w:ascii="Times New Roman" w:hAnsi="Times New Roman" w:cs="Times New Roman"/>
          <w:b/>
          <w:bCs/>
        </w:rPr>
        <w:t>Záväzky Slovenskej republiky vo vzťahu k Európskym spoločenstvám a Európskej únii:</w:t>
      </w:r>
    </w:p>
    <w:p w:rsidR="007E0AE0">
      <w:pPr>
        <w:tabs>
          <w:tab w:val="left" w:pos="360"/>
        </w:tabs>
        <w:ind w:left="2880" w:hanging="2880"/>
        <w:jc w:val="both"/>
        <w:rPr>
          <w:rFonts w:ascii="Times New Roman" w:hAnsi="Times New Roman" w:cs="Times New Roman"/>
        </w:rPr>
      </w:pPr>
    </w:p>
    <w:p w:rsidR="007E0AE0">
      <w:pPr>
        <w:numPr>
          <w:ilvl w:val="0"/>
          <w:numId w:val="3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patrí svojou problematikou medzi prioritné oblasti aproximácie práva obsiahnuté v čl. 70 Európskej dohody o pridružení – nepriame zdaňovanie.</w:t>
      </w:r>
    </w:p>
    <w:p w:rsidR="007E0AE0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hľadiska Národného programu pre prijatie acquis communautaire predkladaný návrh zákona patrí medzi prioritné oblasti aproximácie práva – Kapitola č. 10 – Dane a taktiež je prioritou podľa Partnerstva pre</w:t>
      </w:r>
      <w:r>
        <w:rPr>
          <w:rFonts w:ascii="Times New Roman" w:hAnsi="Times New Roman" w:cs="Times New Roman"/>
        </w:rPr>
        <w:t xml:space="preserve"> vstup.</w:t>
      </w:r>
    </w:p>
    <w:p w:rsidR="007E0AE0">
      <w:pPr>
        <w:tabs>
          <w:tab w:val="left" w:pos="360"/>
          <w:tab w:val="left" w:pos="720"/>
        </w:tabs>
        <w:ind w:left="72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patrí medzi priority odporúčané v Príprave asociovaných krajín strednej a východnej Európy na integráciu do vnútorného trhu Európskej únie – kapitola 22. nepriame zdaňovanie.</w:t>
      </w:r>
    </w:p>
    <w:p w:rsidR="007E0AE0">
      <w:pPr>
        <w:tabs>
          <w:tab w:val="left" w:pos="360"/>
          <w:tab w:val="left" w:pos="720"/>
        </w:tabs>
        <w:ind w:left="72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Problematika návrhu zákona je obsiahnutá v screeningovej kapitole č. 10 – Dane.</w:t>
      </w:r>
    </w:p>
    <w:p w:rsidR="007E0AE0">
      <w:pPr>
        <w:tabs>
          <w:tab w:val="left" w:pos="360"/>
          <w:tab w:val="left" w:pos="720"/>
        </w:tabs>
        <w:ind w:left="720"/>
        <w:jc w:val="both"/>
        <w:rPr>
          <w:rFonts w:ascii="Times New Roman" w:hAnsi="Times New Roman" w:cs="Times New Roman"/>
        </w:rPr>
      </w:pPr>
    </w:p>
    <w:p w:rsidR="00990C72">
      <w:pPr>
        <w:tabs>
          <w:tab w:val="left" w:pos="360"/>
          <w:tab w:val="left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novely zákona sa predkladá v nadväznosti na Programové vyhlásenie vlády Slovenskej republiky, ktorým sa zaviazala zjednotiť sadzby dane z pridanej hodnoty pred vstupom do Európskej únie a Koncepciu daňovej reformy v rokoch 2004</w:t>
      </w:r>
      <w:r>
        <w:rPr>
          <w:rFonts w:ascii="Times New Roman" w:hAnsi="Times New Roman" w:cs="Times New Roman"/>
        </w:rPr>
        <w:t xml:space="preserve"> - 2006.</w:t>
      </w:r>
    </w:p>
    <w:p w:rsidR="007E0AE0">
      <w:pPr>
        <w:tabs>
          <w:tab w:val="left" w:pos="360"/>
          <w:tab w:val="left" w:pos="720"/>
        </w:tabs>
        <w:ind w:left="720"/>
        <w:jc w:val="both"/>
        <w:rPr>
          <w:rFonts w:ascii="Times New Roman" w:hAnsi="Times New Roman" w:cs="Times New Roman"/>
        </w:rPr>
      </w:pPr>
    </w:p>
    <w:p w:rsidR="007E0AE0">
      <w:pPr>
        <w:numPr>
          <w:ilvl w:val="0"/>
          <w:numId w:val="3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  <w:r w:rsidR="00882E9C">
        <w:rPr>
          <w:rFonts w:ascii="Times New Roman" w:hAnsi="Times New Roman" w:cs="Times New Roman"/>
        </w:rPr>
        <w:t>Z negociačnej pozície</w:t>
      </w:r>
      <w:r>
        <w:rPr>
          <w:rFonts w:ascii="Times New Roman" w:hAnsi="Times New Roman" w:cs="Times New Roman"/>
        </w:rPr>
        <w:t xml:space="preserve"> vyplýva povinnosť zosúladiť rozsah tovarov a služieb podliehajúcich zníženej sadzbe dane najneskôr k referenčnému termínu 01.01.2004.</w:t>
      </w:r>
    </w:p>
    <w:p w:rsidR="007E0AE0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4.</w:t>
        <w:tab/>
      </w:r>
      <w:r>
        <w:rPr>
          <w:rFonts w:ascii="Times New Roman" w:hAnsi="Times New Roman" w:cs="Times New Roman"/>
          <w:b/>
          <w:bCs/>
        </w:rPr>
        <w:t>Problematika návrhu zákona:</w:t>
      </w:r>
    </w:p>
    <w:p w:rsidR="007E0AE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7E0AE0">
      <w:pPr>
        <w:pStyle w:val="BodyTextIndent3"/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je upravená v práve Európskych spoločenstiev:</w:t>
      </w:r>
    </w:p>
    <w:p w:rsidR="007E0AE0">
      <w:pPr>
        <w:pStyle w:val="BodyTextIndent3"/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E0AE0">
      <w:p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články 92 a 93 Zmluvy o založení ES</w:t>
      </w:r>
    </w:p>
    <w:p w:rsidR="007E0AE0">
      <w:p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</w:rPr>
      </w:pPr>
    </w:p>
    <w:p w:rsidR="007E0AE0">
      <w:pPr>
        <w:pStyle w:val="BodyTextIndent3"/>
        <w:tabs>
          <w:tab w:val="left" w:pos="7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Šiestou smernicou Rady EÚ 77/388/EHS zo 17.05.1977 o harmonizácii zákonov členských štátov o dani z obratu (OJL 145 z 13.06.1977 s. l), ktorá zavádza spoločný systém pre daň z pridanej hodnoty, jednotný daňový základ, v znení zmien a doplnkov so zreteľom na</w:t>
      </w:r>
    </w:p>
    <w:p w:rsidR="007E0AE0">
      <w:p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80/368/EHS  z 26.03.1980   (OJL 090 z 03.04.1980 s. 41),</w:t>
      </w:r>
    </w:p>
    <w:p w:rsidR="007E0AE0">
      <w:pPr>
        <w:tabs>
          <w:tab w:val="left" w:pos="360"/>
          <w:tab w:val="left" w:pos="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84/368/EHS  z 31.07.1984   (OJL 208 z 03.08.1984 s. 58),</w:t>
      </w:r>
    </w:p>
    <w:p w:rsidR="007E0AE0">
      <w:pPr>
        <w:tabs>
          <w:tab w:val="left" w:pos="360"/>
          <w:tab w:val="left" w:pos="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89/465/EHS  z 18.07.1989   (OJL 226 z 03.08.1989 s. 21),</w:t>
      </w:r>
    </w:p>
    <w:p w:rsidR="007E0AE0">
      <w:pPr>
        <w:tabs>
          <w:tab w:val="left" w:pos="360"/>
          <w:tab w:val="left" w:pos="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91/680/EHS zo16.</w:t>
      </w:r>
      <w:r>
        <w:rPr>
          <w:rFonts w:ascii="Times New Roman" w:hAnsi="Times New Roman" w:cs="Times New Roman"/>
        </w:rPr>
        <w:t>12.1991   (OJL 376 z 31.12.1989 s.  1 ),</w:t>
      </w:r>
    </w:p>
    <w:p w:rsidR="007E0AE0">
      <w:pPr>
        <w:tabs>
          <w:tab w:val="left" w:pos="360"/>
          <w:tab w:val="left" w:pos="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92/ 77 /EHS  z 19.10.1992   (OJL 316 z 31.10.1992 s.  1 ),</w:t>
      </w:r>
    </w:p>
    <w:p w:rsidR="007E0AE0">
      <w:pPr>
        <w:tabs>
          <w:tab w:val="left" w:pos="360"/>
          <w:tab w:val="left" w:pos="720"/>
          <w:tab w:val="left" w:pos="270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92/111/EHS zo14.12.1992   (OJL 384 z 31.12.1992 s. 47),</w:t>
      </w:r>
    </w:p>
    <w:p w:rsidR="007E0AE0">
      <w:pPr>
        <w:tabs>
          <w:tab w:val="left" w:pos="360"/>
          <w:tab w:val="left" w:pos="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94/ 5 /ES      zo 14.02.1994   (OJL 060 z 03.03.1994 s. 16),</w:t>
      </w:r>
    </w:p>
    <w:p w:rsidR="007E0AE0">
      <w:pPr>
        <w:tabs>
          <w:tab w:val="left" w:pos="360"/>
          <w:tab w:val="left" w:pos="720"/>
          <w:tab w:val="left" w:pos="270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94/ 4 /ES      zo 14.02.1994   (OJL 060 z 03.03.1994 s. 14),</w:t>
      </w:r>
    </w:p>
    <w:p w:rsidR="007E0AE0">
      <w:pPr>
        <w:tabs>
          <w:tab w:val="left" w:pos="360"/>
          <w:tab w:val="left" w:pos="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94/76/ES       z  22.12.1994   (OJL 365 z 31.12.1994 s. 53),</w:t>
      </w:r>
    </w:p>
    <w:p w:rsidR="007E0AE0">
      <w:pPr>
        <w:tabs>
          <w:tab w:val="left" w:pos="360"/>
          <w:tab w:val="left" w:pos="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95/ 7 /ES       z  10.09.1995   (OJL 102 z 05.05.1995 s. 18),</w:t>
      </w:r>
    </w:p>
    <w:p w:rsidR="007E0AE0">
      <w:p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96/42/ES</w:t>
        <w:tab/>
        <w:t xml:space="preserve">  z  25.06.1996    (OJL 170 z 09.07.1996 s. 34),</w:t>
      </w:r>
    </w:p>
    <w:p w:rsidR="007E0AE0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96/95/ES</w:t>
        <w:tab/>
        <w:t xml:space="preserve"> z  20.12.1996   </w:t>
        <w:tab/>
        <w:t>(OJL 328 z 28.12.1996 s. 89),</w:t>
      </w:r>
    </w:p>
    <w:p w:rsidR="007E0AE0">
      <w:p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98/80/ES       z 12.10.1998     (OJL 281 zo 17.10.1998 s. 31),</w:t>
      </w:r>
    </w:p>
    <w:p w:rsidR="007E0AE0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99/49/ES</w:t>
        <w:tab/>
        <w:t xml:space="preserve"> z  25.05.1999   </w:t>
        <w:tab/>
        <w:t>(OJL 139 z 02.06.1999 s. 27),</w:t>
      </w:r>
    </w:p>
    <w:p w:rsidR="007E0AE0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smernicu 99/59/ES   </w:t>
        <w:tab/>
        <w:t xml:space="preserve">zo 17.06.1999 </w:t>
        <w:tab/>
        <w:t>(OJL 162 z 26.06.1999 s. 63),</w:t>
      </w:r>
    </w:p>
    <w:p w:rsidR="007E0AE0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smernicu 99/85/ES   </w:t>
        <w:tab/>
        <w:t xml:space="preserve"> z  22.10.1999   </w:t>
        <w:tab/>
        <w:t>(OJL 277 z 28.10.1999 s. 34),</w:t>
      </w:r>
    </w:p>
    <w:p w:rsidR="007E0AE0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00/17/E</w:t>
      </w:r>
      <w:r w:rsidR="00990C7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 </w:t>
        <w:tab/>
        <w:t xml:space="preserve"> z  30.03.2000   </w:t>
        <w:tab/>
        <w:t>(OJL  84  z 05.04.2000 s. 24),</w:t>
      </w:r>
    </w:p>
    <w:p w:rsidR="007E0AE0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 w:rsidR="00990C72">
        <w:rPr>
          <w:rFonts w:ascii="Times New Roman" w:hAnsi="Times New Roman" w:cs="Times New Roman"/>
        </w:rPr>
        <w:t>smernicu 00/65/ES</w:t>
      </w:r>
      <w:r>
        <w:rPr>
          <w:rFonts w:ascii="Times New Roman" w:hAnsi="Times New Roman" w:cs="Times New Roman"/>
        </w:rPr>
        <w:t xml:space="preserve">   </w:t>
        <w:tab/>
        <w:t xml:space="preserve">zo 17.10.2000 </w:t>
        <w:tab/>
        <w:t>(OJL 269 z 21.10.2000 s. 44),</w:t>
      </w:r>
    </w:p>
    <w:p w:rsidR="007E0AE0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 w:rsidR="00990C72">
        <w:rPr>
          <w:rFonts w:ascii="Times New Roman" w:hAnsi="Times New Roman" w:cs="Times New Roman"/>
        </w:rPr>
        <w:t>smernicu 01/41/ES</w:t>
      </w:r>
      <w:r>
        <w:rPr>
          <w:rFonts w:ascii="Times New Roman" w:hAnsi="Times New Roman" w:cs="Times New Roman"/>
        </w:rPr>
        <w:t xml:space="preserve">    </w:t>
        <w:tab/>
        <w:t xml:space="preserve"> z  1</w:t>
      </w:r>
      <w:r>
        <w:rPr>
          <w:rFonts w:ascii="Times New Roman" w:hAnsi="Times New Roman" w:cs="Times New Roman"/>
        </w:rPr>
        <w:t xml:space="preserve">9.01.2001   </w:t>
        <w:tab/>
        <w:t>(OJL  22  z 24.01.2001 s. 17),</w:t>
      </w:r>
    </w:p>
    <w:p w:rsidR="00990C72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01/115/ES     z  20.12.2001    (OJL        zo 17.1.2002 s. 24),</w:t>
      </w:r>
    </w:p>
    <w:p w:rsidR="00990C72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02/38/ES      zo 07.05.2002    (OJL 128  z 15.05.2002 s.41),</w:t>
      </w:r>
    </w:p>
    <w:p w:rsidR="00990C72">
      <w:pPr>
        <w:tabs>
          <w:tab w:val="left" w:pos="720"/>
          <w:tab w:val="left" w:pos="2880"/>
          <w:tab w:val="left" w:pos="450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smernicu 02/92/ES       z  03.12.2002    (OJL 331 zo 07.12.2002 s.27),</w:t>
      </w:r>
    </w:p>
    <w:p w:rsidR="007E0AE0">
      <w:pPr>
        <w:tabs>
          <w:tab w:val="left" w:pos="360"/>
          <w:tab w:val="left" w:pos="720"/>
          <w:tab w:val="left" w:pos="2520"/>
        </w:tabs>
        <w:ind w:left="36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  <w:tab w:val="left" w:pos="25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  <w:tab/>
        <w:t>nie je upravená v práve Európskej únie.</w:t>
      </w:r>
    </w:p>
    <w:p w:rsidR="007E0AE0">
      <w:pPr>
        <w:tabs>
          <w:tab w:val="left" w:pos="360"/>
          <w:tab w:val="left" w:pos="720"/>
          <w:tab w:val="left" w:pos="2520"/>
        </w:tabs>
        <w:ind w:left="36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720"/>
          <w:tab w:val="left" w:pos="252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Preklad smernice sa nachádza v Centrálnej prekladateľskej jednotke ÚV SR. Preklad prešiel revíziou CPJ.</w:t>
      </w:r>
    </w:p>
    <w:p w:rsidR="007E0AE0">
      <w:pPr>
        <w:tabs>
          <w:tab w:val="left" w:pos="360"/>
          <w:tab w:val="left" w:pos="720"/>
          <w:tab w:val="left" w:pos="2520"/>
        </w:tabs>
        <w:ind w:left="360"/>
        <w:jc w:val="both"/>
        <w:rPr>
          <w:rFonts w:ascii="Times New Roman" w:hAnsi="Times New Roman" w:cs="Times New Roman"/>
        </w:rPr>
      </w:pPr>
    </w:p>
    <w:p w:rsidR="007E0AE0">
      <w:pPr>
        <w:pStyle w:val="BodyTextIndent3"/>
        <w:tabs>
          <w:tab w:val="left" w:pos="7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Šiesta smernica Rady EÚ 77/388/EHS v znení jej zmien a doplnkov je základným právnym normatívom, ktorý tvorí právny základ pre koncepciu harmonizácie legislatívy členských štátov o dani z pridanej hodnoty. Ustanovuje rozsah pôsobnosti režimu dane z pridanej hodnoty, definíciu ekonomickej činnosti, zdaniteľných osôb a zdaniteľných činností, miesto zdanenia, zdaniteľné plnenie a splatnosť dane, základ dane, princípy určovania sadzieb dane, základné oslobodenia od dane, realizáciu odpočítania vstupnej dane, osoby na ktoré sa vzťahuje daňová povinnosť a administratívne povinnosti zdaniteľných osôb.</w:t>
      </w:r>
    </w:p>
    <w:p w:rsidR="007E0AE0">
      <w:p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</w:r>
      <w:r>
        <w:rPr>
          <w:rFonts w:ascii="Times New Roman" w:hAnsi="Times New Roman" w:cs="Times New Roman"/>
          <w:b/>
          <w:bCs/>
        </w:rPr>
        <w:t>Stupeň zlučiteľnosti návrhu zákona s právom Európskych spoločenstiev a právom Európskej únie:</w:t>
      </w:r>
    </w:p>
    <w:p w:rsidR="007E0AE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7E0AE0">
      <w:pPr>
        <w:pStyle w:val="BodyTextIndent3"/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Právna úprava dane z pridanej hodnoty je čiastočne kompatibilná so Šiestou smernicou Rady EÚ 77/388/EHS zo 17.05.1997 o harmonizácii zákonov členských štátov o dani z obratu. Úplnú kompatibilitu je možné dosiahnuť v oblasti dane z pridanej hodnoty až vstupom Slovenskej republiky do Európskej únie.</w:t>
      </w:r>
    </w:p>
    <w:p w:rsidR="007E0AE0">
      <w:p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6.</w:t>
        <w:tab/>
      </w:r>
      <w:r>
        <w:rPr>
          <w:rFonts w:ascii="Times New Roman" w:hAnsi="Times New Roman" w:cs="Times New Roman"/>
          <w:b/>
          <w:bCs/>
        </w:rPr>
        <w:t>Gestor:</w:t>
      </w:r>
    </w:p>
    <w:p w:rsidR="007E0AE0">
      <w:pPr>
        <w:pStyle w:val="BodyTextIndent3"/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financií Slovenskej republiky.</w:t>
      </w:r>
    </w:p>
    <w:p w:rsidR="007E0AE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7E0AE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  <w:tab/>
      </w:r>
      <w:r>
        <w:rPr>
          <w:rFonts w:ascii="Times New Roman" w:hAnsi="Times New Roman" w:cs="Times New Roman"/>
          <w:b/>
          <w:bCs/>
        </w:rPr>
        <w:t>Účasť expertov pri príprave návrhu zákona a ich stanovisko k zlučiteľnosti návrhu zákona s právom Európskych spoločenstiev a právom Európskej únie:</w:t>
      </w:r>
    </w:p>
    <w:p w:rsidR="007E0AE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7E0AE0">
      <w:pPr>
        <w:pStyle w:val="BodyTextIndent3"/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príprave návrhu zákona neboli zúčastnení experti.</w:t>
      </w:r>
    </w:p>
    <w:p w:rsidR="007E0AE0">
      <w:pPr>
        <w:tabs>
          <w:tab w:val="left" w:pos="360"/>
          <w:tab w:val="left" w:pos="720"/>
          <w:tab w:val="left" w:pos="2520"/>
        </w:tabs>
        <w:ind w:left="360"/>
        <w:jc w:val="both"/>
        <w:rPr>
          <w:rFonts w:ascii="Times New Roman" w:hAnsi="Times New Roman" w:cs="Times New Roman"/>
        </w:rPr>
      </w:pPr>
    </w:p>
    <w:p w:rsidR="006E2C12" w:rsidP="00730B22">
      <w:pPr>
        <w:tabs>
          <w:tab w:val="left" w:pos="360"/>
          <w:tab w:val="left" w:pos="720"/>
          <w:tab w:val="left" w:pos="2520"/>
        </w:tabs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 Merlin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72" w:rsidP="007E0AE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90C7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72" w:rsidP="007E0AE0">
    <w:pPr>
      <w:pStyle w:val="Footer"/>
      <w:framePr w:vAnchor="text" w:hAnchor="margin" w:xAlign="center" w:y="1"/>
      <w:jc w:val="center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53B44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990C7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</w:p>
  <w:p w:rsidR="00990C72" w:rsidP="0041053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2E8C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">
    <w:nsid w:val="0EEA69A3"/>
    <w:multiLevelType w:val="hybridMultilevel"/>
    <w:tmpl w:val="9B38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C13DF6"/>
    <w:multiLevelType w:val="hybridMultilevel"/>
    <w:tmpl w:val="453C8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1053C"/>
    <w:rsid w:val="006E2C12"/>
    <w:rsid w:val="00730B22"/>
    <w:rsid w:val="007E0AE0"/>
    <w:rsid w:val="00882E9C"/>
    <w:rsid w:val="00990C72"/>
    <w:rsid w:val="00C53B44"/>
    <w:rsid w:val="00FD68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T* Merlin" w:hAnsi="AT* Merlin"/>
      <w:noProof/>
      <w:sz w:val="28"/>
      <w:szCs w:val="2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pPr>
      <w:pBdr>
        <w:bottom w:val="single" w:sz="12" w:space="1" w:color="auto"/>
      </w:pBdr>
      <w:jc w:val="both"/>
    </w:pPr>
    <w:rPr>
      <w:b/>
      <w:i/>
      <w:szCs w:val="20"/>
    </w:rPr>
  </w:style>
  <w:style w:type="paragraph" w:styleId="BodyTextIndent">
    <w:name w:val="Body Text Indent"/>
    <w:basedOn w:val="Normal"/>
    <w:pPr>
      <w:ind w:left="705"/>
      <w:jc w:val="both"/>
    </w:pPr>
    <w:rPr>
      <w:szCs w:val="20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  <w:sz w:val="2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687</Words>
  <Characters>4057</Characters>
  <Application>Microsoft Office Word</Application>
  <DocSecurity>0</DocSecurity>
  <Lines>0</Lines>
  <Paragraphs>0</Paragraphs>
  <ScaleCrop>false</ScaleCrop>
  <Company>MRSR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Sekcia legislatívna a majetkovo právna</dc:title>
  <dc:creator>User</dc:creator>
  <cp:lastModifiedBy>User</cp:lastModifiedBy>
  <cp:revision>2</cp:revision>
  <cp:lastPrinted>2003-05-29T12:08:00Z</cp:lastPrinted>
  <dcterms:created xsi:type="dcterms:W3CDTF">2003-05-29T12:37:00Z</dcterms:created>
  <dcterms:modified xsi:type="dcterms:W3CDTF">2003-05-29T12:37:00Z</dcterms:modified>
</cp:coreProperties>
</file>