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>
      <w:pPr>
        <w:pStyle w:val="Zkladntex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návrhu zákona s právom Európskych spoločenstiev </w:t>
      </w:r>
    </w:p>
    <w:p>
      <w:pPr>
        <w:pStyle w:val="Zkladntex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 právom Európskej únie</w:t>
      </w:r>
    </w:p>
    <w:p>
      <w:pPr>
        <w:pStyle w:val="Zkladntext0"/>
        <w:spacing w:after="120"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spacing w:after="120" w:line="340" w:lineRule="atLeast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Navrhovateľ zákona: </w:t>
      </w:r>
    </w:p>
    <w:p>
      <w:pPr>
        <w:pStyle w:val="Zkladntext0"/>
        <w:spacing w:after="120" w:line="340" w:lineRule="atLeas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  <w:tab/>
        <w:t>Vláda Slovenskej republiky</w:t>
      </w:r>
    </w:p>
    <w:p>
      <w:pPr>
        <w:pStyle w:val="Zkladntext0"/>
        <w:spacing w:after="120" w:line="3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Názov  návrhu zákona: </w:t>
      </w:r>
    </w:p>
    <w:p>
      <w:pPr>
        <w:pStyle w:val="Zkladntext0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Zákon, ktorým sa mení zákon Národnej rady Slovenskej republiky č. 312/1993 Z. z.                 o spotrebnej dani z tabaku a tabakových výrobkov v znení neskorších predpisov.</w:t>
      </w:r>
    </w:p>
    <w:p>
      <w:pPr>
        <w:pStyle w:val="Zkladntext0"/>
        <w:spacing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Záväzky  Slovenskej</w:t>
      </w:r>
      <w:r>
        <w:rPr>
          <w:rFonts w:ascii="Times New Roman" w:hAnsi="Times New Roman" w:cs="Times New Roman"/>
          <w:b/>
          <w:sz w:val="24"/>
          <w:szCs w:val="24"/>
        </w:rPr>
        <w:t xml:space="preserve">  republiky vo  vzťahu k Európskym  spoločenstvám a  Európskej únii:</w:t>
      </w:r>
    </w:p>
    <w:p>
      <w:pPr>
        <w:pStyle w:val="Zkladntext0"/>
        <w:spacing w:after="12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  <w:tab/>
        <w:t>Návrh zákona patrí svojou problematikou medzi prioritné oblasti aproximácie práva uvedené v článku 70 Európskej dohody o pridružení – nepriame zdaňovanie.</w:t>
      </w:r>
    </w:p>
    <w:p>
      <w:pPr>
        <w:pStyle w:val="Zkladntext0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hľadiska Národného programu pre prijatie acquis communautaire predkladaný návrh zákona patrí medzi prioritné oblasti aproximácie práva – Kapitola  č. 10 -  Dane a taktiež je prioritou aj podľa Partnerstva pre vstup.</w:t>
      </w:r>
    </w:p>
    <w:p>
      <w:pPr>
        <w:pStyle w:val="Zkladntext0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patrí medzi priority odporúčané v Príprave asociovaných krajín strednej a východnej Európy na integráciu  do vnútorného  trhu Európskej únie - Kapitola 22. Bielej knihy - Nepriame  zdaňovanie. </w:t>
      </w:r>
    </w:p>
    <w:p>
      <w:pPr>
        <w:pStyle w:val="Zkladntext0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návrhu zákona je obsiahnutá v screeningovej kapitole č.  10 – Dane.</w:t>
      </w:r>
    </w:p>
    <w:p>
      <w:pPr>
        <w:pStyle w:val="Zkladntext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vypracovaný mimo Plánu legislatívnych úloh vlády Slovenskej republiky na rok 2002.</w:t>
      </w:r>
    </w:p>
    <w:p>
      <w:pPr>
        <w:pStyle w:val="Zkladntext0"/>
        <w:numPr>
          <w:numId w:val="2"/>
        </w:numPr>
        <w:tabs>
          <w:tab w:val="num" w:pos="720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Negociačná pozícia (CONF-SK 64/00) bola odovzdaná dňa 14. novembra 2000. Kapitola č. 10 – Dane bola otvorená dňa 12. júna 2001. Slovenská republika žiada pre spotrebné dane jedno prechodné obdobie a jednu výnimku. Kapitola bola predbežne uzavretá v 21. marca 2002 (CONF-SK 9/02). Z negociačnej pozície ku kapitole č. 10 – Dane v oblasti spotrebných daní vyplývajú pre SR najmä tieto záväzky: zavedenie všeobecného systému uplatňovania spotrebnej dane (smernica č. 92/12/EHS), upresnenie štruktúry predmetu dane, harmonizácia sadzieb dane na úroveň minimálnych sadzieb uvedených v smerniciach Európskej únie. </w:t>
      </w:r>
    </w:p>
    <w:p>
      <w:pPr>
        <w:pStyle w:val="Zkladntext0"/>
        <w:spacing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Problematika návrhu zákona:</w:t>
      </w:r>
    </w:p>
    <w:p>
      <w:pPr>
        <w:pStyle w:val="Zkladntext0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je upravená v práve Európskych spoločenstiev:</w:t>
      </w:r>
    </w:p>
    <w:p>
      <w:pPr>
        <w:pStyle w:val="Zkladntext0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článk</w:t>
      </w:r>
      <w:r>
        <w:rPr>
          <w:rFonts w:ascii="Times New Roman" w:hAnsi="Times New Roman" w:cs="Times New Roman"/>
          <w:sz w:val="24"/>
          <w:szCs w:val="24"/>
        </w:rPr>
        <w:t>och 90 až 93 Zmluvy o založení ES,</w:t>
      </w:r>
    </w:p>
    <w:p>
      <w:pPr>
        <w:pStyle w:val="Zkladntext0"/>
        <w:spacing w:after="12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 smernici 92/12/EHS z 25.2.1992 o všeobecnom systéme, držbe, preprave a kontrole tovarov podliehajúcich spotrebnej dani  v  znení  </w:t>
      </w:r>
    </w:p>
    <w:p>
      <w:pPr>
        <w:pStyle w:val="Zkladntext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92/108/EHS zo 14.12.1992, </w:t>
      </w:r>
    </w:p>
    <w:p>
      <w:pPr>
        <w:pStyle w:val="Zkladntext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94/74/ES z 22.12.1994 a </w:t>
      </w:r>
    </w:p>
    <w:p>
      <w:pPr>
        <w:pStyle w:val="Zkladntext0"/>
        <w:spacing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smernice 96/99/ES z 30.12.1996.</w:t>
      </w:r>
    </w:p>
    <w:p>
      <w:pPr>
        <w:pStyle w:val="Zkladntext0"/>
        <w:numPr>
          <w:numId w:val="4"/>
        </w:numPr>
        <w:tabs>
          <w:tab w:val="num" w:pos="900"/>
          <w:tab w:val="clear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smernici 92/79/EHS z 19. októbra 1992 o priblížení sadzieb daní z cigariet v znení </w:t>
      </w:r>
    </w:p>
    <w:p>
      <w:pPr>
        <w:pStyle w:val="Zkladntext0"/>
        <w:ind w:left="72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99/81/ES z 29.7.1999 a </w:t>
      </w:r>
    </w:p>
    <w:p>
      <w:pPr>
        <w:pStyle w:val="Zkladntext0"/>
        <w:ind w:left="720"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smernice 2002/10/ES z 16.2.2002.</w:t>
      </w:r>
    </w:p>
    <w:p>
      <w:pPr>
        <w:pStyle w:val="Zkladntext0"/>
        <w:spacing w:before="120" w:after="120"/>
        <w:ind w:left="90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V smernici 92/80/EHS z 19. októbra 1992 o priblížení sadzieb daní z tabakových                      výrobkov iných ako cigarety v znení </w:t>
      </w:r>
    </w:p>
    <w:p>
      <w:pPr>
        <w:pStyle w:val="Zkladntext0"/>
        <w:ind w:left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smernice 99/81/ES z 29.7.1999 a</w:t>
      </w:r>
    </w:p>
    <w:p>
      <w:pPr>
        <w:pStyle w:val="Zkladntext0"/>
        <w:spacing w:after="120"/>
        <w:ind w:left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smernice 2002/10/ES z 16.2.2002.</w:t>
      </w:r>
    </w:p>
    <w:p>
      <w:pPr>
        <w:pStyle w:val="Zkladntext0"/>
        <w:numPr>
          <w:numId w:val="4"/>
        </w:numPr>
        <w:tabs>
          <w:tab w:val="num" w:pos="900"/>
          <w:tab w:val="clear" w:pos="1080"/>
        </w:tabs>
        <w:spacing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smernici 95/59/ES Rady z 25. novembra 1995 o iných spotrebných daniach z tabaku a tabakových výrobkov, ako je daň z obratu v znení </w:t>
      </w:r>
    </w:p>
    <w:p>
      <w:pPr>
        <w:pStyle w:val="Zkladntext0"/>
        <w:ind w:left="720"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99/81/ES z 29.7.1999 a </w:t>
      </w:r>
    </w:p>
    <w:p>
      <w:pPr>
        <w:pStyle w:val="Zkladntext0"/>
        <w:ind w:left="720"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smernice 2002/10/ES z 16.2.2002. </w:t>
      </w:r>
    </w:p>
    <w:p>
      <w:pPr>
        <w:pStyle w:val="BodyText"/>
        <w:spacing w:line="240" w:lineRule="auto"/>
        <w:ind w:left="90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  <w:tab/>
        <w:t>V smernici 1999/81/ES Rady z 29. júla 1999, ktorá mení a dopĺňa Smernicu 92/79/EHS o aproximácii daní z cigariet, Smernicu 92/80/EHS o aproximácii daní z tabaku spracovaného inak ako cigarety a Smernicu 95/59/ES o daniach iných než dane z obratu, ktoré ovplyvňujú spotrebu spracovaného tabaku.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>
      <w:pPr>
        <w:pStyle w:val="BodyText"/>
        <w:numPr>
          <w:numId w:val="3"/>
        </w:numPr>
        <w:tabs>
          <w:tab w:val="clear" w:pos="720"/>
          <w:tab w:val="num" w:pos="900"/>
          <w:tab w:val="left" w:pos="993"/>
        </w:tabs>
        <w:spacing w:line="240" w:lineRule="auto"/>
        <w:ind w:left="9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smernici 2002/10/ES Rady z 16. februára 2002, ktorá mení a dopĺňa smernice 92/79/EHS, 92/80/EHS a 95/59/ES pokiaľ ide o štruktúru  a sadzby spot</w:t>
      </w:r>
      <w:r>
        <w:rPr>
          <w:rFonts w:ascii="Times New Roman" w:hAnsi="Times New Roman" w:cs="Times New Roman"/>
          <w:szCs w:val="24"/>
        </w:rPr>
        <w:t>rebnej dane na priemyselný tabak.</w:t>
      </w:r>
    </w:p>
    <w:p>
      <w:pPr>
        <w:pStyle w:val="Body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</w:p>
    <w:p>
      <w:pPr>
        <w:pStyle w:val="BodyText"/>
        <w:spacing w:line="240" w:lineRule="auto"/>
        <w:ind w:left="3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Články 90 až 93 Zmluvy o ES upravujú záväzky členských štátov v oblasti priameho a nepriameho zdaňovania.</w:t>
      </w:r>
    </w:p>
    <w:p>
      <w:pPr>
        <w:pStyle w:val="BodyText"/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92/12/EHS stanovuje systém pre výrobky podliehajúce spotrebnej dani a iným nepriamym daniam, s výnimkou dane z pridanej hodnoty a daní, stanovených spoločenstvom.</w:t>
      </w:r>
    </w:p>
    <w:p>
      <w:pPr>
        <w:pStyle w:val="BodyText"/>
        <w:spacing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92/108/EHS je novelou smernice č. 92/12/EHS a upravuje povinnosť pre členské štáty zaviesť okrem iného elektronickú databázu oprávnených vlastníkov skladov a daňových skla</w:t>
      </w:r>
      <w:r>
        <w:rPr>
          <w:rFonts w:ascii="Times New Roman" w:hAnsi="Times New Roman" w:cs="Times New Roman"/>
          <w:szCs w:val="24"/>
        </w:rPr>
        <w:softHyphen/>
        <w:t>dov.</w:t>
      </w:r>
    </w:p>
    <w:p>
      <w:pPr>
        <w:pStyle w:val="BodyText"/>
        <w:spacing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</w:t>
      </w:r>
      <w:r>
        <w:rPr>
          <w:rFonts w:ascii="Times New Roman" w:hAnsi="Times New Roman" w:cs="Times New Roman"/>
          <w:szCs w:val="24"/>
        </w:rPr>
        <w:t>a č. 92/79/EHS stanovuje minimálne sadzby spotrebných daní z cigariet.</w:t>
      </w:r>
    </w:p>
    <w:p>
      <w:pPr>
        <w:pStyle w:val="BodyText"/>
        <w:spacing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92/80/EHS stanovuje minimálne sadzby spotrebných daní z iných tabakových výrobkov ako sú cigarety.</w:t>
      </w:r>
    </w:p>
    <w:p>
      <w:pPr>
        <w:pStyle w:val="BodyText"/>
        <w:spacing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95/59/ES harmonizuje štruktúru spotrebných daní z tabakových v</w:t>
      </w:r>
      <w:r>
        <w:rPr>
          <w:rFonts w:ascii="Times New Roman" w:hAnsi="Times New Roman" w:cs="Times New Roman"/>
          <w:szCs w:val="24"/>
        </w:rPr>
        <w:t xml:space="preserve">ýrobkov. </w:t>
      </w:r>
    </w:p>
    <w:p>
      <w:pPr>
        <w:pStyle w:val="BodyText"/>
        <w:spacing w:before="0" w:after="120"/>
        <w:ind w:left="3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1999/81/ES novelizuje smernice č. 92/79/EHS, 92/80/EHS a 95/59/EHS.</w:t>
      </w:r>
    </w:p>
    <w:p>
      <w:pPr>
        <w:pStyle w:val="BodyText"/>
        <w:ind w:left="3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Smernica č. 2002/10/ES novelizuje smernice č. 92/79/EHS, 92/80/EHS a 95/59/EHS.</w:t>
      </w:r>
    </w:p>
    <w:p>
      <w:pPr>
        <w:ind w:left="283"/>
        <w:jc w:val="both"/>
        <w:rPr>
          <w:rFonts w:ascii="Times New Roman" w:hAnsi="Times New Roman" w:cs="Times New Roman"/>
          <w:szCs w:val="24"/>
        </w:rPr>
      </w:pPr>
    </w:p>
    <w:p>
      <w:pPr>
        <w:ind w:left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Preklady uvedených smerníc sa nachádzajú v databáze Centrálnej prekladateľskej jednotky  Úradu vlády SR Inštitútu pre aproximáciu práva. V elektronickej podobe je možné si ich vyhľadať na internetovej stránke www. aprox.government.gov.sk.</w:t>
      </w:r>
    </w:p>
    <w:p>
      <w:pPr>
        <w:pStyle w:val="dka"/>
        <w:spacing w:after="120"/>
        <w:ind w:left="360" w:hanging="360"/>
        <w:jc w:val="both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nie je upravená v práve Európskej únie.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dka"/>
        <w:spacing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Stupeň zlučiteľnosti návrhu zákona s právom Európskych spoločenstiev a právom Európskej únie:</w:t>
      </w:r>
    </w:p>
    <w:p>
      <w:pPr>
        <w:pStyle w:val="Zkladntext0"/>
        <w:numPr>
          <w:numId w:val="5"/>
        </w:numPr>
        <w:spacing w:before="120" w:after="120" w:line="3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čiastočná kompatibilita. </w:t>
      </w:r>
    </w:p>
    <w:p>
      <w:pPr>
        <w:pStyle w:val="dk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ekonomických a sociálnych dopadov sa úprava sadzieb spotrebnej dane zavádza postupne podľa schváleného harmonogramu tak, aby sa výška minimálnej sadzby dane u cigariet dosi</w:t>
      </w:r>
      <w:r>
        <w:rPr>
          <w:rFonts w:ascii="Times New Roman" w:hAnsi="Times New Roman" w:cs="Times New Roman"/>
          <w:sz w:val="24"/>
          <w:szCs w:val="24"/>
        </w:rPr>
        <w:t>ahla k 1. januáru 2009.</w:t>
      </w:r>
    </w:p>
    <w:p>
      <w:pPr>
        <w:pStyle w:val="dka"/>
        <w:spacing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Gestor  (spolupracujúce rezorty):</w:t>
      </w:r>
    </w:p>
    <w:p>
      <w:pPr>
        <w:pStyle w:val="dka"/>
        <w:spacing w:after="120"/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Ministerstvo financií Slovenskej republiky.</w:t>
      </w:r>
      <w:r>
        <w:rPr>
          <w:rFonts w:ascii="Times New Roman" w:hAnsi="Times New Roman" w:cs="Times New Roman"/>
          <w:szCs w:val="24"/>
        </w:rPr>
        <w:t xml:space="preserve"> </w:t>
      </w:r>
    </w:p>
    <w:p>
      <w:pPr>
        <w:pStyle w:val="Zkladntext0"/>
        <w:spacing w:before="120"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 Účasť expertov:</w:t>
      </w:r>
    </w:p>
    <w:p>
      <w:pPr>
        <w:tabs>
          <w:tab w:val="left" w:pos="360"/>
        </w:tabs>
        <w:spacing w:after="120"/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</w:t>
        <w:tab/>
      </w:r>
      <w:r>
        <w:rPr>
          <w:rFonts w:ascii="Times New Roman" w:hAnsi="Times New Roman" w:cs="Times New Roman"/>
          <w:szCs w:val="24"/>
        </w:rPr>
        <w:t>Na príprave návrhu zákona sa nezúčastnili zahraniční experti.</w:t>
      </w:r>
    </w:p>
    <w:p>
      <w:pPr>
        <w:spacing w:after="120"/>
        <w:ind w:left="360" w:hanging="360"/>
        <w:jc w:val="both"/>
        <w:rPr>
          <w:rFonts w:ascii="Times New Roman" w:hAnsi="Times New Roman" w:cs="Times New Roman"/>
          <w:szCs w:val="24"/>
        </w:rPr>
      </w:pPr>
    </w:p>
    <w:p>
      <w:pPr>
        <w:spacing w:after="120"/>
        <w:ind w:left="360" w:hanging="360"/>
        <w:jc w:val="both"/>
        <w:rPr>
          <w:rFonts w:ascii="Times New Roman" w:hAnsi="Times New Roman" w:cs="Times New Roman"/>
          <w:szCs w:val="24"/>
        </w:rPr>
      </w:pPr>
    </w:p>
    <w:p>
      <w:pPr>
        <w:pStyle w:val="Zkladntext0"/>
        <w:ind w:left="360" w:hanging="360"/>
        <w:rPr>
          <w:rFonts w:ascii="Times New Roman" w:hAnsi="Times New Roman" w:cs="Times New Roman"/>
          <w:sz w:val="24"/>
          <w:szCs w:val="24"/>
        </w:rPr>
      </w:pPr>
    </w:p>
    <w:p>
      <w:pPr>
        <w:pStyle w:val="Heading8"/>
        <w:spacing w:before="0"/>
        <w:ind w:left="360" w:hanging="360"/>
        <w:outlineLvl w:val="7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szCs w:val="24"/>
        </w:rPr>
      </w:pPr>
    </w:p>
    <w:sectPr>
      <w:footerReference w:type="default" r:id="rId4"/>
      <w:pgSz w:w="11905" w:h="16838"/>
      <w:pgMar w:top="1418" w:right="1418" w:bottom="1418" w:left="1418" w:header="709" w:footer="709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kladntext0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color w:val="auto"/>
        <w:szCs w:val="24"/>
      </w:rPr>
      <w:fldChar w:fldCharType="begin"/>
    </w:r>
    <w:r>
      <w:rPr>
        <w:rFonts w:ascii="Times New Roman" w:hAnsi="Times New Roman" w:cs="Times New Roman"/>
        <w:color w:val="auto"/>
        <w:szCs w:val="24"/>
      </w:rPr>
      <w:instrText>PAGE \*ARABIC</w:instrText>
    </w:r>
    <w:r>
      <w:rPr>
        <w:rFonts w:ascii="Times New Roman" w:hAnsi="Times New Roman" w:cs="Times New Roman"/>
        <w:color w:val="auto"/>
        <w:szCs w:val="24"/>
      </w:rPr>
      <w:fldChar w:fldCharType="separate"/>
    </w:r>
    <w:r>
      <w:rPr>
        <w:rFonts w:ascii="Times New Roman" w:hAnsi="Times New Roman" w:cs="Times New Roman"/>
        <w:noProof/>
        <w:color w:val="auto"/>
        <w:szCs w:val="24"/>
      </w:rPr>
      <w:t>1</w:t>
    </w:r>
    <w:r>
      <w:rPr>
        <w:rFonts w:ascii="Times New Roman" w:hAnsi="Times New Roman" w:cs="Times New Roman"/>
        <w:color w:val="auto"/>
        <w:szCs w:val="24"/>
      </w:rPr>
      <w:fldChar w:fldCharType="end"/>
    </w:r>
  </w:p>
  <w:p>
    <w:pPr>
      <w:pStyle w:val="Zkladntext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2EE"/>
    <w:multiLevelType w:val="hybridMultilevel"/>
    <w:tmpl w:val="B06E1536"/>
    <w:lvl w:ilvl="0">
      <w:start w:val="1"/>
      <w:numFmt w:val="lowerLetter"/>
      <w:lvlText w:val="%1)"/>
      <w:lvlJc w:val="left"/>
      <w:pPr>
        <w:tabs>
          <w:tab w:val="num" w:pos="10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hanging="180"/>
      </w:pPr>
    </w:lvl>
  </w:abstractNum>
  <w:abstractNum w:abstractNumId="1">
    <w:nsid w:val="4B402C59"/>
    <w:multiLevelType w:val="hybridMultilevel"/>
    <w:tmpl w:val="7F205AD8"/>
    <w:lvl w:ilvl="0">
      <w:start w:val="3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2">
    <w:nsid w:val="51B8543F"/>
    <w:multiLevelType w:val="hybridMultilevel"/>
    <w:tmpl w:val="4B940430"/>
    <w:lvl w:ilvl="0">
      <w:start w:val="2"/>
      <w:numFmt w:val="lowerLetter"/>
      <w:lvlText w:val="%1)"/>
      <w:lvlJc w:val="left"/>
      <w:pPr>
        <w:tabs>
          <w:tab w:val="num" w:pos="1146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hanging="180"/>
      </w:pPr>
    </w:lvl>
  </w:abstractNum>
  <w:abstractNum w:abstractNumId="3">
    <w:nsid w:val="57AF299D"/>
    <w:multiLevelType w:val="hybrid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hanging="360"/>
      </w:pPr>
      <w:rPr>
        <w:rFonts w:ascii="Wingdings" w:hAnsi="Wingdings" w:hint="default"/>
      </w:rPr>
    </w:lvl>
  </w:abstractNum>
  <w:abstractNum w:abstractNumId="4">
    <w:nsid w:val="7F1A5FD7"/>
    <w:multiLevelType w:val="hybridMultilevel"/>
    <w:tmpl w:val="1648323E"/>
    <w:lvl w:ilvl="0">
      <w:start w:val="2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8">
    <w:name w:val="heading 8"/>
    <w:basedOn w:val="Normal"/>
    <w:next w:val="Normal"/>
    <w:uiPriority w:val="99"/>
    <w:pPr>
      <w:keepNext/>
      <w:autoSpaceDE w:val="0"/>
      <w:autoSpaceDN w:val="0"/>
      <w:spacing w:before="100"/>
      <w:ind w:firstLine="340"/>
      <w:jc w:val="both"/>
      <w:outlineLvl w:val="7"/>
    </w:pPr>
    <w:rPr>
      <w:b/>
    </w:rPr>
  </w:style>
  <w:style w:type="character" w:default="1" w:styleId="DefaultParagraphFont">
    <w:name w:val="Default Paragraph Font"/>
    <w:uiPriority w:val="99"/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kladntext0">
    <w:name w:val="Zkladn text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dka">
    <w:name w:val="dka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styleId="BodyText">
    <w:name w:val="Body Text"/>
    <w:basedOn w:val="Normal"/>
    <w:uiPriority w:val="99"/>
    <w:pPr>
      <w:widowControl w:val="0"/>
      <w:autoSpaceDE w:val="0"/>
      <w:autoSpaceDN w:val="0"/>
      <w:adjustRightInd w:val="0"/>
      <w:spacing w:before="120" w:line="360" w:lineRule="auto"/>
      <w:jc w:val="both"/>
    </w:pPr>
    <w:rPr>
      <w:color w:val="000000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3</Pages>
  <Words>713</Words>
  <Characters>4066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MF_SR</dc:creator>
  <cp:lastModifiedBy>MF_SR</cp:lastModifiedBy>
  <cp:revision>7</cp:revision>
  <cp:lastPrinted>2002-10-22T16:35:00Z</cp:lastPrinted>
  <dcterms:created xsi:type="dcterms:W3CDTF">2002-10-22T12:10:00Z</dcterms:created>
  <dcterms:modified xsi:type="dcterms:W3CDTF">2003-05-28T15:15:00Z</dcterms:modified>
</cp:coreProperties>
</file>