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TABUĽKA ZHODY</w:t>
      </w:r>
    </w:p>
    <w:p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návrhu zákona, </w:t>
      </w:r>
      <w:r>
        <w:rPr>
          <w:rFonts w:ascii="Times New Roman" w:hAnsi="Times New Roman" w:cs="Times New Roman"/>
          <w:b/>
        </w:rPr>
        <w:t>ktorým sa mení a dopĺňa zákon č. 381/2001 Z.z. o povinnom zmluvnom poistení zodpovednosti za škodu spôsobenú prevádzkou motorového vozidla a o zmene a doplnení niektorých zákonov v znení neskorších predpisov a o zmene a doplnení niektorých zákonov s právom Európskych spoločenstiev a</w:t>
      </w:r>
      <w:r>
        <w:rPr>
          <w:rFonts w:ascii="Times New Roman" w:hAnsi="Times New Roman" w:cs="Times New Roman"/>
          <w:b/>
          <w:lang w:val="sk-SK"/>
        </w:rPr>
        <w:t xml:space="preserve"> právom Európskej únie</w:t>
      </w:r>
    </w:p>
    <w:p>
      <w:pPr>
        <w:rPr>
          <w:rFonts w:ascii="Times New Roman" w:hAnsi="Times New Roman" w:cs="Times New Roman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4111"/>
        <w:gridCol w:w="851"/>
        <w:gridCol w:w="708"/>
        <w:gridCol w:w="709"/>
        <w:gridCol w:w="3119"/>
        <w:gridCol w:w="567"/>
        <w:gridCol w:w="1134"/>
        <w:gridCol w:w="1134"/>
        <w:gridCol w:w="99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4"/>
        </w:trPr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Právny akt ES/EÚ</w:t>
            </w:r>
          </w:p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Smernica č. 84/5/EHS z 30. decembra 1983 o aproximácii zákonov členských štátov týkajúcej sa poistenia občianskoprávnej zodpovednosti za prevádzku motorových v</w:t>
            </w:r>
            <w:r>
              <w:rPr>
                <w:rFonts w:ascii="Times New Roman" w:hAnsi="Times New Roman" w:cs="Times New Roman"/>
                <w:b/>
                <w:lang w:val="sk-SK"/>
              </w:rPr>
              <w:t>ozidiel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Všeobecne záväzné právne predpisy SR</w:t>
            </w:r>
          </w:p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Návrh zákona, ktorým sa mení a dopĺňa zákon č. 381/2001 Z.z. o povinnom zmluvnom poistení zodpovednosti za škodu spôsobenú prevádzkou motorového vozidla a o zmene a doplnení niektorých zákonov v znení neskorších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 predpisov a o zmene a doplnení niektorých zákonov </w:t>
            </w:r>
          </w:p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Zákon č. 381/2001 Z.z. o povinnom zmluvnom poistení zodpovednosti za škodu spôsobenú prevádzkou motorového vozidla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sk-SK"/>
              </w:rPr>
              <w:t>č.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Spô-  sob trans-pozície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Člá- nok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Administratívna infraštrukt</w:t>
            </w:r>
            <w:r>
              <w:rPr>
                <w:rFonts w:ascii="Times New Roman" w:hAnsi="Times New Roman" w:cs="Times New Roman"/>
                <w:b/>
                <w:sz w:val="20"/>
                <w:lang w:val="sk-SK"/>
              </w:rPr>
              <w:t>úra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Poznámky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Štádium legislatívneho procesu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357"/>
                <w:tab w:val="left" w:pos="54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Poistenie uvedené v článku 3 (1) smernice 72/166/EHS povinne pokrýva škodu na majetku ako aj osobné ujmy.</w:t>
            </w: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  <w:r>
              <w:rPr>
                <w:rFonts w:ascii="Arial" w:hAnsi="Arial" w:cs="Times New Roman"/>
                <w:noProof/>
              </w:rPr>
              <w:t xml:space="preserve">      </w:t>
            </w: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rPr>
                <w:rFonts w:ascii="Arial" w:hAnsi="Arial" w:cs="Times New Roman"/>
                <w:noProof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357"/>
                <w:tab w:val="left" w:pos="54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Bez dotknutia vyšších záruk, ktoré môžu byť stanovené členskými štátmi, každý členský štátpožaduje, aby boli sumy, pre ktoré bude poistenie povinné, prinajmenšom:</w:t>
            </w:r>
          </w:p>
          <w:p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-</w:t>
              <w:tab/>
              <w:t xml:space="preserve">v prípade osobnej ujmy, 350 000 ECU, ak je iba jeden poškodený; ak je do jedného </w:t>
              <w:tab/>
              <w:t xml:space="preserve">nároku zahrnutých viac ako jeden poškodený, táto suma sa vynásobí počtom </w:t>
              <w:tab/>
              <w:t>poškod</w:t>
            </w:r>
            <w:r>
              <w:rPr>
                <w:rFonts w:ascii="Times New Roman" w:hAnsi="Times New Roman" w:cs="Times New Roman"/>
                <w:lang w:val="sk-SK"/>
              </w:rPr>
              <w:t>ených,</w:t>
            </w: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-</w:t>
              <w:tab/>
              <w:t xml:space="preserve">v prípade škody na majetku, 100 000 ECU na nárok, bez ohľadu na počet </w:t>
              <w:tab/>
              <w:t>poškodených.</w:t>
            </w: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Členské štáty môžu, namiesto vyššie uvedených minimálnych súm, zaviesť minimálnu sumu 500 000 ECU pre osobnú ujmu v prípade, keď jeden nárok zahŕňa viac ako jedného poškodeného alebo, v prípade osobnej ujmy a škody na majetku, minimálnu celkovú sumu 600 000 ECU na jeden nárok, bez ohľadu na počet poškodených alebo charakter škody.</w:t>
            </w:r>
          </w:p>
          <w:p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Pre účely tejto smernice, „ECU“ znamená účtovnú jednotku ako je definované v článku 1 nariadenia (EHS) č. 3180/78. Konverzná hodnota  v národnej mene, ktorá má byť prijatá na nasledujúce štvorročné obdobia od 1. januára prvého roku každého obdobia, bude tá, ktorá sa získa v posledný deň predchádzajúceho septembra, pre ktorý sú dostupné konverzné hodnoty ECU vo všetkých menách spoločenstva. </w:t>
            </w:r>
            <w:r>
              <w:rPr>
                <w:rFonts w:ascii="Times New Roman" w:hAnsi="Times New Roman" w:cs="Times New Roman"/>
                <w:lang w:val="fr-FR"/>
              </w:rPr>
              <w:t>Prvé obdobie sa začne dňa 1. januára 1984.</w:t>
            </w: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Každý členský štát vymenuje alebo splnomocní orgán, ktorého úlohou bude zabezpečiť náhradu škody, najmenej do výšky povinného poistenia za škodu na majetku al</w:t>
            </w:r>
            <w:r>
              <w:rPr>
                <w:rFonts w:ascii="Times New Roman" w:hAnsi="Times New Roman" w:cs="Times New Roman"/>
                <w:lang w:val="fr-FR"/>
              </w:rPr>
              <w:t xml:space="preserve">ebo osobné ujmy spôsobené neidentifikovaným vozidlom alebo vozidlom, ktoré nemalo splnené povinné poistenie stanovené v odseku 1. </w:t>
            </w: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Toto ustanovenie nebude poškodzovať právo členských štátov považovať náhradu škody týmto orgánom ako doplnkovú alebo nie doplnkovú a právo prijať ustanovenie na urovnanie nárokov medzi tým orgánom a osobou alebo osobami zodpovednými za nehodu,  a ostatnými poisťovateľmi alebo orgánmi sociálneho zabezpečenia, od ktorých sa požaduje kompenzácia poškodeného, pokiaľ ide o tú </w:t>
            </w:r>
            <w:r>
              <w:rPr>
                <w:rFonts w:ascii="Times New Roman" w:hAnsi="Times New Roman" w:cs="Times New Roman"/>
                <w:lang w:val="fr-FR"/>
              </w:rPr>
              <w:t>istú nehodu.</w:t>
            </w: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Poškodený sa môže v každom prípade obrátiť na orgán, ktorý, na základe informácií poskytnutých na žiadosť od poškodeného, bude povinný poškodenému dať zdôvodnenú odpoveď ohľadom vyplatenia náhrady škody.</w:t>
            </w: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Členské štáty však môžu vylúčiť vyplatenie kompenzácie týmto orgánom, pokiaľ ide o osoby, ktoré dobrovoľne vstúpili do vozidla, ktoré zapríčinilo nehodu alebo ujmu, v prípade, keď orgán môže dokázať, že tieto osoby si boli vedomé, že vozidlo nebolo poistené.</w:t>
            </w: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Členské štáty môžu obmedziť alebo vylúčiť vyplatenie kompenzácie tým orgánom v prípade, že došlo k poškodeniu na majetku neidentifikovaným vozidlom.</w:t>
            </w:r>
          </w:p>
          <w:p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V prípade škody na majetku zapríčinenej nepoisteným vozidlom, môžu schváliť sumu neprevyšujúcu 500 ECU, za ktorú môže poškodený niesť zodpovednosť.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fr-FR"/>
              </w:rPr>
              <w:t>Navyše, každý členský štát uplatňuje svoje zákony, nariadenia a administratívne opatrenia pre vyplácanie kompenzácie týmto orgánom, bez poškodenia akéhokoľvek iného postupu, ktorý je výhodnejší pre poškodeného.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Zákon č. 381/ 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Zákon č. 381/ 2001 Z.z. 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4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ods.2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pís.a)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pís.b)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pís.c) 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pís.d)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24 ods.2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pís.a)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pís.b)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Poistený má z poistenia zodpovednosti právo, aby poisťovateľ za neho nahradil poškodenému uplatnené a preukázané nároky na náhradu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škody na zdraví a nákla</w:t>
            </w:r>
            <w:r>
              <w:rPr>
                <w:rFonts w:ascii="Times New Roman" w:hAnsi="Times New Roman" w:cs="Times New Roman"/>
                <w:i/>
              </w:rPr>
              <w:t>dov pri usmrtení</w:t>
            </w:r>
            <w:r>
              <w:rPr>
                <w:rFonts w:ascii="Times New Roman" w:hAnsi="Times New Roman" w:cs="Times New Roman"/>
              </w:rPr>
              <w:t xml:space="preserve"> ako aj škody vzniknutej úhradou nákladov, zdravotnej starostlivosti, dávok nemocenského poistenia a dávok dôchodkového poistenia.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BodyText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škody vzniknutej poškodením, zničením, odcudzením alebo stratou veci,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účelne vynaložených nákladov spojených s právnym zastúpením pri uplatňovaní nárokov</w:t>
            </w:r>
            <w:r>
              <w:rPr>
                <w:rFonts w:ascii="Times New Roman" w:hAnsi="Times New Roman" w:cs="Times New Roman"/>
              </w:rPr>
              <w:t xml:space="preserve"> podľa písmen a), b) a d),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ušlého zisku. 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pStyle w:val="BodyText"/>
              <w:spacing w:line="36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odyText"/>
              <w:spacing w:line="36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odyText"/>
              <w:spacing w:line="36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odyText"/>
              <w:spacing w:line="36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BodyText"/>
              <w:spacing w:line="360" w:lineRule="atLeas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pStyle w:val="BodyText"/>
              <w:ind w:left="72"/>
              <w:jc w:val="both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BodyText"/>
              <w:ind w:left="7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Kancelária poskytuje z poistného garančného fondu poistné plnenie za</w:t>
            </w:r>
          </w:p>
          <w:p>
            <w:pPr>
              <w:pStyle w:val="BodyText"/>
              <w:ind w:left="7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škodu na zdraví a náklady pri usmrtení spôsobené prevádzkou</w:t>
            </w:r>
            <w:r>
              <w:rPr>
                <w:rFonts w:ascii="Times New Roman" w:hAnsi="Times New Roman" w:cs="Times New Roman"/>
                <w:i/>
              </w:rPr>
              <w:t xml:space="preserve"> nezisteného motorového vozidla, za</w:t>
            </w:r>
            <w:r>
              <w:rPr>
                <w:rFonts w:ascii="Times New Roman" w:hAnsi="Times New Roman" w:cs="Times New Roman"/>
              </w:rPr>
              <w:t xml:space="preserve">   ktorú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zodpovedá nezistená osoba,</w:t>
            </w:r>
          </w:p>
          <w:p>
            <w:pPr>
              <w:pStyle w:val="BodyText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škodu spôsobenú prevádzkou motorového vozidla, za ktorú zodpovedá osoba bez poistenia zodpovednosti</w:t>
            </w:r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ind w:left="72"/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pStyle w:val="BodyText"/>
              <w:spacing w:line="360" w:lineRule="atLeas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Úrad pre finančný trh, Slovenská kancelária poisťova teľov, 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7 ods. 2 zákona č. 381/2001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20 ods.1,      § 20 ods.2 pís. a) zákona č. 381/2001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24 ods. 7 zákona č. 381/</w:t>
            </w:r>
            <w:r>
              <w:rPr>
                <w:rFonts w:ascii="Times New Roman" w:hAnsi="Times New Roman" w:cs="Times New Roman"/>
                <w:lang w:val="sk-SK"/>
              </w:rPr>
              <w:t xml:space="preserve"> 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§ 15 ods.1 zákona č. 381/2001 Z.z. 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Každý členský štát prijme potrebné opatrenia, aby sa zabezpečilo, že akékoľvek zákonné ustanovenie alebo zmluvná klauzula obsiahnutá v poistnej zmluve vydanej v súlade s článkom 3 (1) smernice 72/166/EHS, ktorá vylučuje z poistenia používanie alebo riadenie vozidla:</w:t>
            </w:r>
          </w:p>
          <w:p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-</w:t>
              <w:tab/>
              <w:t>osoby, ktoré na to nemajú výslovnú alebo odvodenú právomoc, alebo</w:t>
            </w: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osoby, ktoré nevlastnia preukaz umožňujúci im viesť príslušné vozidlo, alebo</w:t>
            </w: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-</w:t>
              <w:tab/>
              <w:t xml:space="preserve">osoby, ktoré porušujú zákonné technické požiadavky týkajúce sa podmienky </w:t>
              <w:tab/>
              <w:t>a bezpečnosti príslušného vozidla,</w:t>
            </w: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sa považujú pre účely článku 3 (1) smernice 72/166/EHS za neplatné, pokiaľ ide o nároky tretích strán, poškodených nehodou.</w:t>
            </w: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Avšak ustanovenie alebo klauzula uvedené v prvej zarážke sa môžu uplatniť voči osobám, ktoré dobrovoľne vstúpili do vozidla, ktoré spôsobilo škodu alebo ujmu, v prípade keď poisťovateľ môže dokázať, že vedeli, že vozidlo bolo odcudzené.</w:t>
            </w: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Členské štáty majú možnosť – v prípade, kedy došlo k nehodám na ich území – neuplatniť ustanovenie v prvom pododseku, ak môže poškodený získať kompenzáciu za utrpené škody od orgánu sociálneho zabezpečenia.</w:t>
            </w:r>
          </w:p>
          <w:p>
            <w:pPr>
              <w:tabs>
                <w:tab w:val="left" w:pos="180"/>
              </w:tabs>
              <w:ind w:left="360"/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 prípade vozidiel odcudzených alebo získaných násilím, členské štáty môžu ustanoviť, že orgán špecifikovaný v článku 1 (4) zaplatí náhradu škody namiesto poisťovateľa za podmienok stanovených v odseku 1 tohto článku; ak je vozidlo normálne zaregistrované v inom členskom štáte, tento orgán nemôže uplatňovať žiadny nárok voči akémukoľvek orgánu v tom členskom štáte.</w:t>
            </w:r>
          </w:p>
          <w:p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Členské štáty, ktoré v prípade vozidla odcudzeného alebo získaného násilím, stanovia, aby orgán uvedený v článku 1 (4) zaplatil náhradu škody, môžu, pokiaľ ide o škodu na majetku, presne určiť sumu nie vyššiu ako 250 ECU, za ktorú môže niesť poškodený zodpovednosť.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12 ods.1 pís. d) zákona č. 381/2001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12 ods.1 pís. b) zákona č. 381/2001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§ 12 ods.1 pís. c) zákona č. 381/2001 Z.z.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Rodinní príslušníci poistenej osoby, vodiča alebo akejkoľvek inej osoby zodpovednej podľa občianskeho práva v prípade nehody, a ktorého zodpovednosť je krytá poistením uvedeným v článku 1 (1), sa nevylučujú z poistenia, pokiaľ ide o ich osobné ujmy na základe toho vzťahu.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§ 5 ods.1 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pís.b)  bod 1. zákona č. 381/2001 Z.z.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Členské štáty zmenia a doplnia svoje  vnútroštátne ustanovenia na dosiahnutie súladu s touto smernicou najneskôr do 31. decembra 1987. </w:t>
            </w:r>
            <w:r>
              <w:rPr>
                <w:rFonts w:ascii="Times New Roman" w:hAnsi="Times New Roman" w:cs="Times New Roman"/>
                <w:lang w:val="de-DE"/>
              </w:rPr>
              <w:t>Ihneď o tom informujú komisiu.</w:t>
            </w:r>
          </w:p>
          <w:p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Ustanovenia takto zmenené a doplnené sa uplatňujú najneskôr do 31. decembra 1988.</w:t>
            </w:r>
          </w:p>
          <w:p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Napriek odseku 2:</w:t>
            </w:r>
          </w:p>
          <w:p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lang w:val="de-DE"/>
              </w:rPr>
            </w:pP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(a)</w:t>
              <w:tab/>
              <w:t xml:space="preserve">Helénska republika bude mať lehotu do 31. decembra 1995, v ktorej zvýši záruky na </w:t>
              <w:tab/>
              <w:t>úrovne požadované článkom 1 (2). Ak využije túto možnosť, musí dať záruku, s odvolaním sa na čiastky ustanovené tým článkom: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lang w:val="de-DE"/>
              </w:rPr>
            </w:pP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ab/>
            </w:r>
            <w:r>
              <w:rPr>
                <w:rFonts w:ascii="Times New Roman" w:hAnsi="Times New Roman" w:cs="Times New Roman"/>
              </w:rPr>
              <w:t>- viac ako 16 % najneskôr do 31. decembra 1988,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- 31 % najneskôr do 31. decembra 1992;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  <w:tab/>
              <w:t>ostatné členské štáty majú lehotu, v ktorej zvýšia záruky na úrovne uvedené v článku 1 (2) do 31. decembra 1990. Členské štáty, ktoré využijú túto možnosť, musia do termínu uvedeného v odseku 1 zvýšiť záruky minimálne o polovicu rozdielu medzi zárukami platnými 1. januára 1984 a čiastkami ustanovenými v článku 1 (2).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Napriek o</w:t>
            </w:r>
            <w:r>
              <w:rPr>
                <w:rFonts w:ascii="Times New Roman" w:hAnsi="Times New Roman" w:cs="Times New Roman"/>
              </w:rPr>
              <w:t>dseku 2: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  <w:tab/>
              <w:t>Talianska republika môže stanoviť, že zvýšená suma ustanovená v piatom pododseku článku 1 (4) je do 31. decembra 1990  1000 ECU;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  <w:tab/>
              <w:t>Helénska republika a Írsko môžu stanoviť,že:</w:t>
            </w:r>
          </w:p>
          <w:p>
            <w:p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540"/>
              </w:tabs>
              <w:ind w:left="72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  <w:tab/>
              <w:t>kompenzácia orgánom uvedeným v článku 1 (4) za škodu na majetku sa vylučuje do 31. decembra 1992,</w:t>
            </w:r>
          </w:p>
          <w:p>
            <w:pPr>
              <w:tabs>
                <w:tab w:val="left" w:pos="540"/>
              </w:tabs>
              <w:ind w:left="720" w:hanging="720"/>
              <w:jc w:val="both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540"/>
              </w:tabs>
              <w:ind w:left="72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</w:t>
              <w:tab/>
              <w:t>čiastka uvedená v piatom pododseku článku 1 (4) a čiastka uvedená v druhom pododseku článku 2 (2) je do 31. decembra 1995 1 500 ECU.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357"/>
                <w:tab w:val="left" w:pos="54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Komisia predloží rade, najneskôr do 31. decembra 1989, správu o situácii v členských štátoch, ktoré využívajú prechodné opatrenia, ktoré predpokladá článok 5 (3) (a) a (4) (b) a pokiaľ je to potrebné, predložia návrhy na preskúma</w:t>
            </w:r>
            <w:r>
              <w:rPr>
                <w:rFonts w:ascii="Times New Roman" w:hAnsi="Times New Roman" w:cs="Times New Roman"/>
                <w:lang w:val="sk-SK"/>
              </w:rPr>
              <w:t>nie týchto opatrení na základe rozvoja.</w:t>
            </w:r>
          </w:p>
          <w:p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numPr>
                <w:ilvl w:val="0"/>
                <w:numId w:val="5"/>
              </w:numPr>
              <w:tabs>
                <w:tab w:val="left" w:pos="357"/>
                <w:tab w:val="left" w:pos="540"/>
              </w:tabs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Komisia predloží rade, najneskôr do 31. decembra 1993, správu o postupe implementácie tejto smernice a kde je to potrebné, predloží návrhy najmä ohľadom úpravy čiastok ustanovených článkom 1 (2) a (4).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</w:p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Táto smernica je adresovaná členským štátom.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>
      <w:pPr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6840" w:h="11907" w:orient="landscape" w:code="9"/>
      <w:pgMar w:top="1134" w:right="2880" w:bottom="1134" w:left="1440" w:header="1797" w:footer="1797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C05"/>
    <w:multiLevelType w:val="singleLevel"/>
    <w:tmpl w:val="28082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1E240D5"/>
    <w:multiLevelType w:val="multilevel"/>
    <w:tmpl w:val="7FECDD5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957BA"/>
    <w:multiLevelType w:val="multilevel"/>
    <w:tmpl w:val="E132EE3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7186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8443C26"/>
    <w:multiLevelType w:val="multilevel"/>
    <w:tmpl w:val="7ABE689E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2533E"/>
    <w:multiLevelType w:val="multilevel"/>
    <w:tmpl w:val="C88C513E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  <w:lang w:val="sk-SK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noteText">
    <w:name w:val="footnote text"/>
    <w:basedOn w:val="Normal"/>
    <w:pPr>
      <w:jc w:val="left"/>
    </w:pPr>
    <w:rPr>
      <w:noProof/>
      <w:sz w:val="20"/>
      <w:lang w:val="sk-SK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1465</Words>
  <Characters>8356</Characters>
  <Application>Microsoft Office Word</Application>
  <DocSecurity>0</DocSecurity>
  <Lines>0</Lines>
  <Paragraphs>0</Paragraphs>
  <ScaleCrop>false</ScaleCrop>
  <Company>Ministry of Finance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Novackova Daniela</dc:creator>
  <cp:lastModifiedBy>Daša Kučerová</cp:lastModifiedBy>
  <cp:revision>2</cp:revision>
  <cp:lastPrinted>2003-02-12T07:39:00Z</cp:lastPrinted>
  <dcterms:created xsi:type="dcterms:W3CDTF">2003-05-05T08:43:00Z</dcterms:created>
  <dcterms:modified xsi:type="dcterms:W3CDTF">2003-05-05T08:43:00Z</dcterms:modified>
</cp:coreProperties>
</file>