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>
      <w:pPr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Nová právna úprava zákona č. 381/2001 Z. z. o povinnom zmluvnom poistení zodpovednosti za škodu spôsobenú prevádzkou motorového vozidla a o zmene a doplnení niektorých zákonov vyplýva z nutnosti urýchlene reagovať v oblas</w:t>
      </w:r>
      <w:r>
        <w:rPr>
          <w:rFonts w:ascii="Times New Roman" w:hAnsi="Times New Roman" w:cs="Times New Roman"/>
        </w:rPr>
        <w:t xml:space="preserve">ti práva na neustále sa meniace podmienky praxe, ako aj prispôsobovania sa práva Slovenskej republiky s právom krajín EÚ.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rámci procesu aproximácie poistného práva Slovenskej republiky s právom krajín EÚ bolo potrebné, aby Slovenská republika zaviedla do svojho právneho systému nové inštitúty v súlade s príslušný</w:t>
      </w:r>
      <w:r>
        <w:rPr>
          <w:rFonts w:ascii="Times New Roman" w:hAnsi="Times New Roman" w:cs="Times New Roman"/>
        </w:rPr>
        <w:t>mi ustanoveniami smerníc EÚ, nakoľko v súčasnosti v členských štátoch existujú rozdiely medzi ustanoveniami zákonov, nariadeniami a administratívnymi opatreniami, ktoré sa vzťahujú na poistenie občianskoprávnej zodpovednosti za škodu pri prevádzkovaní motorových vozidiel a tieto rozdiely sú prekážkou pri voľnom pohybe osôb a poisťovacích služieb.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 príprave právnej úpravy sa vychádzalo s platnej smernice Európskej únie upravujúcej poistenie zodpovednosti za škodu spôsobenú prevádzkou motorového vozidla, a to smernice č. 2000/26/ES zo 16. mája 2000 o aproximácii zákonov členských štátov vzťahujúcich sa na poistenie zodpovednosti za škodu pri prevádzkovaní motorových vozidiel, a ktorou sa menia dopĺňajú smernice rady č. 73/239/EEC a 88/557/EHS.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Systém zelenej karty nerieši všetky problémy poškodeného, ktorý si uplatňuje v inom štáte nárok na náhradu škody voči osobe, ktorá má v tomto štáte trvalý pobyt alebo voči poisťovni, ktorá sa nachádza v tomto štáte. Jedná sa o problémy, ktoré súvisia napr. s iným právnym systémom, jazykom, inými postupmi pri likvidácii škôd a niekedy aj bezdôvodným odďaľovaním poistného plnenia.  Na rozdiel od doterajšej úpravy povinného poistenia zodpovednosti za škodu sa zavádza povinnosť poisťovateľa určiť v každom členskom štáte, okrem toho v ktorom mu bolo udelené povolenie na vykonávanie poistenia zodpovednosti,  likvidačného zástupcu s trvalým pobytom alebo sídlom v členskom štáte, v ktorom vykonáva svoju činnosť.  Vymenovanie zástupcov zodpovedných za likvidáciu škôd by malo byť jednou z podmienok začatia a vykonávania tohto druhu poistenia.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Ďalej bolo potrebné prijať v zákone opatrenia týkajúce sa orgánu pre náhradu škody, na ktorý sa môže poškodený obrátiť v prípade, že poisťovňa neurčí svojho likvidačného zástupcu, bezdôvodne odkladá výplatu poistného plnenia alebo sa nedá zistiť totožnosť poisťovne. Úlohou orgánu pre náhradu škody, ktorým v podmienkach Slovenskej republiky bude poverená Slovenská kancelária poisťovateľov, je zabezpečiť poskytnutie poistného plnenia pri škode, ktorú utrpel poškodený len  prípadoch, ktoré sa dajú objektívne určiť.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Poškodené osoby, ktoré utrpeli škodu následkom dopravnej nehody majú niekedy ťažkosti pri zisťovaní poisťovne, ktorá vykonáva poistenie zodpovednosti ako aj ďalších potrebných údajov, a preto je potrebné zabezpečiť dostupnosť takýchto informácií týkajúcich sa nielen poisťovateľa, ale aj držiteľa, vlastníka alebo prevádzkovateľa motorového vozidla, ako aj údajov o likvidačnom zástupcovi. Túto problematiku rieši register poistenia zodpovednosti, prostredníctvom ktorého Slovenská kancelária poisťovateľov bude plniť funkciu informačného strediska v zmysle smernice EÚ.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Prijatie navrhovaného zákona nebude mať dopad na štátny rozpočet,  na rozpočty obcí a vyšších územných celkov, životné prostredie a na zamestnanosť.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návrh zákona je v súlade s Ústavou Slovenskej republiky, zákonmi Slovenskej republiky, medzinárodnými zmluvami a inými medzinárodnými dokumentmi, ktorými je Slovenská republika viazaná, ako aj s právom Európskych spoločenstiev a dohovormi Rady Európy. Vzhľadom na to, že Slovenská republika je členom Rady Európy, boli do návrhu premietnuté odporúčania Rady Európy obsiahnuté v Dohovore o povinnom poistení zodpovednosti za škodu spôsobenú prevádzkou motorových vozid</w:t>
      </w:r>
      <w:r>
        <w:rPr>
          <w:rFonts w:ascii="Times New Roman" w:hAnsi="Times New Roman" w:cs="Times New Roman"/>
        </w:rPr>
        <w:t>iel z 20. apríla 1959.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567</Words>
  <Characters>3237</Characters>
  <Application>Microsoft Office Word</Application>
  <DocSecurity>0</DocSecurity>
  <Lines>0</Lines>
  <Paragraphs>0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Daša Kučerová</dc:creator>
  <cp:lastModifiedBy>Daša Kučerová</cp:lastModifiedBy>
  <cp:revision>2</cp:revision>
  <cp:lastPrinted>2003-02-20T06:40:00Z</cp:lastPrinted>
  <dcterms:created xsi:type="dcterms:W3CDTF">2003-05-05T08:41:00Z</dcterms:created>
  <dcterms:modified xsi:type="dcterms:W3CDTF">2003-05-05T08:41:00Z</dcterms:modified>
</cp:coreProperties>
</file>