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Title"/>
        <w:spacing w:before="0"/>
        <w:rPr>
          <w:rFonts w:cs="Times New Roman"/>
        </w:rPr>
      </w:pPr>
      <w:r>
        <w:rPr>
          <w:rFonts w:cs="Times New Roman"/>
        </w:rPr>
        <w:t>NÁRODNÁ   RADA  SLOVENSKEJ  REPUBLIKY</w:t>
      </w:r>
    </w:p>
    <w:p>
      <w:pPr>
        <w:pStyle w:val="Subtitle"/>
        <w:spacing w:before="0"/>
        <w:rPr>
          <w:rFonts w:cs="Times New Roman"/>
        </w:rPr>
      </w:pPr>
      <w:r>
        <w:rPr>
          <w:rFonts w:cs="Times New Roman"/>
        </w:rPr>
        <w:t>III. volebné obdobie</w:t>
      </w:r>
    </w:p>
    <w:p>
      <w:pPr>
        <w:spacing w:before="120" w:line="360" w:lineRule="auto"/>
        <w:jc w:val="center"/>
        <w:rPr>
          <w:rFonts w:ascii="Arial" w:hAnsi="Arial" w:cs="Times New Roman"/>
          <w:b/>
          <w:sz w:val="22"/>
        </w:rPr>
      </w:pPr>
    </w:p>
    <w:p>
      <w:pPr>
        <w:pStyle w:val="Heading7"/>
        <w:rPr>
          <w:rFonts w:cs="Times New Roman"/>
        </w:rPr>
      </w:pPr>
      <w:r>
        <w:rPr>
          <w:rFonts w:cs="Times New Roman"/>
        </w:rPr>
        <w:t>64</w:t>
      </w:r>
    </w:p>
    <w:p>
      <w:pPr>
        <w:spacing w:before="120" w:line="360" w:lineRule="auto"/>
        <w:jc w:val="center"/>
        <w:rPr>
          <w:rFonts w:ascii="Arial" w:hAnsi="Arial" w:cs="Times New Roman"/>
          <w:b/>
          <w:sz w:val="28"/>
        </w:rPr>
      </w:pPr>
    </w:p>
    <w:p>
      <w:pPr>
        <w:pStyle w:val="Heading8"/>
        <w:rPr>
          <w:rFonts w:cs="Times New Roman"/>
        </w:rPr>
      </w:pPr>
      <w:r>
        <w:rPr>
          <w:rFonts w:cs="Times New Roman"/>
        </w:rPr>
        <w:t>Vládny návrh</w:t>
      </w:r>
    </w:p>
    <w:p>
      <w:pPr>
        <w:spacing w:before="120" w:line="360" w:lineRule="auto"/>
        <w:jc w:val="center"/>
        <w:rPr>
          <w:rFonts w:ascii="Arial" w:hAnsi="Arial" w:cs="Times New Roman"/>
          <w:b/>
          <w:sz w:val="22"/>
        </w:rPr>
      </w:pPr>
    </w:p>
    <w:p>
      <w:pPr>
        <w:spacing w:before="120" w:line="360" w:lineRule="auto"/>
        <w:jc w:val="center"/>
        <w:rPr>
          <w:rFonts w:ascii="Arial" w:hAnsi="Arial" w:cs="Times New Roman"/>
          <w:b/>
          <w:sz w:val="22"/>
        </w:rPr>
      </w:pPr>
      <w:r>
        <w:rPr>
          <w:rFonts w:ascii="Arial" w:hAnsi="Arial" w:cs="Times New Roman"/>
          <w:b/>
          <w:sz w:val="22"/>
        </w:rPr>
        <w:t>Zákon</w:t>
      </w:r>
    </w:p>
    <w:p>
      <w:pPr>
        <w:spacing w:before="120" w:line="360" w:lineRule="auto"/>
        <w:jc w:val="center"/>
        <w:rPr>
          <w:rFonts w:ascii="Arial" w:hAnsi="Arial" w:cs="Times New Roman"/>
          <w:b/>
          <w:sz w:val="22"/>
        </w:rPr>
      </w:pPr>
    </w:p>
    <w:p>
      <w:pPr>
        <w:spacing w:before="120" w:line="360" w:lineRule="auto"/>
        <w:jc w:val="center"/>
        <w:rPr>
          <w:rFonts w:ascii="Arial" w:hAnsi="Arial" w:cs="Times New Roman"/>
          <w:b/>
          <w:sz w:val="22"/>
        </w:rPr>
      </w:pPr>
      <w:r>
        <w:rPr>
          <w:rFonts w:ascii="Arial" w:hAnsi="Arial" w:cs="Times New Roman"/>
          <w:b/>
          <w:sz w:val="22"/>
        </w:rPr>
        <w:t>z ....................... 2002,</w:t>
      </w:r>
    </w:p>
    <w:p>
      <w:pPr>
        <w:pStyle w:val="BodyText"/>
        <w:spacing w:before="120" w:line="360" w:lineRule="auto"/>
        <w:jc w:val="center"/>
        <w:rPr>
          <w:rFonts w:ascii="Arial" w:hAnsi="Arial" w:cs="Times New Roman"/>
          <w:b/>
          <w:sz w:val="22"/>
        </w:rPr>
      </w:pPr>
      <w:r>
        <w:rPr>
          <w:rFonts w:ascii="Arial" w:hAnsi="Arial" w:cs="Times New Roman"/>
          <w:b/>
          <w:sz w:val="22"/>
        </w:rPr>
        <w:t>ktorým sa mení a dopĺňa zákon č. 281/2002 Z. z. o prídavku na dieťa a o príspevku k prídavku na dieťa</w:t>
      </w:r>
    </w:p>
    <w:p>
      <w:pPr>
        <w:spacing w:before="120" w:line="360" w:lineRule="auto"/>
        <w:jc w:val="both"/>
        <w:rPr>
          <w:rFonts w:ascii="Times New Roman" w:hAnsi="Times New Roman" w:cs="Times New Roman"/>
        </w:rPr>
      </w:pPr>
    </w:p>
    <w:p>
      <w:pPr>
        <w:spacing w:before="120" w:line="360" w:lineRule="auto"/>
        <w:jc w:val="both"/>
        <w:rPr>
          <w:rFonts w:ascii="Arial" w:hAnsi="Arial" w:cs="Times New Roman"/>
          <w:sz w:val="22"/>
        </w:rPr>
      </w:pPr>
      <w:r>
        <w:rPr>
          <w:rFonts w:ascii="Arial" w:hAnsi="Arial" w:cs="Times New Roman"/>
          <w:sz w:val="22"/>
        </w:rPr>
        <w:tab/>
        <w:t>Národná rada Slovenskej republiky s</w:t>
      </w:r>
      <w:r>
        <w:rPr>
          <w:rFonts w:ascii="Arial" w:hAnsi="Arial" w:cs="Times New Roman"/>
          <w:sz w:val="22"/>
        </w:rPr>
        <w:t>a uzniesla na tomto zákone:</w:t>
      </w:r>
    </w:p>
    <w:p>
      <w:pPr>
        <w:spacing w:before="120" w:line="360" w:lineRule="auto"/>
        <w:jc w:val="center"/>
        <w:rPr>
          <w:rFonts w:ascii="Arial" w:hAnsi="Arial" w:cs="Times New Roman"/>
          <w:sz w:val="22"/>
        </w:rPr>
      </w:pPr>
    </w:p>
    <w:p>
      <w:pPr>
        <w:pStyle w:val="Heading5"/>
        <w:spacing w:before="120" w:line="360" w:lineRule="auto"/>
        <w:rPr>
          <w:rFonts w:ascii="Arial" w:hAnsi="Arial" w:cs="Times New Roman"/>
        </w:rPr>
      </w:pPr>
      <w:r>
        <w:rPr>
          <w:rFonts w:ascii="Arial" w:hAnsi="Arial" w:cs="Times New Roman"/>
        </w:rPr>
        <w:t>Čl. I</w:t>
      </w:r>
    </w:p>
    <w:p>
      <w:pPr>
        <w:pStyle w:val="BodyText"/>
        <w:spacing w:before="120" w:line="360" w:lineRule="auto"/>
        <w:ind w:firstLine="708"/>
        <w:rPr>
          <w:rFonts w:ascii="Arial" w:hAnsi="Arial" w:cs="Times New Roman"/>
          <w:sz w:val="22"/>
        </w:rPr>
      </w:pPr>
      <w:r>
        <w:rPr>
          <w:rFonts w:ascii="Arial" w:hAnsi="Arial" w:cs="Times New Roman"/>
          <w:sz w:val="22"/>
        </w:rPr>
        <w:t>Zákon č. 281/2002 Z. z. o prídavku na dieťa a o príspevku k prídavku na dieťa sa mení a dopĺňa takto:</w:t>
      </w:r>
    </w:p>
    <w:p>
      <w:pPr>
        <w:pStyle w:val="BodyText"/>
        <w:spacing w:before="120" w:line="360" w:lineRule="auto"/>
        <w:rPr>
          <w:rFonts w:ascii="Arial" w:hAnsi="Arial" w:cs="Times New Roman"/>
          <w:sz w:val="22"/>
        </w:rPr>
      </w:pPr>
      <w:r>
        <w:rPr>
          <w:rFonts w:ascii="Arial" w:hAnsi="Arial" w:cs="Times New Roman"/>
          <w:sz w:val="22"/>
        </w:rPr>
        <w:t>1. V § 8 ods. 1 v písm. a) sa suma „480 Sk“ nahrádza sumou „280 Sk,“.</w:t>
      </w:r>
    </w:p>
    <w:p>
      <w:pPr>
        <w:pStyle w:val="BodyText"/>
        <w:spacing w:before="120" w:line="360" w:lineRule="auto"/>
        <w:rPr>
          <w:rFonts w:ascii="Arial" w:hAnsi="Arial" w:cs="Times New Roman"/>
          <w:sz w:val="22"/>
        </w:rPr>
      </w:pPr>
      <w:r>
        <w:rPr>
          <w:rFonts w:ascii="Arial" w:hAnsi="Arial" w:cs="Times New Roman"/>
          <w:sz w:val="22"/>
        </w:rPr>
        <w:t>2. V § 8 ods. 1 v písm. b) sa suma „590 Sk“ nahrá</w:t>
      </w:r>
      <w:r>
        <w:rPr>
          <w:rFonts w:ascii="Arial" w:hAnsi="Arial" w:cs="Times New Roman"/>
          <w:sz w:val="22"/>
        </w:rPr>
        <w:t>dza sumou „390 Sk,“.</w:t>
      </w:r>
    </w:p>
    <w:p>
      <w:pPr>
        <w:pStyle w:val="BodyText"/>
        <w:spacing w:before="120" w:line="360" w:lineRule="auto"/>
        <w:rPr>
          <w:rFonts w:ascii="Arial" w:hAnsi="Arial" w:cs="Times New Roman"/>
          <w:sz w:val="22"/>
        </w:rPr>
      </w:pPr>
      <w:r>
        <w:rPr>
          <w:rFonts w:ascii="Arial" w:hAnsi="Arial" w:cs="Times New Roman"/>
          <w:sz w:val="22"/>
        </w:rPr>
        <w:t>3. V § 8 ods. 1 v písm. c) sa suma „620 Sk“ nahrádza sumou „420 Sk.“.</w:t>
      </w:r>
    </w:p>
    <w:p>
      <w:pPr>
        <w:pStyle w:val="BodyText"/>
        <w:tabs>
          <w:tab w:val="left" w:pos="-540"/>
        </w:tabs>
        <w:spacing w:before="120" w:line="360" w:lineRule="auto"/>
        <w:rPr>
          <w:rFonts w:ascii="Arial" w:hAnsi="Arial" w:cs="Times New Roman"/>
          <w:sz w:val="22"/>
        </w:rPr>
      </w:pPr>
      <w:r>
        <w:rPr>
          <w:rFonts w:ascii="Arial" w:hAnsi="Arial" w:cs="Times New Roman"/>
          <w:sz w:val="22"/>
        </w:rPr>
        <w:t xml:space="preserve">4.  V § 8 odsek 2 znie: </w:t>
      </w:r>
    </w:p>
    <w:p>
      <w:pPr>
        <w:pStyle w:val="BodyText"/>
        <w:spacing w:before="120" w:line="360" w:lineRule="auto"/>
        <w:ind w:firstLine="720"/>
        <w:rPr>
          <w:rFonts w:ascii="Arial" w:hAnsi="Arial" w:cs="Times New Roman"/>
          <w:sz w:val="22"/>
        </w:rPr>
      </w:pPr>
      <w:r>
        <w:rPr>
          <w:rFonts w:ascii="Arial" w:hAnsi="Arial" w:cs="Times New Roman"/>
          <w:sz w:val="22"/>
        </w:rPr>
        <w:t>„(2) Ak sa nezaopatrené dieťa po skončení povinnej školskej dochádzky sústavne pripravuje na povolanie štúdiom na strednej škole, suma podľa odseku 1 písm. c) sa zvyšuje o 200 Sk mesačne v školskom roku za september až jún.“.</w:t>
      </w:r>
    </w:p>
    <w:p>
      <w:pPr>
        <w:pStyle w:val="BodyText"/>
        <w:spacing w:before="120" w:line="360" w:lineRule="auto"/>
        <w:rPr>
          <w:rFonts w:ascii="Arial" w:hAnsi="Arial" w:cs="Times New Roman"/>
          <w:sz w:val="22"/>
        </w:rPr>
      </w:pPr>
      <w:r>
        <w:rPr>
          <w:rFonts w:ascii="Arial" w:hAnsi="Arial" w:cs="Times New Roman"/>
          <w:sz w:val="22"/>
        </w:rPr>
        <w:t>5. V § 10 ods. 1 v písm. a) sa suma  „200 Sk“ nahrádza sumou  „400 Sk,“.</w:t>
      </w:r>
    </w:p>
    <w:p>
      <w:pPr>
        <w:pStyle w:val="BodyText"/>
        <w:spacing w:before="120" w:line="360" w:lineRule="auto"/>
        <w:rPr>
          <w:rFonts w:ascii="Arial" w:hAnsi="Arial" w:cs="Times New Roman"/>
          <w:sz w:val="22"/>
        </w:rPr>
      </w:pPr>
      <w:r>
        <w:rPr>
          <w:rFonts w:ascii="Arial" w:hAnsi="Arial" w:cs="Times New Roman"/>
          <w:sz w:val="22"/>
        </w:rPr>
        <w:t>6. V § 10 ods. 1 v písm. b) sa suma  „240 Sk“ nahrádza sumou  „440 Sk,“.</w:t>
      </w:r>
    </w:p>
    <w:p>
      <w:pPr>
        <w:pStyle w:val="BodyText"/>
        <w:spacing w:before="120" w:line="360" w:lineRule="auto"/>
        <w:rPr>
          <w:rFonts w:ascii="Arial" w:hAnsi="Arial" w:cs="Times New Roman"/>
          <w:sz w:val="22"/>
        </w:rPr>
      </w:pPr>
      <w:r>
        <w:rPr>
          <w:rFonts w:ascii="Arial" w:hAnsi="Arial" w:cs="Times New Roman"/>
          <w:sz w:val="22"/>
        </w:rPr>
        <w:t>7. V § 10 ods. 1 v písm.</w:t>
      </w:r>
      <w:r>
        <w:rPr>
          <w:rFonts w:ascii="Arial" w:hAnsi="Arial" w:cs="Times New Roman"/>
          <w:sz w:val="22"/>
        </w:rPr>
        <w:t xml:space="preserve"> c) sa suma  „270 Sk“ nahrádza sumou  „470 Sk.“.</w:t>
      </w:r>
    </w:p>
    <w:p>
      <w:pPr>
        <w:pStyle w:val="BodyText"/>
        <w:spacing w:before="120" w:line="360" w:lineRule="auto"/>
        <w:rPr>
          <w:rFonts w:ascii="Arial" w:hAnsi="Arial" w:cs="Times New Roman"/>
          <w:sz w:val="22"/>
        </w:rPr>
      </w:pPr>
      <w:r>
        <w:rPr>
          <w:rFonts w:ascii="Arial" w:hAnsi="Arial" w:cs="Times New Roman"/>
          <w:sz w:val="22"/>
        </w:rPr>
        <w:t xml:space="preserve">8. V § 10 sa za odsek 1 vkladá nový odsek 2, ktorý znie: </w:t>
      </w:r>
    </w:p>
    <w:p>
      <w:pPr>
        <w:pStyle w:val="BodyText"/>
        <w:spacing w:before="120" w:line="360" w:lineRule="auto"/>
        <w:ind w:firstLine="720"/>
        <w:rPr>
          <w:rFonts w:ascii="Arial" w:hAnsi="Arial" w:cs="Times New Roman"/>
          <w:sz w:val="22"/>
        </w:rPr>
      </w:pPr>
      <w:r>
        <w:rPr>
          <w:rFonts w:ascii="Arial" w:hAnsi="Arial" w:cs="Times New Roman"/>
          <w:sz w:val="22"/>
        </w:rPr>
        <w:t>„(2) Ak sa nezaopatrené dieťa po skončení povinnej školskej dochádzky sústavne pripravuje na povolanie štúdiom na strednej škole, suma podľa odseku 1 písm. c) sa zvyšuje o 200 Sk mesačne v školskom roku za september až jún.“.</w:t>
      </w:r>
    </w:p>
    <w:p>
      <w:pPr>
        <w:pStyle w:val="BodyText"/>
        <w:spacing w:before="120" w:line="360" w:lineRule="auto"/>
        <w:ind w:left="1068"/>
        <w:rPr>
          <w:rFonts w:ascii="Arial" w:hAnsi="Arial" w:cs="Times New Roman"/>
          <w:sz w:val="22"/>
        </w:rPr>
      </w:pPr>
      <w:r>
        <w:rPr>
          <w:rFonts w:ascii="Arial" w:hAnsi="Arial" w:cs="Times New Roman"/>
          <w:sz w:val="22"/>
        </w:rPr>
        <w:t>Doterajší odsek 2 sa označuje ako odsek 3.</w:t>
      </w:r>
    </w:p>
    <w:p>
      <w:pPr>
        <w:pStyle w:val="BodyText"/>
        <w:spacing w:before="120" w:line="360" w:lineRule="auto"/>
        <w:rPr>
          <w:rFonts w:ascii="Arial" w:hAnsi="Arial" w:cs="Times New Roman"/>
          <w:sz w:val="22"/>
        </w:rPr>
      </w:pPr>
      <w:r>
        <w:rPr>
          <w:rFonts w:ascii="Arial" w:hAnsi="Arial" w:cs="Times New Roman"/>
          <w:sz w:val="22"/>
        </w:rPr>
        <w:t>9. V § 10 ods. 3 sa  slová „odseku 1“  nahrádzajú slovami „odsekov 1a 2“.</w:t>
      </w:r>
    </w:p>
    <w:p>
      <w:pPr>
        <w:pStyle w:val="BodyText"/>
        <w:spacing w:before="120" w:line="360" w:lineRule="auto"/>
        <w:ind w:left="360" w:hanging="360"/>
        <w:rPr>
          <w:rFonts w:ascii="Arial" w:hAnsi="Arial" w:cs="Times New Roman"/>
          <w:sz w:val="22"/>
        </w:rPr>
      </w:pPr>
      <w:r>
        <w:rPr>
          <w:rFonts w:ascii="Arial" w:hAnsi="Arial" w:cs="Times New Roman"/>
          <w:sz w:val="22"/>
        </w:rPr>
        <w:t>10. V § 18 sa za odsek 1 vkladá nový odsek 2, ktorý znie:</w:t>
      </w:r>
    </w:p>
    <w:p>
      <w:pPr>
        <w:pStyle w:val="BodyText"/>
        <w:spacing w:before="120" w:line="360" w:lineRule="auto"/>
        <w:rPr>
          <w:rFonts w:ascii="Arial" w:hAnsi="Arial" w:cs="Times New Roman"/>
          <w:sz w:val="22"/>
        </w:rPr>
      </w:pPr>
      <w:r>
        <w:rPr>
          <w:rFonts w:ascii="Arial" w:hAnsi="Arial" w:cs="Times New Roman"/>
          <w:sz w:val="22"/>
        </w:rPr>
        <w:tab/>
        <w:t>„(2) Okresný úrad vydá rozhodnutie podľa odseku 1 aj v prípade, ak z informácie o školskej dochádzke poskytovanej školou vyplynie, že dieťa zanedbáva plnenie povinnej školskej dochádzky.“.</w:t>
        <w:tab/>
        <w:tab/>
      </w:r>
    </w:p>
    <w:p>
      <w:pPr>
        <w:pStyle w:val="BodyText"/>
        <w:spacing w:before="120" w:line="360" w:lineRule="auto"/>
        <w:rPr>
          <w:rFonts w:ascii="Arial" w:hAnsi="Arial" w:cs="Times New Roman"/>
          <w:sz w:val="22"/>
        </w:rPr>
      </w:pPr>
      <w:r>
        <w:rPr>
          <w:rFonts w:ascii="Arial" w:hAnsi="Arial" w:cs="Times New Roman"/>
          <w:sz w:val="22"/>
        </w:rPr>
        <w:t xml:space="preserve">      Doterajšie odseky 2 a 3 sa označujú ako odseky 3 a 4.</w:t>
      </w:r>
    </w:p>
    <w:p>
      <w:pPr>
        <w:pStyle w:val="BodyText"/>
        <w:spacing w:before="120" w:line="360" w:lineRule="auto"/>
        <w:ind w:left="360" w:hanging="360"/>
        <w:rPr>
          <w:rFonts w:ascii="Arial" w:hAnsi="Arial" w:cs="Times New Roman"/>
          <w:sz w:val="22"/>
        </w:rPr>
      </w:pPr>
      <w:r>
        <w:rPr>
          <w:rFonts w:ascii="Arial" w:hAnsi="Arial" w:cs="Times New Roman"/>
          <w:sz w:val="22"/>
        </w:rPr>
        <w:t xml:space="preserve">11. V § </w:t>
      </w:r>
      <w:r>
        <w:rPr>
          <w:rFonts w:ascii="Arial" w:hAnsi="Arial" w:cs="Times New Roman"/>
          <w:sz w:val="22"/>
        </w:rPr>
        <w:t>22 odsek 8 znie:</w:t>
      </w:r>
    </w:p>
    <w:p>
      <w:pPr>
        <w:pStyle w:val="BodyText"/>
        <w:spacing w:before="120" w:line="360" w:lineRule="auto"/>
        <w:ind w:left="360" w:hanging="360"/>
        <w:rPr>
          <w:rFonts w:ascii="Arial" w:hAnsi="Arial" w:cs="Times New Roman"/>
          <w:sz w:val="22"/>
        </w:rPr>
      </w:pPr>
      <w:r>
        <w:rPr>
          <w:rFonts w:ascii="Arial" w:hAnsi="Arial" w:cs="Times New Roman"/>
          <w:sz w:val="22"/>
        </w:rPr>
        <w:tab/>
        <w:tab/>
        <w:t>„(8) Prvá úprava súm podľa § 8 ods. 3 a § 10 ods. 3 sa vykoná k 1. septembru 2004.“.</w:t>
      </w:r>
    </w:p>
    <w:p>
      <w:pPr>
        <w:pStyle w:val="BodyText"/>
        <w:spacing w:before="120" w:line="360" w:lineRule="auto"/>
        <w:ind w:left="708"/>
        <w:jc w:val="center"/>
        <w:rPr>
          <w:rFonts w:ascii="Arial" w:hAnsi="Arial" w:cs="Times New Roman"/>
          <w:sz w:val="22"/>
        </w:rPr>
      </w:pPr>
    </w:p>
    <w:p>
      <w:pPr>
        <w:pStyle w:val="BodyText"/>
        <w:spacing w:before="120" w:line="360" w:lineRule="auto"/>
        <w:jc w:val="center"/>
        <w:rPr>
          <w:rFonts w:ascii="Arial" w:hAnsi="Arial" w:cs="Times New Roman"/>
          <w:b/>
          <w:sz w:val="22"/>
        </w:rPr>
      </w:pPr>
      <w:r>
        <w:rPr>
          <w:rFonts w:ascii="Arial" w:hAnsi="Arial" w:cs="Times New Roman"/>
          <w:b/>
          <w:sz w:val="22"/>
        </w:rPr>
        <w:t>Čl. II</w:t>
      </w:r>
    </w:p>
    <w:p>
      <w:pPr>
        <w:pStyle w:val="BodyText"/>
        <w:spacing w:before="120" w:line="360" w:lineRule="auto"/>
        <w:ind w:firstLine="708"/>
        <w:jc w:val="left"/>
        <w:rPr>
          <w:rFonts w:ascii="Arial" w:hAnsi="Arial" w:cs="Times New Roman"/>
          <w:sz w:val="22"/>
        </w:rPr>
      </w:pPr>
      <w:r>
        <w:rPr>
          <w:rFonts w:ascii="Arial" w:hAnsi="Arial" w:cs="Times New Roman"/>
          <w:sz w:val="22"/>
        </w:rPr>
        <w:t>Tento zákon nadobúda účinnosť 1. januára 2003, okrem bodu 10, ktorý nadobudne účinnosť 1. júla 2003.</w:t>
      </w:r>
    </w:p>
    <w:p>
      <w:pPr>
        <w:pStyle w:val="BodyText"/>
        <w:spacing w:before="120" w:line="360" w:lineRule="auto"/>
        <w:ind w:left="720"/>
        <w:rPr>
          <w:rFonts w:ascii="Arial" w:hAnsi="Arial" w:cs="Times New Roman"/>
          <w:sz w:val="22"/>
        </w:rPr>
      </w:pPr>
      <w:r>
        <w:rPr>
          <w:rFonts w:ascii="Arial" w:hAnsi="Arial" w:cs="Times New Roman"/>
          <w:sz w:val="22"/>
        </w:rPr>
        <w:t xml:space="preserve"> </w:t>
      </w:r>
    </w:p>
    <w:p>
      <w:pPr>
        <w:spacing w:before="120" w:line="360" w:lineRule="auto"/>
        <w:rPr>
          <w:rFonts w:ascii="Arial" w:hAnsi="Arial" w:cs="Times New Roman"/>
          <w:sz w:val="22"/>
        </w:rPr>
      </w:pPr>
    </w:p>
    <w:p>
      <w:pPr>
        <w:spacing w:before="120" w:line="360" w:lineRule="auto"/>
        <w:rPr>
          <w:rFonts w:ascii="Arial" w:hAnsi="Arial" w:cs="Times New Roman"/>
          <w:sz w:val="22"/>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spacing w:before="120" w:line="360" w:lineRule="auto"/>
        <w:jc w:val="center"/>
        <w:rPr>
          <w:rFonts w:ascii="Arial" w:hAnsi="Arial" w:cs="Times New Roman"/>
          <w:b/>
          <w:sz w:val="22"/>
        </w:rPr>
      </w:pPr>
      <w:r>
        <w:rPr>
          <w:rFonts w:ascii="Times New Roman" w:hAnsi="Times New Roman" w:cs="Times New Roman"/>
        </w:rPr>
        <w:br w:type="page"/>
      </w:r>
      <w:r>
        <w:rPr>
          <w:rFonts w:ascii="Arial" w:hAnsi="Arial" w:cs="Times New Roman"/>
          <w:b/>
          <w:sz w:val="22"/>
        </w:rPr>
        <w:t>Dôvodová správa</w:t>
      </w:r>
    </w:p>
    <w:p>
      <w:pPr>
        <w:spacing w:before="120" w:line="360" w:lineRule="auto"/>
        <w:jc w:val="center"/>
        <w:rPr>
          <w:rFonts w:ascii="Arial" w:hAnsi="Arial" w:cs="Times New Roman"/>
          <w:b/>
          <w:sz w:val="22"/>
        </w:rPr>
      </w:pPr>
    </w:p>
    <w:p>
      <w:pPr>
        <w:pStyle w:val="Heading4"/>
        <w:numPr>
          <w:ilvl w:val="0"/>
          <w:numId w:val="3"/>
        </w:numPr>
        <w:tabs>
          <w:tab w:val="left" w:pos="0"/>
          <w:tab w:val="left" w:pos="360"/>
          <w:tab w:val="clear" w:pos="720"/>
        </w:tabs>
        <w:spacing w:before="120" w:line="360" w:lineRule="auto"/>
        <w:ind w:left="0" w:firstLine="0"/>
        <w:rPr>
          <w:rFonts w:ascii="Arial" w:hAnsi="Arial" w:cs="Times New Roman"/>
        </w:rPr>
      </w:pPr>
      <w:r>
        <w:rPr>
          <w:rFonts w:ascii="Arial" w:hAnsi="Arial" w:cs="Times New Roman"/>
        </w:rPr>
        <w:t>Všeobecná časť</w:t>
      </w:r>
    </w:p>
    <w:p>
      <w:pPr>
        <w:pStyle w:val="BodyTextIndent"/>
        <w:spacing w:before="120" w:line="360" w:lineRule="auto"/>
        <w:jc w:val="both"/>
        <w:rPr>
          <w:rFonts w:ascii="Arial" w:hAnsi="Arial" w:cs="Times New Roman"/>
        </w:rPr>
      </w:pPr>
      <w:r>
        <w:rPr>
          <w:rFonts w:ascii="Arial" w:hAnsi="Arial" w:cs="Times New Roman"/>
        </w:rPr>
        <w:t xml:space="preserve">Zákon č. 281/2002 Z. z. o prídavku na dieťa a o príspevku k prídavku na dieťa nadobudol účinnosť 1. júla 2002. Týmto zákonom sa v súlade s programovým vyhlásením vlády Slovenskej republiky na roky 1998 – 2002 zaviedlo poskytovanie prídavku na dieťa na všetky nezaopatrené deti bez ohľadu na príjem rodiny. Súčasne sa zaviedol príspevok k prídavku na dieťa na deti v nízkopríjmových  rodinách, kde príjem rodiny nepresahuje 1,37-násobku súm ustanovených na účely štátnych sociálnych dávok v zákone č. 125/1998 Z. z. o životnom minime a o ustanovení súm na účely štátnych sociálnych dávok. Okrem toho sa týmto zákonom upravilo aj zvýšenie prídavku na dieťa (s účinnosťou od 1. júla 2003), ktoré sa po skončení povinnej školskej dochádzky sústavne pripravuje na povolanie  štúdiom  na strednej škole v priemere o 300 Sk  podľa príjmu rodiny. </w:t>
      </w:r>
    </w:p>
    <w:p>
      <w:pPr>
        <w:pStyle w:val="BodyTextIndent"/>
        <w:spacing w:before="120" w:line="360" w:lineRule="auto"/>
        <w:rPr>
          <w:rFonts w:ascii="Arial" w:hAnsi="Arial" w:cs="Times New Roman"/>
        </w:rPr>
      </w:pPr>
      <w:r>
        <w:rPr>
          <w:rFonts w:ascii="Arial" w:hAnsi="Arial" w:cs="Times New Roman"/>
        </w:rPr>
        <w:t xml:space="preserve">Uplatňovanie tohto zákona by si v roku 2003 vyžiadalo výdavky zo štátneho rozpočtu  v sume 11,4 mld. Sk. </w:t>
      </w:r>
    </w:p>
    <w:p>
      <w:pPr>
        <w:pStyle w:val="Heading2"/>
        <w:jc w:val="center"/>
        <w:rPr>
          <w:rFonts w:ascii="Arial" w:hAnsi="Arial" w:cs="Times New Roman"/>
          <w:sz w:val="22"/>
          <w:lang w:val="sk-SK"/>
        </w:rPr>
      </w:pPr>
      <w:r>
        <w:rPr>
          <w:rFonts w:ascii="Arial" w:hAnsi="Arial" w:cs="Times New Roman"/>
          <w:sz w:val="22"/>
          <w:lang w:val="sk-SK"/>
        </w:rPr>
        <w:t>Predpokladané náklady na výplatu</w:t>
      </w:r>
    </w:p>
    <w:p>
      <w:pPr>
        <w:pStyle w:val="Heading2"/>
        <w:jc w:val="center"/>
        <w:rPr>
          <w:rFonts w:ascii="Arial" w:hAnsi="Arial" w:cs="Times New Roman"/>
          <w:sz w:val="22"/>
          <w:lang w:val="sk-SK"/>
        </w:rPr>
      </w:pPr>
      <w:r>
        <w:rPr>
          <w:rFonts w:ascii="Arial" w:hAnsi="Arial" w:cs="Times New Roman"/>
          <w:sz w:val="22"/>
          <w:lang w:val="sk-SK"/>
        </w:rPr>
        <w:t>prídavku na dieťa a príspevku k prídavku na dieťa v r. 2003 podľa znenia zákona  </w:t>
      </w:r>
    </w:p>
    <w:p>
      <w:pPr>
        <w:pStyle w:val="Heading2"/>
        <w:rPr>
          <w:rFonts w:ascii="Times New Roman" w:hAnsi="Times New Roman" w:cs="Times New Roman"/>
          <w:sz w:val="22"/>
          <w:lang w:val="sk-SK"/>
        </w:rPr>
      </w:pPr>
    </w:p>
    <w:p>
      <w:pPr>
        <w:pStyle w:val="Heading2"/>
        <w:rPr>
          <w:rFonts w:ascii="Times New Roman" w:hAnsi="Times New Roman" w:cs="Times New Roman"/>
          <w:sz w:val="22"/>
          <w:lang w:val="sk-SK"/>
        </w:rPr>
      </w:pPr>
      <w:r>
        <w:rPr>
          <w:rFonts w:ascii="Times New Roman" w:hAnsi="Times New Roman" w:cs="Times New Roman"/>
          <w:sz w:val="22"/>
          <w:lang w:val="sk-SK"/>
        </w:rPr>
        <w:tab/>
        <w:tab/>
        <w:tab/>
        <w:tab/>
        <w:tab/>
        <w:tab/>
        <w:tab/>
        <w:tab/>
        <w:t>tabuľka č. 1</w:t>
      </w: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70"/>
        <w:gridCol w:w="1800"/>
        <w:gridCol w:w="1440"/>
        <w:gridCol w:w="1980"/>
        <w:gridCol w:w="2340"/>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hRule="auto" w:val="0"/>
        </w:trPr>
        <w:tc>
          <w:tcPr>
            <w:tcW w:w="187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Spolu detí</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Priemerná  výška PND</w:t>
            </w:r>
          </w:p>
          <w:p>
            <w:pPr>
              <w:jc w:val="center"/>
              <w:rPr>
                <w:rFonts w:ascii="Times New Roman" w:hAnsi="Times New Roman" w:cs="Times New Roman"/>
                <w:b/>
                <w:sz w:val="22"/>
              </w:rPr>
            </w:pPr>
            <w:r>
              <w:rPr>
                <w:rFonts w:ascii="Times New Roman" w:hAnsi="Times New Roman" w:cs="Times New Roman"/>
                <w:b/>
                <w:sz w:val="22"/>
              </w:rPr>
              <w:t>v Sk</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Náklady na 1 mesiac</w:t>
            </w:r>
          </w:p>
          <w:p>
            <w:pPr>
              <w:jc w:val="center"/>
              <w:rPr>
                <w:rFonts w:ascii="Times New Roman" w:hAnsi="Times New Roman" w:cs="Times New Roman"/>
                <w:b/>
                <w:sz w:val="22"/>
              </w:rPr>
            </w:pPr>
            <w:r>
              <w:rPr>
                <w:rFonts w:ascii="Times New Roman" w:hAnsi="Times New Roman" w:cs="Times New Roman"/>
                <w:b/>
                <w:sz w:val="22"/>
              </w:rPr>
              <w:t>v tis. Sk</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Náklady na 12 mesiacov</w:t>
            </w:r>
          </w:p>
          <w:p>
            <w:pPr>
              <w:jc w:val="center"/>
              <w:rPr>
                <w:rFonts w:ascii="Times New Roman" w:hAnsi="Times New Roman" w:cs="Times New Roman"/>
                <w:b/>
                <w:sz w:val="22"/>
              </w:rPr>
            </w:pPr>
            <w:r>
              <w:rPr>
                <w:rFonts w:ascii="Times New Roman" w:hAnsi="Times New Roman" w:cs="Times New Roman"/>
                <w:b/>
                <w:sz w:val="22"/>
              </w:rPr>
              <w:t>v tis. Sk</w:t>
            </w:r>
          </w:p>
        </w:tc>
      </w:tr>
      <w:tr>
        <w:tblPrEx>
          <w:tblLayout w:type="fixed"/>
          <w:tblCellMar>
            <w:top w:w="0" w:type="dxa"/>
            <w:left w:w="70" w:type="dxa"/>
            <w:bottom w:w="0" w:type="dxa"/>
            <w:right w:w="70" w:type="dxa"/>
          </w:tblCellMar>
        </w:tblPrEx>
        <w:trPr>
          <w:trHeight w:hRule="auto" w:val="0"/>
        </w:trPr>
        <w:tc>
          <w:tcPr>
            <w:tcW w:w="187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r>
              <w:rPr>
                <w:rFonts w:ascii="Times New Roman" w:hAnsi="Times New Roman" w:cs="Times New Roman"/>
                <w:sz w:val="22"/>
              </w:rPr>
              <w:t>1 400 000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r>
              <w:rPr>
                <w:rFonts w:ascii="Times New Roman" w:hAnsi="Times New Roman" w:cs="Times New Roman"/>
                <w:sz w:val="22"/>
              </w:rPr>
              <w:t>570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r>
              <w:rPr>
                <w:rFonts w:ascii="Times New Roman" w:hAnsi="Times New Roman" w:cs="Times New Roman"/>
                <w:sz w:val="22"/>
              </w:rPr>
              <w:t xml:space="preserve">798 000 </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r>
              <w:rPr>
                <w:rFonts w:ascii="Times New Roman" w:hAnsi="Times New Roman" w:cs="Times New Roman"/>
                <w:sz w:val="22"/>
              </w:rPr>
              <w:t xml:space="preserve">9 576 000 </w:t>
            </w:r>
          </w:p>
        </w:tc>
      </w:tr>
      <w:tr>
        <w:tblPrEx>
          <w:tblLayout w:type="fixed"/>
          <w:tblCellMar>
            <w:top w:w="0" w:type="dxa"/>
            <w:left w:w="70" w:type="dxa"/>
            <w:bottom w:w="0" w:type="dxa"/>
            <w:right w:w="70" w:type="dxa"/>
          </w:tblCellMar>
        </w:tblPrEx>
        <w:trPr>
          <w:trHeight w:hRule="auto" w:val="0"/>
        </w:trPr>
        <w:tc>
          <w:tcPr>
            <w:tcW w:w="187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imes New Roman" w:hAnsi="Times New Roman" w:cs="Times New Roman"/>
                <w:b/>
                <w:sz w:val="22"/>
              </w:rPr>
            </w:pPr>
            <w:r>
              <w:rPr>
                <w:rFonts w:ascii="Times New Roman" w:hAnsi="Times New Roman" w:cs="Times New Roman"/>
                <w:b/>
                <w:sz w:val="22"/>
              </w:rPr>
              <w:t>Počet žiakov stredných škôl (SŠ), ktorých rodičia majú pr</w:t>
            </w:r>
            <w:r>
              <w:rPr>
                <w:rFonts w:ascii="Times New Roman" w:hAnsi="Times New Roman" w:cs="Times New Roman"/>
                <w:b/>
                <w:sz w:val="22"/>
              </w:rPr>
              <w:t>íjem do 1,37 násobku ŠSD resp. 2,1 násobku ŠSD</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imes New Roman" w:hAnsi="Times New Roman" w:cs="Times New Roman"/>
                <w:b/>
                <w:sz w:val="22"/>
              </w:rPr>
            </w:pPr>
            <w:r>
              <w:rPr>
                <w:rFonts w:ascii="Times New Roman" w:hAnsi="Times New Roman" w:cs="Times New Roman"/>
                <w:b/>
                <w:sz w:val="22"/>
              </w:rPr>
              <w:t>Priemerné</w:t>
            </w:r>
          </w:p>
          <w:p>
            <w:pPr>
              <w:jc w:val="center"/>
              <w:rPr>
                <w:rFonts w:ascii="Times New Roman" w:hAnsi="Times New Roman" w:cs="Times New Roman"/>
                <w:b/>
                <w:sz w:val="22"/>
              </w:rPr>
            </w:pPr>
            <w:r>
              <w:rPr>
                <w:rFonts w:ascii="Times New Roman" w:hAnsi="Times New Roman" w:cs="Times New Roman"/>
                <w:b/>
                <w:sz w:val="22"/>
              </w:rPr>
              <w:t>zvýšenie  PND pre žiakov SŚ v Sk</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imes New Roman" w:hAnsi="Times New Roman" w:cs="Times New Roman"/>
                <w:b/>
                <w:sz w:val="22"/>
              </w:rPr>
            </w:pPr>
          </w:p>
          <w:p>
            <w:pPr>
              <w:jc w:val="center"/>
              <w:rPr>
                <w:rFonts w:ascii="Times New Roman" w:hAnsi="Times New Roman" w:cs="Times New Roman"/>
                <w:b/>
                <w:sz w:val="22"/>
              </w:rPr>
            </w:pPr>
            <w:r>
              <w:rPr>
                <w:rFonts w:ascii="Times New Roman" w:hAnsi="Times New Roman" w:cs="Times New Roman"/>
                <w:b/>
                <w:sz w:val="22"/>
              </w:rPr>
              <w:t>Náklady na 1 mesiac</w:t>
            </w:r>
          </w:p>
          <w:p>
            <w:pPr>
              <w:jc w:val="center"/>
              <w:rPr>
                <w:rFonts w:ascii="Times New Roman" w:hAnsi="Times New Roman" w:cs="Times New Roman"/>
                <w:b/>
                <w:sz w:val="22"/>
              </w:rPr>
            </w:pPr>
            <w:r>
              <w:rPr>
                <w:rFonts w:ascii="Times New Roman" w:hAnsi="Times New Roman" w:cs="Times New Roman"/>
                <w:b/>
                <w:sz w:val="22"/>
              </w:rPr>
              <w:t>v tis. Sk</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imes New Roman" w:hAnsi="Times New Roman" w:cs="Times New Roman"/>
                <w:b/>
                <w:sz w:val="22"/>
              </w:rPr>
            </w:pPr>
            <w:r>
              <w:rPr>
                <w:rFonts w:ascii="Times New Roman" w:hAnsi="Times New Roman" w:cs="Times New Roman"/>
                <w:b/>
                <w:sz w:val="22"/>
              </w:rPr>
              <w:t>Náklady na 3 mesiace</w:t>
            </w:r>
          </w:p>
          <w:p>
            <w:pPr>
              <w:jc w:val="center"/>
              <w:rPr>
                <w:rFonts w:ascii="Times New Roman" w:hAnsi="Times New Roman" w:cs="Times New Roman"/>
                <w:b/>
                <w:sz w:val="22"/>
              </w:rPr>
            </w:pPr>
            <w:r>
              <w:rPr>
                <w:rFonts w:ascii="Times New Roman" w:hAnsi="Times New Roman" w:cs="Times New Roman"/>
                <w:b/>
                <w:sz w:val="22"/>
              </w:rPr>
              <w:t>v tis. Sk</w:t>
            </w:r>
          </w:p>
        </w:tc>
      </w:tr>
      <w:tr>
        <w:tblPrEx>
          <w:tblLayout w:type="fixed"/>
          <w:tblCellMar>
            <w:top w:w="0" w:type="dxa"/>
            <w:left w:w="70" w:type="dxa"/>
            <w:bottom w:w="0" w:type="dxa"/>
            <w:right w:w="70" w:type="dxa"/>
          </w:tblCellMar>
        </w:tblPrEx>
        <w:trPr>
          <w:trHeight w:hRule="auto" w:val="0"/>
        </w:trPr>
        <w:tc>
          <w:tcPr>
            <w:tcW w:w="187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r>
              <w:rPr>
                <w:rFonts w:ascii="Times New Roman" w:hAnsi="Times New Roman" w:cs="Times New Roman"/>
                <w:sz w:val="22"/>
              </w:rPr>
              <w:t>195 000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r>
              <w:rPr>
                <w:rFonts w:ascii="Times New Roman" w:hAnsi="Times New Roman" w:cs="Times New Roman"/>
                <w:sz w:val="22"/>
              </w:rPr>
              <w:t xml:space="preserve">300 </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r>
              <w:rPr>
                <w:rFonts w:ascii="Times New Roman" w:hAnsi="Times New Roman" w:cs="Times New Roman"/>
                <w:sz w:val="22"/>
              </w:rPr>
              <w:t xml:space="preserve">58 500 </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r>
              <w:rPr>
                <w:rFonts w:ascii="Times New Roman" w:hAnsi="Times New Roman" w:cs="Times New Roman"/>
                <w:sz w:val="22"/>
              </w:rPr>
              <w:t xml:space="preserve">     175 500</w:t>
            </w:r>
          </w:p>
        </w:tc>
      </w:tr>
      <w:tr>
        <w:tblPrEx>
          <w:tblLayout w:type="fixed"/>
          <w:tblCellMar>
            <w:top w:w="0" w:type="dxa"/>
            <w:left w:w="70" w:type="dxa"/>
            <w:bottom w:w="0" w:type="dxa"/>
            <w:right w:w="70" w:type="dxa"/>
          </w:tblCellMar>
        </w:tblPrEx>
        <w:trPr>
          <w:trHeight w:hRule="auto" w:val="0"/>
        </w:trPr>
        <w:tc>
          <w:tcPr>
            <w:tcW w:w="187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3"/>
              <w:jc w:val="center"/>
              <w:rPr>
                <w:rFonts w:ascii="Times New Roman" w:hAnsi="Times New Roman" w:cs="Times New Roman"/>
                <w:sz w:val="22"/>
                <w:lang w:val="sk-SK"/>
              </w:rPr>
            </w:pPr>
            <w:r>
              <w:rPr>
                <w:rFonts w:ascii="Times New Roman" w:hAnsi="Times New Roman" w:cs="Times New Roman"/>
                <w:sz w:val="22"/>
                <w:lang w:val="sk-SK"/>
              </w:rPr>
              <w:t>Počet detí, ktorých rodičia majú príjem do 1,37 násobku ŠSD</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Priemern</w:t>
            </w:r>
            <w:r>
              <w:rPr>
                <w:rFonts w:ascii="Times New Roman" w:hAnsi="Times New Roman" w:cs="Times New Roman"/>
                <w:b/>
                <w:sz w:val="22"/>
              </w:rPr>
              <w:t>á výška príspevku k PND v Sk</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Náklady na 1 mesiac</w:t>
            </w:r>
          </w:p>
          <w:p>
            <w:pPr>
              <w:jc w:val="center"/>
              <w:rPr>
                <w:rFonts w:ascii="Times New Roman" w:hAnsi="Times New Roman" w:cs="Times New Roman"/>
                <w:b/>
                <w:sz w:val="22"/>
              </w:rPr>
            </w:pPr>
            <w:r>
              <w:rPr>
                <w:rFonts w:ascii="Times New Roman" w:hAnsi="Times New Roman" w:cs="Times New Roman"/>
                <w:b/>
                <w:sz w:val="22"/>
              </w:rPr>
              <w:t>v tis.Sk</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Náklady na 12 mesiacov</w:t>
            </w:r>
          </w:p>
          <w:p>
            <w:pPr>
              <w:pStyle w:val="Heading1"/>
              <w:rPr>
                <w:rFonts w:ascii="Times New Roman" w:hAnsi="Times New Roman" w:cs="Times New Roman"/>
                <w:noProof/>
                <w:sz w:val="22"/>
              </w:rPr>
            </w:pPr>
            <w:r>
              <w:rPr>
                <w:rFonts w:ascii="Times New Roman" w:hAnsi="Times New Roman" w:cs="Times New Roman"/>
                <w:sz w:val="22"/>
                <w:lang w:val="sk-SK"/>
              </w:rPr>
              <w:t>v tis. Sk</w:t>
            </w:r>
          </w:p>
        </w:tc>
      </w:tr>
      <w:tr>
        <w:tblPrEx>
          <w:tblLayout w:type="fixed"/>
          <w:tblCellMar>
            <w:top w:w="0" w:type="dxa"/>
            <w:left w:w="70" w:type="dxa"/>
            <w:bottom w:w="0" w:type="dxa"/>
            <w:right w:w="70" w:type="dxa"/>
          </w:tblCellMar>
        </w:tblPrEx>
        <w:trPr>
          <w:trHeight w:hRule="auto" w:val="0"/>
        </w:trPr>
        <w:tc>
          <w:tcPr>
            <w:tcW w:w="1870"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bottom"/>
          </w:tcPr>
          <w:p>
            <w:pPr>
              <w:jc w:val="center"/>
              <w:rPr>
                <w:rFonts w:ascii="Times New Roman" w:hAnsi="Times New Roman" w:cs="Times New Roman"/>
                <w:sz w:val="22"/>
              </w:rPr>
            </w:pPr>
            <w:r>
              <w:rPr>
                <w:rFonts w:ascii="Times New Roman" w:hAnsi="Times New Roman" w:cs="Times New Roman"/>
                <w:sz w:val="22"/>
              </w:rPr>
              <w:t>580 000</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bottom"/>
          </w:tcPr>
          <w:p>
            <w:pPr>
              <w:jc w:val="center"/>
              <w:rPr>
                <w:rFonts w:ascii="Times New Roman" w:hAnsi="Times New Roman" w:cs="Times New Roman"/>
                <w:sz w:val="22"/>
              </w:rPr>
            </w:pPr>
            <w:r>
              <w:rPr>
                <w:rFonts w:ascii="Times New Roman" w:hAnsi="Times New Roman" w:cs="Times New Roman"/>
                <w:sz w:val="22"/>
              </w:rPr>
              <w:t>240</w:t>
            </w:r>
          </w:p>
        </w:tc>
        <w:tc>
          <w:tcPr>
            <w:tcW w:w="1980" w:type="dxa"/>
            <w:tcBorders>
              <w:top w:val="single" w:sz="4" w:space="0" w:color="auto"/>
              <w:left w:val="single" w:sz="4" w:space="0" w:color="auto"/>
              <w:bottom w:val="single" w:sz="4" w:space="0" w:color="auto"/>
              <w:right w:val="single" w:sz="4" w:space="0" w:color="auto"/>
              <w:tl2br w:val="nil"/>
              <w:tr2bl w:val="nil"/>
            </w:tcBorders>
            <w:textDirection w:val="lrTb"/>
            <w:vAlign w:val="bottom"/>
          </w:tcPr>
          <w:p>
            <w:pPr>
              <w:jc w:val="center"/>
              <w:rPr>
                <w:rFonts w:ascii="Times New Roman" w:hAnsi="Times New Roman" w:cs="Times New Roman"/>
                <w:sz w:val="22"/>
              </w:rPr>
            </w:pPr>
            <w:r>
              <w:rPr>
                <w:rFonts w:ascii="Times New Roman" w:hAnsi="Times New Roman" w:cs="Times New Roman"/>
                <w:sz w:val="22"/>
              </w:rPr>
              <w:t xml:space="preserve">139 200 </w:t>
            </w:r>
          </w:p>
        </w:tc>
        <w:tc>
          <w:tcPr>
            <w:tcW w:w="23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r>
              <w:rPr>
                <w:rFonts w:ascii="Times New Roman" w:hAnsi="Times New Roman" w:cs="Times New Roman"/>
                <w:sz w:val="22"/>
              </w:rPr>
              <w:t xml:space="preserve">1 670 400 </w:t>
            </w:r>
          </w:p>
        </w:tc>
      </w:tr>
      <w:tr>
        <w:tblPrEx>
          <w:tblLayout w:type="fixed"/>
          <w:tblCellMar>
            <w:top w:w="0" w:type="dxa"/>
            <w:left w:w="70" w:type="dxa"/>
            <w:bottom w:w="0" w:type="dxa"/>
            <w:right w:w="70" w:type="dxa"/>
          </w:tblCellMar>
        </w:tblPrEx>
        <w:trPr>
          <w:trHeight w:val="382"/>
        </w:trPr>
        <w:tc>
          <w:tcPr>
            <w:tcW w:w="7630" w:type="dxa"/>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jc w:val="left"/>
              <w:rPr>
                <w:rFonts w:ascii="Times New Roman" w:hAnsi="Times New Roman" w:cs="Times New Roman"/>
                <w:noProof/>
                <w:sz w:val="22"/>
              </w:rPr>
            </w:pPr>
            <w:r>
              <w:rPr>
                <w:rFonts w:ascii="Times New Roman" w:hAnsi="Times New Roman" w:cs="Times New Roman"/>
                <w:noProof/>
                <w:sz w:val="22"/>
              </w:rPr>
              <w:t>Spolu náklady na výplatu v roku 2003 v tis. Sk                           11 421 900</w:t>
            </w:r>
          </w:p>
        </w:tc>
      </w:tr>
    </w:tbl>
    <w:p>
      <w:pPr>
        <w:pStyle w:val="BodyTextIndent"/>
        <w:rPr>
          <w:rFonts w:ascii="Times New Roman" w:hAnsi="Times New Roman" w:cs="Times New Roman"/>
        </w:rPr>
      </w:pPr>
      <w:r>
        <w:rPr>
          <w:rFonts w:ascii="Times New Roman" w:hAnsi="Times New Roman" w:cs="Times New Roman"/>
          <w:sz w:val="20"/>
        </w:rPr>
        <w:t xml:space="preserve"> </w:t>
      </w:r>
      <w:r>
        <w:rPr>
          <w:rFonts w:ascii="Times New Roman" w:hAnsi="Times New Roman" w:cs="Times New Roman"/>
        </w:rPr>
        <w:t xml:space="preserve"> </w:t>
        <w:br/>
      </w:r>
    </w:p>
    <w:p>
      <w:pPr>
        <w:pStyle w:val="BodyTextIndent"/>
        <w:spacing w:before="120" w:line="360" w:lineRule="auto"/>
        <w:jc w:val="both"/>
        <w:rPr>
          <w:rFonts w:ascii="Arial" w:hAnsi="Arial" w:cs="Times New Roman"/>
        </w:rPr>
      </w:pPr>
      <w:r>
        <w:rPr>
          <w:rFonts w:ascii="Arial" w:hAnsi="Arial" w:cs="Times New Roman"/>
        </w:rPr>
        <w:t>Vzhľadom na možnosti štátneho rozpočtu na rok 2003 a potrebu zníženia finančných prostriedkov určených na výplatu prídavku na dieťa a príspevku k prídavku na dieťa  treba  upraviť  výšku prídavku na dieťa a príspevku k prídavku na dieťa a súčasne  posunúť  účinnosť valorizačného mechanizmu. Uvedená zmena  si vyžiada v roku 2003 čerpanie finančných prostriedkov zo štátneho rozpočtu  9,6 mld. Sk, čo znamená úsporu v štátnom rozpočte na rok 2003 o 1,8 mld. Sk.</w:t>
      </w:r>
    </w:p>
    <w:p>
      <w:pPr>
        <w:pStyle w:val="BodyText2"/>
        <w:spacing w:before="120" w:line="360" w:lineRule="auto"/>
        <w:rPr>
          <w:rFonts w:ascii="Arial" w:hAnsi="Arial" w:cs="Times New Roman"/>
          <w:b/>
        </w:rPr>
      </w:pPr>
      <w:r>
        <w:rPr>
          <w:rFonts w:ascii="Arial" w:hAnsi="Arial" w:cs="Times New Roman"/>
          <w:b/>
        </w:rPr>
        <w:tab/>
        <w:t>Predpokladané náklady na výplatu prídavku na dieťa v r. 2003 podľa návrhu</w:t>
      </w:r>
    </w:p>
    <w:p>
      <w:pPr>
        <w:pStyle w:val="BodyText2"/>
        <w:rPr>
          <w:rFonts w:ascii="Times New Roman" w:hAnsi="Times New Roman" w:cs="Times New Roman"/>
        </w:rPr>
      </w:pPr>
      <w:r>
        <w:rPr>
          <w:rFonts w:ascii="Arial" w:hAnsi="Arial" w:cs="Times New Roman"/>
        </w:rPr>
        <w:t>(zníženie plošného prídavku na dieťa o 200 Sk mesačne, zvýšenie príspevku k prídavku na dieťa o 200 Sk mesačne v rodinách s príjmom do 1,37-násobku súm na účely štátnych sociálnych dávok a od 1.9.2003 zvýšenie prídavku aj príspevku pre žiakov stredných škôl o 200 Sk)</w:t>
        <w:tab/>
        <w:tab/>
        <w:tab/>
      </w:r>
      <w:r>
        <w:rPr>
          <w:rFonts w:ascii="Times New Roman" w:hAnsi="Times New Roman" w:cs="Times New Roman"/>
        </w:rPr>
        <w:tab/>
      </w:r>
    </w:p>
    <w:p>
      <w:pPr>
        <w:pStyle w:val="BodyText2"/>
        <w:rPr>
          <w:rFonts w:ascii="Times New Roman" w:hAnsi="Times New Roman" w:cs="Times New Roman"/>
        </w:rPr>
      </w:pPr>
    </w:p>
    <w:p>
      <w:pPr>
        <w:ind w:left="6372" w:firstLine="708"/>
        <w:rPr>
          <w:rFonts w:ascii="Times New Roman" w:hAnsi="Times New Roman" w:cs="Times New Roman"/>
          <w:b/>
          <w:sz w:val="22"/>
        </w:rPr>
      </w:pPr>
      <w:r>
        <w:rPr>
          <w:rFonts w:ascii="Times New Roman" w:hAnsi="Times New Roman" w:cs="Times New Roman"/>
          <w:b/>
          <w:sz w:val="22"/>
        </w:rPr>
        <w:t xml:space="preserve">tabuľka č. 2 </w:t>
        <w:tab/>
        <w:tab/>
        <w:tab/>
        <w:t xml:space="preserve">          </w:t>
      </w:r>
    </w:p>
    <w:tb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70"/>
        <w:gridCol w:w="1463"/>
        <w:gridCol w:w="1279"/>
        <w:gridCol w:w="1097"/>
        <w:gridCol w:w="1280"/>
        <w:gridCol w:w="1280"/>
        <w:gridCol w:w="1463"/>
        <w:gridCol w:w="1280"/>
      </w:tblGrid>
      <w:tr>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hRule="auto" w:val="0"/>
        </w:trPr>
        <w:tc>
          <w:tcPr>
            <w:tcW w:w="153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Spolu detí</w:t>
            </w:r>
          </w:p>
        </w:tc>
        <w:tc>
          <w:tcPr>
            <w:tcW w:w="12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Priemerná  výška PND</w:t>
            </w:r>
          </w:p>
          <w:p>
            <w:pPr>
              <w:jc w:val="center"/>
              <w:rPr>
                <w:rFonts w:ascii="Times New Roman" w:hAnsi="Times New Roman" w:cs="Times New Roman"/>
                <w:b/>
                <w:sz w:val="22"/>
              </w:rPr>
            </w:pPr>
            <w:r>
              <w:rPr>
                <w:rFonts w:ascii="Times New Roman" w:hAnsi="Times New Roman" w:cs="Times New Roman"/>
                <w:b/>
                <w:sz w:val="22"/>
              </w:rPr>
              <w:t>v Sk</w:t>
            </w:r>
          </w:p>
        </w:tc>
        <w:tc>
          <w:tcPr>
            <w:tcW w:w="10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Náklady na 1 mesiac</w:t>
            </w:r>
          </w:p>
          <w:p>
            <w:pPr>
              <w:jc w:val="center"/>
              <w:rPr>
                <w:rFonts w:ascii="Times New Roman" w:hAnsi="Times New Roman" w:cs="Times New Roman"/>
                <w:b/>
                <w:sz w:val="22"/>
              </w:rPr>
            </w:pPr>
            <w:r>
              <w:rPr>
                <w:rFonts w:ascii="Times New Roman" w:hAnsi="Times New Roman" w:cs="Times New Roman"/>
                <w:b/>
                <w:sz w:val="22"/>
              </w:rPr>
              <w:t>v tis. Sk</w:t>
            </w:r>
          </w:p>
        </w:tc>
        <w:tc>
          <w:tcPr>
            <w:tcW w:w="12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Priemerná  výška PND</w:t>
            </w:r>
          </w:p>
          <w:p>
            <w:pPr>
              <w:jc w:val="center"/>
              <w:rPr>
                <w:rFonts w:ascii="Times New Roman" w:hAnsi="Times New Roman" w:cs="Times New Roman"/>
                <w:b/>
                <w:sz w:val="22"/>
              </w:rPr>
            </w:pPr>
            <w:r>
              <w:rPr>
                <w:rFonts w:ascii="Times New Roman" w:hAnsi="Times New Roman" w:cs="Times New Roman"/>
                <w:b/>
                <w:sz w:val="22"/>
              </w:rPr>
              <w:t>v Sk</w:t>
            </w:r>
          </w:p>
        </w:tc>
        <w:tc>
          <w:tcPr>
            <w:tcW w:w="12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Náklady na 1 mesiac</w:t>
            </w:r>
          </w:p>
          <w:p>
            <w:pPr>
              <w:jc w:val="center"/>
              <w:rPr>
                <w:rFonts w:ascii="Times New Roman" w:hAnsi="Times New Roman" w:cs="Times New Roman"/>
                <w:b/>
                <w:sz w:val="22"/>
              </w:rPr>
            </w:pPr>
            <w:r>
              <w:rPr>
                <w:rFonts w:ascii="Times New Roman" w:hAnsi="Times New Roman" w:cs="Times New Roman"/>
                <w:b/>
                <w:sz w:val="22"/>
              </w:rPr>
              <w:t>v tis. Sk</w:t>
            </w:r>
          </w:p>
        </w:tc>
        <w:tc>
          <w:tcPr>
            <w:tcW w:w="146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Náklady na 11 mesiacov</w:t>
            </w:r>
          </w:p>
          <w:p>
            <w:pPr>
              <w:jc w:val="center"/>
              <w:rPr>
                <w:rFonts w:ascii="Times New Roman" w:hAnsi="Times New Roman" w:cs="Times New Roman"/>
                <w:b/>
                <w:sz w:val="22"/>
              </w:rPr>
            </w:pPr>
            <w:r>
              <w:rPr>
                <w:rFonts w:ascii="Times New Roman" w:hAnsi="Times New Roman" w:cs="Times New Roman"/>
                <w:b/>
                <w:sz w:val="22"/>
              </w:rPr>
              <w:t>v tis. Sk</w:t>
            </w:r>
          </w:p>
        </w:tc>
        <w:tc>
          <w:tcPr>
            <w:tcW w:w="12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Náklady na rok 2003</w:t>
            </w:r>
          </w:p>
          <w:p>
            <w:pPr>
              <w:jc w:val="center"/>
              <w:rPr>
                <w:rFonts w:ascii="Times New Roman" w:hAnsi="Times New Roman" w:cs="Times New Roman"/>
                <w:b/>
                <w:sz w:val="22"/>
              </w:rPr>
            </w:pPr>
            <w:r>
              <w:rPr>
                <w:rFonts w:ascii="Times New Roman" w:hAnsi="Times New Roman" w:cs="Times New Roman"/>
                <w:b/>
                <w:sz w:val="22"/>
              </w:rPr>
              <w:t>v tis. Sk</w:t>
            </w:r>
          </w:p>
        </w:tc>
      </w:tr>
      <w:tr>
        <w:tblPrEx>
          <w:tblLayout w:type="fixed"/>
          <w:tblCellMar>
            <w:top w:w="0" w:type="dxa"/>
            <w:left w:w="70" w:type="dxa"/>
            <w:bottom w:w="0" w:type="dxa"/>
            <w:right w:w="70" w:type="dxa"/>
          </w:tblCellMar>
        </w:tblPrEx>
        <w:trPr>
          <w:trHeight w:val="332"/>
        </w:trPr>
        <w:tc>
          <w:tcPr>
            <w:tcW w:w="153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r>
              <w:rPr>
                <w:rFonts w:ascii="Times New Roman" w:hAnsi="Times New Roman" w:cs="Times New Roman"/>
                <w:sz w:val="22"/>
              </w:rPr>
              <w:t>1 400 000</w:t>
            </w:r>
          </w:p>
        </w:tc>
        <w:tc>
          <w:tcPr>
            <w:tcW w:w="12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Times New Roman"/>
                <w:sz w:val="22"/>
              </w:rPr>
            </w:pPr>
            <w:r>
              <w:rPr>
                <w:rFonts w:ascii="Arial" w:hAnsi="Arial" w:cs="Times New Roman"/>
                <w:sz w:val="22"/>
              </w:rPr>
              <w:t>570</w:t>
            </w:r>
          </w:p>
        </w:tc>
        <w:tc>
          <w:tcPr>
            <w:tcW w:w="10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Arial" w:hAnsi="Arial" w:cs="Times New Roman"/>
                <w:sz w:val="22"/>
              </w:rPr>
            </w:pPr>
            <w:r>
              <w:rPr>
                <w:rFonts w:ascii="Arial" w:hAnsi="Arial" w:cs="Times New Roman"/>
                <w:sz w:val="22"/>
              </w:rPr>
              <w:t xml:space="preserve">798 000 </w:t>
            </w:r>
          </w:p>
        </w:tc>
        <w:tc>
          <w:tcPr>
            <w:tcW w:w="12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r>
              <w:rPr>
                <w:rFonts w:ascii="Times New Roman" w:hAnsi="Times New Roman" w:cs="Times New Roman"/>
                <w:sz w:val="22"/>
              </w:rPr>
              <w:t>370</w:t>
            </w:r>
          </w:p>
        </w:tc>
        <w:tc>
          <w:tcPr>
            <w:tcW w:w="12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r>
              <w:rPr>
                <w:rFonts w:ascii="Times New Roman" w:hAnsi="Times New Roman" w:cs="Times New Roman"/>
                <w:sz w:val="22"/>
              </w:rPr>
              <w:t>518 000</w:t>
            </w:r>
          </w:p>
        </w:tc>
        <w:tc>
          <w:tcPr>
            <w:tcW w:w="146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r>
              <w:rPr>
                <w:rFonts w:ascii="Times New Roman" w:hAnsi="Times New Roman" w:cs="Times New Roman"/>
                <w:sz w:val="22"/>
              </w:rPr>
              <w:t>5 698 0</w:t>
            </w:r>
            <w:r>
              <w:rPr>
                <w:rFonts w:ascii="Times New Roman" w:hAnsi="Times New Roman" w:cs="Times New Roman"/>
                <w:sz w:val="22"/>
              </w:rPr>
              <w:t>00</w:t>
            </w:r>
          </w:p>
        </w:tc>
        <w:tc>
          <w:tcPr>
            <w:tcW w:w="12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6 496 000</w:t>
            </w:r>
          </w:p>
        </w:tc>
      </w:tr>
      <w:tr>
        <w:tblPrEx>
          <w:tblLayout w:type="fixed"/>
          <w:tblCellMar>
            <w:top w:w="0" w:type="dxa"/>
            <w:left w:w="70" w:type="dxa"/>
            <w:bottom w:w="0" w:type="dxa"/>
            <w:right w:w="70" w:type="dxa"/>
          </w:tblCellMar>
        </w:tblPrEx>
        <w:trPr>
          <w:trHeight w:val="332"/>
        </w:trPr>
        <w:tc>
          <w:tcPr>
            <w:tcW w:w="153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imes New Roman" w:hAnsi="Times New Roman" w:cs="Times New Roman"/>
                <w:b/>
                <w:sz w:val="22"/>
              </w:rPr>
            </w:pPr>
            <w:r>
              <w:rPr>
                <w:rFonts w:ascii="Times New Roman" w:hAnsi="Times New Roman" w:cs="Times New Roman"/>
                <w:b/>
                <w:sz w:val="22"/>
              </w:rPr>
              <w:t>Počet žiakov stredných škôl (SŠ)</w:t>
            </w:r>
          </w:p>
        </w:tc>
        <w:tc>
          <w:tcPr>
            <w:tcW w:w="12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Zvýšenie  PND od septembra pre žiakov SŚ v Sk</w:t>
            </w:r>
          </w:p>
        </w:tc>
        <w:tc>
          <w:tcPr>
            <w:tcW w:w="10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Náklady na 1 mesiac</w:t>
            </w:r>
          </w:p>
          <w:p>
            <w:pPr>
              <w:jc w:val="center"/>
              <w:rPr>
                <w:rFonts w:ascii="Times New Roman" w:hAnsi="Times New Roman" w:cs="Times New Roman"/>
                <w:b/>
                <w:sz w:val="22"/>
              </w:rPr>
            </w:pPr>
            <w:r>
              <w:rPr>
                <w:rFonts w:ascii="Times New Roman" w:hAnsi="Times New Roman" w:cs="Times New Roman"/>
                <w:b/>
                <w:sz w:val="22"/>
              </w:rPr>
              <w:t>v tis. Sk</w:t>
            </w:r>
          </w:p>
        </w:tc>
        <w:tc>
          <w:tcPr>
            <w:tcW w:w="128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imes New Roman" w:hAnsi="Times New Roman" w:cs="Times New Roman"/>
                <w:b/>
                <w:sz w:val="22"/>
              </w:rPr>
            </w:pPr>
          </w:p>
        </w:tc>
        <w:tc>
          <w:tcPr>
            <w:tcW w:w="1280"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imes New Roman" w:hAnsi="Times New Roman" w:cs="Times New Roman"/>
                <w:b/>
                <w:sz w:val="22"/>
              </w:rPr>
            </w:pPr>
          </w:p>
          <w:p>
            <w:pPr>
              <w:jc w:val="center"/>
              <w:rPr>
                <w:rFonts w:ascii="Times New Roman" w:hAnsi="Times New Roman" w:cs="Times New Roman"/>
                <w:b/>
                <w:sz w:val="22"/>
              </w:rPr>
            </w:pPr>
          </w:p>
        </w:tc>
        <w:tc>
          <w:tcPr>
            <w:tcW w:w="1463" w:type="dxa"/>
            <w:tcBorders>
              <w:top w:val="single" w:sz="4" w:space="0" w:color="auto"/>
              <w:left w:val="single" w:sz="4" w:space="0" w:color="auto"/>
              <w:bottom w:val="single" w:sz="4" w:space="0" w:color="auto"/>
              <w:right w:val="single" w:sz="4" w:space="0" w:color="auto"/>
              <w:tl2br w:val="nil"/>
              <w:tr2bl w:val="nil"/>
            </w:tcBorders>
            <w:textDirection w:val="lrTb"/>
            <w:vAlign w:val="center"/>
          </w:tcPr>
          <w:p>
            <w:pPr>
              <w:jc w:val="center"/>
              <w:rPr>
                <w:rFonts w:ascii="Times New Roman" w:hAnsi="Times New Roman" w:cs="Times New Roman"/>
                <w:b/>
                <w:sz w:val="22"/>
              </w:rPr>
            </w:pPr>
          </w:p>
        </w:tc>
        <w:tc>
          <w:tcPr>
            <w:tcW w:w="12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Náklady na 3 mesiace</w:t>
            </w:r>
          </w:p>
          <w:p>
            <w:pPr>
              <w:jc w:val="center"/>
              <w:rPr>
                <w:rFonts w:ascii="Times New Roman" w:hAnsi="Times New Roman" w:cs="Times New Roman"/>
                <w:b/>
                <w:sz w:val="22"/>
              </w:rPr>
            </w:pPr>
            <w:r>
              <w:rPr>
                <w:rFonts w:ascii="Times New Roman" w:hAnsi="Times New Roman" w:cs="Times New Roman"/>
                <w:b/>
                <w:sz w:val="22"/>
              </w:rPr>
              <w:t>v tis. Sk</w:t>
            </w:r>
          </w:p>
        </w:tc>
      </w:tr>
      <w:tr>
        <w:tblPrEx>
          <w:tblLayout w:type="fixed"/>
          <w:tblCellMar>
            <w:top w:w="0" w:type="dxa"/>
            <w:left w:w="70" w:type="dxa"/>
            <w:bottom w:w="0" w:type="dxa"/>
            <w:right w:w="70" w:type="dxa"/>
          </w:tblCellMar>
        </w:tblPrEx>
        <w:trPr>
          <w:trHeight w:val="332"/>
        </w:trPr>
        <w:tc>
          <w:tcPr>
            <w:tcW w:w="153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r>
              <w:rPr>
                <w:rFonts w:ascii="Times New Roman" w:hAnsi="Times New Roman" w:cs="Times New Roman"/>
                <w:sz w:val="22"/>
              </w:rPr>
              <w:t>217 100</w:t>
            </w:r>
          </w:p>
        </w:tc>
        <w:tc>
          <w:tcPr>
            <w:tcW w:w="12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r>
              <w:rPr>
                <w:rFonts w:ascii="Times New Roman" w:hAnsi="Times New Roman" w:cs="Times New Roman"/>
                <w:sz w:val="22"/>
              </w:rPr>
              <w:t>200</w:t>
            </w:r>
          </w:p>
        </w:tc>
        <w:tc>
          <w:tcPr>
            <w:tcW w:w="10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r>
              <w:rPr>
                <w:rFonts w:ascii="Times New Roman" w:hAnsi="Times New Roman" w:cs="Times New Roman"/>
                <w:sz w:val="22"/>
              </w:rPr>
              <w:t>43 420</w:t>
            </w:r>
          </w:p>
        </w:tc>
        <w:tc>
          <w:tcPr>
            <w:tcW w:w="12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p>
        </w:tc>
        <w:tc>
          <w:tcPr>
            <w:tcW w:w="12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p>
        </w:tc>
        <w:tc>
          <w:tcPr>
            <w:tcW w:w="146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r>
              <w:rPr>
                <w:rFonts w:ascii="Times New Roman" w:hAnsi="Times New Roman" w:cs="Times New Roman"/>
                <w:sz w:val="22"/>
              </w:rPr>
              <w:t xml:space="preserve">     </w:t>
            </w:r>
          </w:p>
        </w:tc>
        <w:tc>
          <w:tcPr>
            <w:tcW w:w="12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130 260</w:t>
            </w:r>
          </w:p>
        </w:tc>
      </w:tr>
      <w:tr>
        <w:tblPrEx>
          <w:tblLayout w:type="fixed"/>
          <w:tblCellMar>
            <w:top w:w="0" w:type="dxa"/>
            <w:left w:w="70" w:type="dxa"/>
            <w:bottom w:w="0" w:type="dxa"/>
            <w:right w:w="70" w:type="dxa"/>
          </w:tblCellMar>
        </w:tblPrEx>
        <w:trPr>
          <w:trHeight w:hRule="auto" w:val="0"/>
        </w:trPr>
        <w:tc>
          <w:tcPr>
            <w:tcW w:w="153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3"/>
              <w:jc w:val="center"/>
              <w:rPr>
                <w:rFonts w:ascii="Times New Roman" w:hAnsi="Times New Roman" w:cs="Times New Roman"/>
                <w:sz w:val="22"/>
                <w:lang w:val="sk-SK"/>
              </w:rPr>
            </w:pPr>
            <w:r>
              <w:rPr>
                <w:rFonts w:ascii="Times New Roman" w:hAnsi="Times New Roman" w:cs="Times New Roman"/>
                <w:sz w:val="22"/>
                <w:lang w:val="sk-SK"/>
              </w:rPr>
              <w:t>Počet detí, ktorých rodičia majú príjem do 1,37 násobku ŠSD</w:t>
            </w:r>
          </w:p>
        </w:tc>
        <w:tc>
          <w:tcPr>
            <w:tcW w:w="12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P</w:t>
            </w:r>
            <w:r>
              <w:rPr>
                <w:rFonts w:ascii="Times New Roman" w:hAnsi="Times New Roman" w:cs="Times New Roman"/>
                <w:b/>
                <w:sz w:val="22"/>
              </w:rPr>
              <w:t>riemerná výška príspevku k PND v Sk</w:t>
            </w:r>
          </w:p>
        </w:tc>
        <w:tc>
          <w:tcPr>
            <w:tcW w:w="10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Náklady na 1 mesiac</w:t>
            </w:r>
          </w:p>
          <w:p>
            <w:pPr>
              <w:jc w:val="center"/>
              <w:rPr>
                <w:rFonts w:ascii="Times New Roman" w:hAnsi="Times New Roman" w:cs="Times New Roman"/>
                <w:b/>
                <w:sz w:val="22"/>
              </w:rPr>
            </w:pPr>
            <w:r>
              <w:rPr>
                <w:rFonts w:ascii="Times New Roman" w:hAnsi="Times New Roman" w:cs="Times New Roman"/>
                <w:b/>
                <w:sz w:val="22"/>
              </w:rPr>
              <w:t>v tis. Sk</w:t>
            </w:r>
          </w:p>
        </w:tc>
        <w:tc>
          <w:tcPr>
            <w:tcW w:w="12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Priemerná výška príspevku k PND v Sk</w:t>
            </w:r>
          </w:p>
        </w:tc>
        <w:tc>
          <w:tcPr>
            <w:tcW w:w="12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Náklady na 1 mesiac</w:t>
            </w:r>
          </w:p>
          <w:p>
            <w:pPr>
              <w:jc w:val="center"/>
              <w:rPr>
                <w:rFonts w:ascii="Times New Roman" w:hAnsi="Times New Roman" w:cs="Times New Roman"/>
                <w:b/>
                <w:sz w:val="22"/>
              </w:rPr>
            </w:pPr>
            <w:r>
              <w:rPr>
                <w:rFonts w:ascii="Times New Roman" w:hAnsi="Times New Roman" w:cs="Times New Roman"/>
                <w:b/>
                <w:sz w:val="22"/>
              </w:rPr>
              <w:t>v tis. Sk</w:t>
            </w:r>
          </w:p>
        </w:tc>
        <w:tc>
          <w:tcPr>
            <w:tcW w:w="146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Náklady na 11 mesiacov</w:t>
            </w:r>
          </w:p>
          <w:p>
            <w:pPr>
              <w:pStyle w:val="Heading1"/>
              <w:rPr>
                <w:rFonts w:ascii="Times New Roman" w:hAnsi="Times New Roman" w:cs="Times New Roman"/>
                <w:noProof/>
                <w:sz w:val="22"/>
              </w:rPr>
            </w:pPr>
            <w:r>
              <w:rPr>
                <w:rFonts w:ascii="Times New Roman" w:hAnsi="Times New Roman" w:cs="Times New Roman"/>
                <w:sz w:val="22"/>
                <w:lang w:val="sk-SK"/>
              </w:rPr>
              <w:t>v tis. Sk</w:t>
            </w:r>
          </w:p>
        </w:tc>
        <w:tc>
          <w:tcPr>
            <w:tcW w:w="12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Náklady na rok 2003</w:t>
            </w:r>
          </w:p>
          <w:p>
            <w:pPr>
              <w:jc w:val="center"/>
              <w:rPr>
                <w:rFonts w:ascii="Times New Roman" w:hAnsi="Times New Roman" w:cs="Times New Roman"/>
                <w:b/>
                <w:sz w:val="22"/>
              </w:rPr>
            </w:pPr>
            <w:r>
              <w:rPr>
                <w:rFonts w:ascii="Times New Roman" w:hAnsi="Times New Roman" w:cs="Times New Roman"/>
                <w:b/>
                <w:sz w:val="22"/>
              </w:rPr>
              <w:t>v tis. Sk</w:t>
            </w:r>
          </w:p>
        </w:tc>
      </w:tr>
      <w:tr>
        <w:tblPrEx>
          <w:tblLayout w:type="fixed"/>
          <w:tblCellMar>
            <w:top w:w="0" w:type="dxa"/>
            <w:left w:w="70" w:type="dxa"/>
            <w:bottom w:w="0" w:type="dxa"/>
            <w:right w:w="70" w:type="dxa"/>
          </w:tblCellMar>
        </w:tblPrEx>
        <w:trPr>
          <w:trHeight w:hRule="auto" w:val="0"/>
        </w:trPr>
        <w:tc>
          <w:tcPr>
            <w:tcW w:w="153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bottom"/>
          </w:tcPr>
          <w:p>
            <w:pPr>
              <w:jc w:val="center"/>
              <w:rPr>
                <w:rFonts w:ascii="Times New Roman" w:hAnsi="Times New Roman" w:cs="Times New Roman"/>
                <w:sz w:val="22"/>
              </w:rPr>
            </w:pPr>
            <w:r>
              <w:rPr>
                <w:rFonts w:ascii="Times New Roman" w:hAnsi="Times New Roman" w:cs="Times New Roman"/>
                <w:sz w:val="22"/>
              </w:rPr>
              <w:t>580 000</w:t>
            </w:r>
          </w:p>
        </w:tc>
        <w:tc>
          <w:tcPr>
            <w:tcW w:w="12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r>
              <w:rPr>
                <w:rFonts w:ascii="Times New Roman" w:hAnsi="Times New Roman" w:cs="Times New Roman"/>
                <w:sz w:val="22"/>
              </w:rPr>
              <w:t>240</w:t>
            </w:r>
          </w:p>
        </w:tc>
        <w:tc>
          <w:tcPr>
            <w:tcW w:w="10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r>
              <w:rPr>
                <w:rFonts w:ascii="Times New Roman" w:hAnsi="Times New Roman" w:cs="Times New Roman"/>
                <w:sz w:val="22"/>
              </w:rPr>
              <w:t>139 200</w:t>
            </w:r>
          </w:p>
        </w:tc>
        <w:tc>
          <w:tcPr>
            <w:tcW w:w="1280" w:type="dxa"/>
            <w:tcBorders>
              <w:top w:val="single" w:sz="4" w:space="0" w:color="auto"/>
              <w:left w:val="single" w:sz="4" w:space="0" w:color="auto"/>
              <w:bottom w:val="single" w:sz="4" w:space="0" w:color="auto"/>
              <w:right w:val="single" w:sz="4" w:space="0" w:color="auto"/>
              <w:tl2br w:val="nil"/>
              <w:tr2bl w:val="nil"/>
            </w:tcBorders>
            <w:textDirection w:val="lrTb"/>
            <w:vAlign w:val="bottom"/>
          </w:tcPr>
          <w:p>
            <w:pPr>
              <w:jc w:val="center"/>
              <w:rPr>
                <w:rFonts w:ascii="Times New Roman" w:hAnsi="Times New Roman" w:cs="Times New Roman"/>
                <w:sz w:val="22"/>
              </w:rPr>
            </w:pPr>
            <w:r>
              <w:rPr>
                <w:rFonts w:ascii="Times New Roman" w:hAnsi="Times New Roman" w:cs="Times New Roman"/>
                <w:sz w:val="22"/>
              </w:rPr>
              <w:t>440</w:t>
            </w:r>
          </w:p>
        </w:tc>
        <w:tc>
          <w:tcPr>
            <w:tcW w:w="1280" w:type="dxa"/>
            <w:tcBorders>
              <w:top w:val="single" w:sz="4" w:space="0" w:color="auto"/>
              <w:left w:val="single" w:sz="4" w:space="0" w:color="auto"/>
              <w:bottom w:val="single" w:sz="4" w:space="0" w:color="auto"/>
              <w:right w:val="single" w:sz="4" w:space="0" w:color="auto"/>
              <w:tl2br w:val="nil"/>
              <w:tr2bl w:val="nil"/>
            </w:tcBorders>
            <w:textDirection w:val="lrTb"/>
            <w:vAlign w:val="bottom"/>
          </w:tcPr>
          <w:p>
            <w:pPr>
              <w:jc w:val="center"/>
              <w:rPr>
                <w:rFonts w:ascii="Times New Roman" w:hAnsi="Times New Roman" w:cs="Times New Roman"/>
                <w:sz w:val="22"/>
              </w:rPr>
            </w:pPr>
            <w:r>
              <w:rPr>
                <w:rFonts w:ascii="Times New Roman" w:hAnsi="Times New Roman" w:cs="Times New Roman"/>
                <w:sz w:val="22"/>
              </w:rPr>
              <w:t>255 200</w:t>
            </w:r>
          </w:p>
        </w:tc>
        <w:tc>
          <w:tcPr>
            <w:tcW w:w="146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r>
              <w:rPr>
                <w:rFonts w:ascii="Times New Roman" w:hAnsi="Times New Roman" w:cs="Times New Roman"/>
                <w:sz w:val="22"/>
              </w:rPr>
              <w:t xml:space="preserve"> 2 807 200</w:t>
            </w:r>
          </w:p>
        </w:tc>
        <w:tc>
          <w:tcPr>
            <w:tcW w:w="12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2 946 400</w:t>
            </w:r>
          </w:p>
        </w:tc>
      </w:tr>
      <w:tr>
        <w:tblPrEx>
          <w:tblLayout w:type="fixed"/>
          <w:tblCellMar>
            <w:top w:w="0" w:type="dxa"/>
            <w:left w:w="70" w:type="dxa"/>
            <w:bottom w:w="0" w:type="dxa"/>
            <w:right w:w="70" w:type="dxa"/>
          </w:tblCellMar>
        </w:tblPrEx>
        <w:trPr>
          <w:trHeight w:hRule="auto" w:val="0"/>
        </w:trPr>
        <w:tc>
          <w:tcPr>
            <w:tcW w:w="153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bottom"/>
          </w:tcPr>
          <w:p>
            <w:pPr>
              <w:jc w:val="center"/>
              <w:rPr>
                <w:rFonts w:ascii="Times New Roman" w:hAnsi="Times New Roman" w:cs="Times New Roman"/>
                <w:b/>
                <w:sz w:val="22"/>
              </w:rPr>
            </w:pPr>
            <w:r>
              <w:rPr>
                <w:rFonts w:ascii="Times New Roman" w:hAnsi="Times New Roman" w:cs="Times New Roman"/>
                <w:b/>
                <w:sz w:val="22"/>
              </w:rPr>
              <w:t>Počet žiakov stredných škôl, ktorých rodičia majú príjem do 1,37 násobku ŠSD</w:t>
            </w:r>
          </w:p>
        </w:tc>
        <w:tc>
          <w:tcPr>
            <w:tcW w:w="12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Zvýšenie  príspevku od septembra</w:t>
            </w:r>
          </w:p>
          <w:p>
            <w:pPr>
              <w:jc w:val="center"/>
              <w:rPr>
                <w:rFonts w:ascii="Times New Roman" w:hAnsi="Times New Roman" w:cs="Times New Roman"/>
                <w:b/>
                <w:sz w:val="22"/>
              </w:rPr>
            </w:pPr>
            <w:r>
              <w:rPr>
                <w:rFonts w:ascii="Times New Roman" w:hAnsi="Times New Roman" w:cs="Times New Roman"/>
                <w:b/>
                <w:sz w:val="22"/>
              </w:rPr>
              <w:t>pre žiakov SŚ v Sk</w:t>
            </w:r>
          </w:p>
        </w:tc>
        <w:tc>
          <w:tcPr>
            <w:tcW w:w="10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Náklady na 1 mesiac</w:t>
            </w:r>
          </w:p>
          <w:p>
            <w:pPr>
              <w:jc w:val="center"/>
              <w:rPr>
                <w:rFonts w:ascii="Times New Roman" w:hAnsi="Times New Roman" w:cs="Times New Roman"/>
                <w:b/>
                <w:sz w:val="22"/>
              </w:rPr>
            </w:pPr>
            <w:r>
              <w:rPr>
                <w:rFonts w:ascii="Times New Roman" w:hAnsi="Times New Roman" w:cs="Times New Roman"/>
                <w:b/>
                <w:sz w:val="22"/>
              </w:rPr>
              <w:t>v tis. Sk</w:t>
            </w:r>
          </w:p>
        </w:tc>
        <w:tc>
          <w:tcPr>
            <w:tcW w:w="1280" w:type="dxa"/>
            <w:tcBorders>
              <w:top w:val="single" w:sz="4" w:space="0" w:color="auto"/>
              <w:left w:val="single" w:sz="4" w:space="0" w:color="auto"/>
              <w:bottom w:val="single" w:sz="4" w:space="0" w:color="auto"/>
              <w:right w:val="single" w:sz="4" w:space="0" w:color="auto"/>
              <w:tl2br w:val="nil"/>
              <w:tr2bl w:val="nil"/>
            </w:tcBorders>
            <w:textDirection w:val="lrTb"/>
            <w:vAlign w:val="bottom"/>
          </w:tcPr>
          <w:p>
            <w:pPr>
              <w:jc w:val="center"/>
              <w:rPr>
                <w:rFonts w:ascii="Times New Roman" w:hAnsi="Times New Roman" w:cs="Times New Roman"/>
                <w:sz w:val="22"/>
              </w:rPr>
            </w:pPr>
          </w:p>
        </w:tc>
        <w:tc>
          <w:tcPr>
            <w:tcW w:w="1280" w:type="dxa"/>
            <w:tcBorders>
              <w:top w:val="single" w:sz="4" w:space="0" w:color="auto"/>
              <w:left w:val="single" w:sz="4" w:space="0" w:color="auto"/>
              <w:bottom w:val="single" w:sz="4" w:space="0" w:color="auto"/>
              <w:right w:val="single" w:sz="4" w:space="0" w:color="auto"/>
              <w:tl2br w:val="nil"/>
              <w:tr2bl w:val="nil"/>
            </w:tcBorders>
            <w:textDirection w:val="lrTb"/>
            <w:vAlign w:val="bottom"/>
          </w:tcPr>
          <w:p>
            <w:pPr>
              <w:jc w:val="center"/>
              <w:rPr>
                <w:rFonts w:ascii="Times New Roman" w:hAnsi="Times New Roman" w:cs="Times New Roman"/>
                <w:b/>
                <w:sz w:val="22"/>
              </w:rPr>
            </w:pPr>
          </w:p>
          <w:p>
            <w:pPr>
              <w:jc w:val="center"/>
              <w:rPr>
                <w:rFonts w:ascii="Times New Roman" w:hAnsi="Times New Roman" w:cs="Times New Roman"/>
                <w:sz w:val="22"/>
              </w:rPr>
            </w:pPr>
          </w:p>
        </w:tc>
        <w:tc>
          <w:tcPr>
            <w:tcW w:w="146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p>
          <w:p>
            <w:pPr>
              <w:jc w:val="center"/>
              <w:rPr>
                <w:rFonts w:ascii="Times New Roman" w:hAnsi="Times New Roman" w:cs="Times New Roman"/>
                <w:sz w:val="22"/>
              </w:rPr>
            </w:pPr>
          </w:p>
        </w:tc>
        <w:tc>
          <w:tcPr>
            <w:tcW w:w="12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Náklady na 3 mesiace</w:t>
            </w:r>
          </w:p>
          <w:p>
            <w:pPr>
              <w:jc w:val="center"/>
              <w:rPr>
                <w:rFonts w:ascii="Times New Roman" w:hAnsi="Times New Roman" w:cs="Times New Roman"/>
                <w:b/>
                <w:sz w:val="22"/>
              </w:rPr>
            </w:pPr>
            <w:r>
              <w:rPr>
                <w:rFonts w:ascii="Times New Roman" w:hAnsi="Times New Roman" w:cs="Times New Roman"/>
                <w:b/>
                <w:sz w:val="22"/>
              </w:rPr>
              <w:t>v tis. Sk</w:t>
            </w:r>
          </w:p>
        </w:tc>
      </w:tr>
      <w:tr>
        <w:tblPrEx>
          <w:tblLayout w:type="fixed"/>
          <w:tblCellMar>
            <w:top w:w="0" w:type="dxa"/>
            <w:left w:w="70" w:type="dxa"/>
            <w:bottom w:w="0" w:type="dxa"/>
            <w:right w:w="70" w:type="dxa"/>
          </w:tblCellMar>
        </w:tblPrEx>
        <w:trPr>
          <w:trHeight w:hRule="auto" w:val="0"/>
        </w:trPr>
        <w:tc>
          <w:tcPr>
            <w:tcW w:w="1533" w:type="dxa"/>
            <w:gridSpan w:val="2"/>
            <w:tcBorders>
              <w:top w:val="single" w:sz="4" w:space="0" w:color="auto"/>
              <w:left w:val="single" w:sz="4" w:space="0" w:color="auto"/>
              <w:bottom w:val="single" w:sz="4" w:space="0" w:color="auto"/>
              <w:right w:val="single" w:sz="4" w:space="0" w:color="auto"/>
              <w:tl2br w:val="nil"/>
              <w:tr2bl w:val="nil"/>
            </w:tcBorders>
            <w:textDirection w:val="lrTb"/>
            <w:vAlign w:val="bottom"/>
          </w:tcPr>
          <w:p>
            <w:pPr>
              <w:jc w:val="center"/>
              <w:rPr>
                <w:rFonts w:ascii="Times New Roman" w:hAnsi="Times New Roman" w:cs="Times New Roman"/>
                <w:sz w:val="22"/>
              </w:rPr>
            </w:pPr>
            <w:r>
              <w:rPr>
                <w:rFonts w:ascii="Times New Roman" w:hAnsi="Times New Roman" w:cs="Times New Roman"/>
                <w:sz w:val="22"/>
              </w:rPr>
              <w:t>90 000</w:t>
            </w:r>
          </w:p>
        </w:tc>
        <w:tc>
          <w:tcPr>
            <w:tcW w:w="127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r>
              <w:rPr>
                <w:rFonts w:ascii="Times New Roman" w:hAnsi="Times New Roman" w:cs="Times New Roman"/>
                <w:sz w:val="22"/>
              </w:rPr>
              <w:t>200</w:t>
            </w:r>
          </w:p>
        </w:tc>
        <w:tc>
          <w:tcPr>
            <w:tcW w:w="10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r>
              <w:rPr>
                <w:rFonts w:ascii="Times New Roman" w:hAnsi="Times New Roman" w:cs="Times New Roman"/>
                <w:sz w:val="22"/>
              </w:rPr>
              <w:t>18 000</w:t>
            </w:r>
          </w:p>
        </w:tc>
        <w:tc>
          <w:tcPr>
            <w:tcW w:w="1280" w:type="dxa"/>
            <w:tcBorders>
              <w:top w:val="single" w:sz="4" w:space="0" w:color="auto"/>
              <w:left w:val="single" w:sz="4" w:space="0" w:color="auto"/>
              <w:bottom w:val="single" w:sz="4" w:space="0" w:color="auto"/>
              <w:right w:val="single" w:sz="4" w:space="0" w:color="auto"/>
              <w:tl2br w:val="nil"/>
              <w:tr2bl w:val="nil"/>
            </w:tcBorders>
            <w:textDirection w:val="lrTb"/>
            <w:vAlign w:val="bottom"/>
          </w:tcPr>
          <w:p>
            <w:pPr>
              <w:jc w:val="center"/>
              <w:rPr>
                <w:rFonts w:ascii="Times New Roman" w:hAnsi="Times New Roman" w:cs="Times New Roman"/>
                <w:sz w:val="22"/>
              </w:rPr>
            </w:pPr>
          </w:p>
        </w:tc>
        <w:tc>
          <w:tcPr>
            <w:tcW w:w="1280" w:type="dxa"/>
            <w:tcBorders>
              <w:top w:val="single" w:sz="4" w:space="0" w:color="auto"/>
              <w:left w:val="single" w:sz="4" w:space="0" w:color="auto"/>
              <w:bottom w:val="single" w:sz="4" w:space="0" w:color="auto"/>
              <w:right w:val="single" w:sz="4" w:space="0" w:color="auto"/>
              <w:tl2br w:val="nil"/>
              <w:tr2bl w:val="nil"/>
            </w:tcBorders>
            <w:textDirection w:val="lrTb"/>
            <w:vAlign w:val="bottom"/>
          </w:tcPr>
          <w:p>
            <w:pPr>
              <w:jc w:val="center"/>
              <w:rPr>
                <w:rFonts w:ascii="Times New Roman" w:hAnsi="Times New Roman" w:cs="Times New Roman"/>
                <w:sz w:val="22"/>
              </w:rPr>
            </w:pPr>
          </w:p>
        </w:tc>
        <w:tc>
          <w:tcPr>
            <w:tcW w:w="1463"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sz w:val="22"/>
              </w:rPr>
            </w:pPr>
          </w:p>
        </w:tc>
        <w:tc>
          <w:tcPr>
            <w:tcW w:w="12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b/>
                <w:sz w:val="22"/>
              </w:rPr>
            </w:pPr>
            <w:r>
              <w:rPr>
                <w:rFonts w:ascii="Times New Roman" w:hAnsi="Times New Roman" w:cs="Times New Roman"/>
                <w:b/>
                <w:sz w:val="22"/>
              </w:rPr>
              <w:t>54 000</w:t>
            </w:r>
          </w:p>
        </w:tc>
      </w:tr>
    </w:tbl>
    <w:p>
      <w:pPr>
        <w:rPr>
          <w:rFonts w:ascii="Times New Roman" w:hAnsi="Times New Roman" w:cs="Times New Roman"/>
        </w:rPr>
      </w:pPr>
    </w:p>
    <w:p>
      <w:pPr>
        <w:pStyle w:val="Heading4"/>
        <w:rPr>
          <w:rFonts w:ascii="Times New Roman" w:hAnsi="Times New Roman" w:cs="Times New Roman"/>
        </w:rPr>
      </w:pPr>
      <w:r>
        <w:rPr>
          <w:rFonts w:ascii="Times New Roman" w:hAnsi="Times New Roman" w:cs="Times New Roman"/>
        </w:rPr>
        <w:t>Celkové náklady na rok 2003  v tis.</w:t>
      </w:r>
      <w:r>
        <w:rPr>
          <w:rFonts w:ascii="Times New Roman" w:hAnsi="Times New Roman" w:cs="Times New Roman"/>
        </w:rPr>
        <w:t xml:space="preserve"> Sk                    </w:t>
        <w:tab/>
        <w:tab/>
        <w:tab/>
        <w:t xml:space="preserve">             9 626 600</w:t>
      </w:r>
    </w:p>
    <w:p>
      <w:pPr>
        <w:jc w:val="both"/>
        <w:rPr>
          <w:rFonts w:ascii="Times New Roman" w:hAnsi="Times New Roman" w:cs="Times New Roman"/>
          <w:b/>
          <w:sz w:val="22"/>
        </w:rPr>
      </w:pPr>
    </w:p>
    <w:p>
      <w:pPr>
        <w:ind w:left="4956" w:firstLine="708"/>
        <w:rPr>
          <w:rFonts w:ascii="Times New Roman" w:hAnsi="Times New Roman" w:cs="Times New Roman"/>
          <w:b/>
          <w:sz w:val="22"/>
        </w:rPr>
      </w:pPr>
    </w:p>
    <w:p>
      <w:pPr>
        <w:ind w:left="4956" w:firstLine="708"/>
        <w:rPr>
          <w:rFonts w:ascii="Times New Roman" w:hAnsi="Times New Roman" w:cs="Times New Roman"/>
          <w:b/>
          <w:sz w:val="22"/>
        </w:rPr>
      </w:pPr>
    </w:p>
    <w:p>
      <w:pPr>
        <w:pStyle w:val="Footer"/>
        <w:tabs>
          <w:tab w:val="clear" w:pos="4536"/>
          <w:tab w:val="clear" w:pos="9072"/>
        </w:tabs>
        <w:spacing w:line="360" w:lineRule="auto"/>
        <w:jc w:val="both"/>
        <w:rPr>
          <w:rFonts w:ascii="Arial" w:hAnsi="Arial" w:cs="Times New Roman"/>
          <w:sz w:val="22"/>
        </w:rPr>
      </w:pPr>
      <w:r>
        <w:rPr>
          <w:rFonts w:ascii="Arial" w:hAnsi="Arial" w:cs="Times New Roman"/>
          <w:sz w:val="22"/>
        </w:rPr>
        <w:tab/>
        <w:t>Návrh zákona má pozitívny dopad na štátny rozpočet.</w:t>
      </w:r>
    </w:p>
    <w:p>
      <w:pPr>
        <w:pStyle w:val="Footer"/>
        <w:tabs>
          <w:tab w:val="clear" w:pos="4536"/>
          <w:tab w:val="clear" w:pos="9072"/>
        </w:tabs>
        <w:spacing w:line="360" w:lineRule="auto"/>
        <w:jc w:val="both"/>
        <w:rPr>
          <w:rFonts w:ascii="Arial" w:hAnsi="Arial" w:cs="Times New Roman"/>
          <w:sz w:val="22"/>
        </w:rPr>
      </w:pPr>
      <w:r>
        <w:rPr>
          <w:rFonts w:ascii="Arial" w:hAnsi="Arial" w:cs="Times New Roman"/>
          <w:sz w:val="22"/>
        </w:rPr>
        <w:tab/>
        <w:t>Návrh zákona nemá dopad na rozpočty obcí a na rozpočty vyšších územných celkov.</w:t>
      </w:r>
    </w:p>
    <w:p>
      <w:pPr>
        <w:pStyle w:val="Footer"/>
        <w:tabs>
          <w:tab w:val="clear" w:pos="4536"/>
          <w:tab w:val="clear" w:pos="9072"/>
        </w:tabs>
        <w:spacing w:line="360" w:lineRule="auto"/>
        <w:jc w:val="both"/>
        <w:rPr>
          <w:rFonts w:ascii="Arial" w:hAnsi="Arial" w:cs="Times New Roman"/>
          <w:sz w:val="22"/>
        </w:rPr>
      </w:pPr>
      <w:r>
        <w:rPr>
          <w:rFonts w:ascii="Arial" w:hAnsi="Arial" w:cs="Times New Roman"/>
          <w:sz w:val="22"/>
        </w:rPr>
        <w:tab/>
        <w:t>Návrh zákona nemá vplyv na zamestnanosť a tvorbu pracovných miest.</w:t>
      </w:r>
    </w:p>
    <w:p>
      <w:pPr>
        <w:pStyle w:val="Footer"/>
        <w:tabs>
          <w:tab w:val="clear" w:pos="4536"/>
          <w:tab w:val="clear" w:pos="9072"/>
        </w:tabs>
        <w:spacing w:line="360" w:lineRule="auto"/>
        <w:jc w:val="both"/>
        <w:rPr>
          <w:rFonts w:ascii="Arial" w:hAnsi="Arial" w:cs="Times New Roman"/>
          <w:sz w:val="22"/>
        </w:rPr>
      </w:pPr>
      <w:r>
        <w:rPr>
          <w:rFonts w:ascii="Arial" w:hAnsi="Arial" w:cs="Times New Roman"/>
          <w:sz w:val="22"/>
        </w:rPr>
        <w:tab/>
        <w:t>N</w:t>
      </w:r>
      <w:r>
        <w:rPr>
          <w:rFonts w:ascii="Arial" w:hAnsi="Arial" w:cs="Times New Roman"/>
          <w:sz w:val="22"/>
        </w:rPr>
        <w:t>ávrh zákona je v súlade s Ústavou Slovenskej republiky.</w:t>
      </w:r>
    </w:p>
    <w:p>
      <w:pPr>
        <w:pStyle w:val="Footer"/>
        <w:tabs>
          <w:tab w:val="clear" w:pos="4536"/>
          <w:tab w:val="clear" w:pos="9072"/>
        </w:tabs>
        <w:spacing w:line="360" w:lineRule="auto"/>
        <w:jc w:val="both"/>
        <w:rPr>
          <w:rFonts w:ascii="Arial" w:hAnsi="Arial" w:cs="Times New Roman"/>
          <w:sz w:val="22"/>
        </w:rPr>
      </w:pPr>
      <w:r>
        <w:rPr>
          <w:rFonts w:ascii="Arial" w:hAnsi="Arial" w:cs="Times New Roman"/>
          <w:sz w:val="22"/>
        </w:rPr>
        <w:tab/>
        <w:t>Vzhľadom na doložku zlučiteľnosti návrhu zákona s právom Európskych spoločenstiev a s právom Európskej únie nie je možné vypracovať tabuľku zhody ani aproximačnú prílohu.</w:t>
      </w:r>
    </w:p>
    <w:p>
      <w:pPr>
        <w:pStyle w:val="Footer"/>
        <w:tabs>
          <w:tab w:val="clear" w:pos="4536"/>
          <w:tab w:val="clear" w:pos="9072"/>
        </w:tabs>
        <w:spacing w:before="120" w:line="360" w:lineRule="auto"/>
        <w:jc w:val="both"/>
        <w:rPr>
          <w:rFonts w:ascii="Arial" w:hAnsi="Arial" w:cs="Times New Roman"/>
          <w:sz w:val="22"/>
        </w:rPr>
      </w:pPr>
      <w:r>
        <w:rPr>
          <w:rFonts w:ascii="Arial" w:hAnsi="Arial" w:cs="Times New Roman"/>
          <w:sz w:val="22"/>
        </w:rPr>
        <w:tab/>
        <w:t>Ministerstvo financií Slovenskej republiky v stanovisku z 28. októbra 2002                   č. 20261/2002-81 uviedlo, že s návrhom zákona súhlasí.</w:t>
      </w:r>
    </w:p>
    <w:p>
      <w:pPr>
        <w:pStyle w:val="Footer"/>
        <w:tabs>
          <w:tab w:val="clear" w:pos="4536"/>
          <w:tab w:val="clear" w:pos="9072"/>
        </w:tabs>
        <w:spacing w:before="120" w:line="360" w:lineRule="auto"/>
        <w:jc w:val="both"/>
        <w:rPr>
          <w:rFonts w:ascii="Arial" w:hAnsi="Arial" w:cs="Times New Roman"/>
          <w:sz w:val="22"/>
        </w:rPr>
      </w:pPr>
      <w:r>
        <w:rPr>
          <w:rFonts w:ascii="Arial" w:hAnsi="Arial" w:cs="Times New Roman"/>
          <w:sz w:val="22"/>
        </w:rPr>
        <w:tab/>
        <w:t>Návrh zákona nebol predmetom rokovania Rady hospodárskej a sociálnej dohody Slovenskej republiky.</w:t>
      </w:r>
    </w:p>
    <w:p>
      <w:pPr>
        <w:pStyle w:val="BlockText"/>
        <w:ind w:left="0" w:right="70"/>
        <w:rPr>
          <w:rFonts w:ascii="Times New Roman" w:hAnsi="Times New Roman" w:cs="Times New Roman"/>
          <w:b/>
        </w:rPr>
      </w:pPr>
    </w:p>
    <w:p>
      <w:pPr>
        <w:spacing w:before="120" w:line="360" w:lineRule="auto"/>
        <w:rPr>
          <w:rFonts w:ascii="Arial" w:hAnsi="Arial" w:cs="Times New Roman"/>
          <w:sz w:val="22"/>
        </w:rPr>
      </w:pPr>
    </w:p>
    <w:p>
      <w:pPr>
        <w:spacing w:before="120" w:line="360" w:lineRule="auto"/>
        <w:rPr>
          <w:rFonts w:ascii="Arial" w:hAnsi="Arial" w:cs="Times New Roman"/>
          <w:sz w:val="22"/>
        </w:rPr>
      </w:pPr>
    </w:p>
    <w:p>
      <w:pPr>
        <w:spacing w:before="120" w:line="360" w:lineRule="auto"/>
        <w:rPr>
          <w:rFonts w:ascii="Arial" w:hAnsi="Arial" w:cs="Times New Roman"/>
          <w:sz w:val="22"/>
        </w:rPr>
      </w:pPr>
    </w:p>
    <w:p>
      <w:pPr>
        <w:spacing w:before="120" w:line="360" w:lineRule="auto"/>
        <w:rPr>
          <w:rFonts w:ascii="Arial" w:hAnsi="Arial" w:cs="Times New Roman"/>
          <w:sz w:val="22"/>
        </w:rPr>
      </w:pPr>
    </w:p>
    <w:p>
      <w:pPr>
        <w:spacing w:before="120" w:line="360" w:lineRule="auto"/>
        <w:rPr>
          <w:rFonts w:ascii="Arial" w:hAnsi="Arial" w:cs="Times New Roman"/>
          <w:sz w:val="22"/>
        </w:rPr>
      </w:pPr>
    </w:p>
    <w:p>
      <w:pPr>
        <w:spacing w:before="120" w:line="360" w:lineRule="auto"/>
        <w:rPr>
          <w:rFonts w:ascii="Arial" w:hAnsi="Arial" w:cs="Times New Roman"/>
          <w:sz w:val="22"/>
        </w:rPr>
      </w:pPr>
    </w:p>
    <w:p>
      <w:pPr>
        <w:spacing w:before="120" w:line="360" w:lineRule="auto"/>
        <w:rPr>
          <w:rFonts w:ascii="Arial" w:hAnsi="Arial" w:cs="Times New Roman"/>
          <w:sz w:val="22"/>
        </w:rPr>
      </w:pPr>
    </w:p>
    <w:p>
      <w:pPr>
        <w:spacing w:before="120" w:line="360" w:lineRule="auto"/>
        <w:rPr>
          <w:rFonts w:ascii="Arial" w:hAnsi="Arial" w:cs="Times New Roman"/>
          <w:sz w:val="22"/>
        </w:rPr>
      </w:pPr>
    </w:p>
    <w:p>
      <w:pPr>
        <w:spacing w:before="120" w:line="360" w:lineRule="auto"/>
        <w:rPr>
          <w:rFonts w:ascii="Arial" w:hAnsi="Arial" w:cs="Times New Roman"/>
          <w:sz w:val="22"/>
        </w:rPr>
      </w:pPr>
    </w:p>
    <w:p>
      <w:pPr>
        <w:spacing w:before="120" w:line="360" w:lineRule="auto"/>
        <w:rPr>
          <w:rFonts w:ascii="Arial" w:hAnsi="Arial" w:cs="Times New Roman"/>
          <w:sz w:val="22"/>
        </w:rPr>
      </w:pPr>
    </w:p>
    <w:p>
      <w:pPr>
        <w:spacing w:before="120" w:line="360" w:lineRule="auto"/>
        <w:rPr>
          <w:rFonts w:ascii="Arial" w:hAnsi="Arial" w:cs="Times New Roman"/>
          <w:sz w:val="22"/>
        </w:rPr>
      </w:pPr>
    </w:p>
    <w:p>
      <w:pPr>
        <w:spacing w:before="120" w:line="360" w:lineRule="auto"/>
        <w:rPr>
          <w:rFonts w:ascii="Arial" w:hAnsi="Arial" w:cs="Times New Roman"/>
          <w:sz w:val="22"/>
        </w:rPr>
      </w:pPr>
    </w:p>
    <w:p>
      <w:pPr>
        <w:spacing w:before="120" w:line="360" w:lineRule="auto"/>
        <w:rPr>
          <w:rFonts w:ascii="Arial" w:hAnsi="Arial" w:cs="Times New Roman"/>
          <w:sz w:val="22"/>
        </w:rPr>
      </w:pPr>
    </w:p>
    <w:p>
      <w:pPr>
        <w:spacing w:before="120" w:line="360" w:lineRule="auto"/>
        <w:rPr>
          <w:rFonts w:ascii="Arial" w:hAnsi="Arial" w:cs="Times New Roman"/>
          <w:sz w:val="22"/>
        </w:rPr>
      </w:pPr>
    </w:p>
    <w:p>
      <w:pPr>
        <w:spacing w:before="120" w:line="360" w:lineRule="auto"/>
        <w:rPr>
          <w:rFonts w:ascii="Arial" w:hAnsi="Arial" w:cs="Times New Roman"/>
          <w:sz w:val="22"/>
        </w:rPr>
      </w:pPr>
    </w:p>
    <w:p>
      <w:pPr>
        <w:spacing w:before="120" w:line="360" w:lineRule="auto"/>
        <w:rPr>
          <w:rFonts w:ascii="Arial" w:hAnsi="Arial" w:cs="Times New Roman"/>
          <w:sz w:val="22"/>
        </w:rPr>
      </w:pPr>
    </w:p>
    <w:p>
      <w:pPr>
        <w:spacing w:before="120" w:line="360" w:lineRule="auto"/>
        <w:rPr>
          <w:rFonts w:ascii="Arial" w:hAnsi="Arial" w:cs="Times New Roman"/>
          <w:sz w:val="22"/>
        </w:rPr>
      </w:pPr>
    </w:p>
    <w:p>
      <w:pPr>
        <w:spacing w:before="120" w:line="360" w:lineRule="auto"/>
        <w:rPr>
          <w:rFonts w:ascii="Arial" w:hAnsi="Arial" w:cs="Times New Roman"/>
          <w:sz w:val="22"/>
        </w:rPr>
      </w:pPr>
    </w:p>
    <w:p>
      <w:pPr>
        <w:spacing w:before="120" w:line="360" w:lineRule="auto"/>
        <w:rPr>
          <w:rFonts w:ascii="Arial" w:hAnsi="Arial" w:cs="Times New Roman"/>
          <w:sz w:val="22"/>
        </w:rPr>
      </w:pPr>
    </w:p>
    <w:p>
      <w:pPr>
        <w:spacing w:before="120" w:line="360" w:lineRule="auto"/>
        <w:rPr>
          <w:rFonts w:ascii="Arial" w:hAnsi="Arial" w:cs="Times New Roman"/>
          <w:sz w:val="22"/>
        </w:rPr>
      </w:pPr>
    </w:p>
    <w:p>
      <w:pPr>
        <w:spacing w:before="120" w:line="360" w:lineRule="auto"/>
        <w:rPr>
          <w:rFonts w:ascii="Arial" w:hAnsi="Arial" w:cs="Times New Roman"/>
          <w:sz w:val="22"/>
        </w:rPr>
      </w:pPr>
    </w:p>
    <w:p>
      <w:pPr>
        <w:pStyle w:val="BlockText"/>
        <w:spacing w:before="120" w:line="360" w:lineRule="auto"/>
        <w:ind w:left="0" w:right="70"/>
        <w:rPr>
          <w:rFonts w:ascii="Arial" w:hAnsi="Arial" w:cs="Times New Roman"/>
          <w:b/>
          <w:sz w:val="22"/>
        </w:rPr>
      </w:pPr>
      <w:r>
        <w:rPr>
          <w:rFonts w:ascii="Arial" w:hAnsi="Arial" w:cs="Times New Roman"/>
          <w:b/>
          <w:sz w:val="22"/>
        </w:rPr>
        <w:t>Doložka zlučiteľnosti návrhu zákona</w:t>
      </w:r>
    </w:p>
    <w:p>
      <w:pPr>
        <w:pStyle w:val="BlockText"/>
        <w:spacing w:before="120" w:line="360" w:lineRule="auto"/>
        <w:ind w:left="0" w:right="70"/>
        <w:rPr>
          <w:rFonts w:ascii="Arial" w:hAnsi="Arial" w:cs="Times New Roman"/>
          <w:b/>
          <w:sz w:val="22"/>
        </w:rPr>
      </w:pPr>
      <w:r>
        <w:rPr>
          <w:rFonts w:ascii="Arial" w:hAnsi="Arial" w:cs="Times New Roman"/>
          <w:b/>
          <w:sz w:val="22"/>
        </w:rPr>
        <w:t>s právom Európskych spoločenstiev a právom Európskej únie</w:t>
      </w:r>
    </w:p>
    <w:p>
      <w:pPr>
        <w:pStyle w:val="BlockText"/>
        <w:spacing w:before="120" w:line="360" w:lineRule="auto"/>
        <w:ind w:left="0" w:right="70"/>
        <w:rPr>
          <w:rFonts w:ascii="Arial" w:hAnsi="Arial" w:cs="Times New Roman"/>
          <w:sz w:val="22"/>
        </w:rPr>
      </w:pPr>
    </w:p>
    <w:p>
      <w:pPr>
        <w:pStyle w:val="BlockText"/>
        <w:spacing w:before="120" w:line="360" w:lineRule="auto"/>
        <w:ind w:left="0" w:right="70"/>
        <w:jc w:val="left"/>
        <w:rPr>
          <w:rFonts w:ascii="Arial" w:hAnsi="Arial" w:cs="Times New Roman"/>
          <w:sz w:val="22"/>
        </w:rPr>
      </w:pPr>
      <w:r>
        <w:rPr>
          <w:rFonts w:ascii="Arial" w:hAnsi="Arial" w:cs="Times New Roman"/>
          <w:sz w:val="22"/>
        </w:rPr>
        <w:t xml:space="preserve">1. Navrhovateľ zákona:  vláda Slovenskej republiky </w:t>
      </w:r>
    </w:p>
    <w:p>
      <w:pPr>
        <w:pStyle w:val="BlockText"/>
        <w:spacing w:before="120" w:line="360" w:lineRule="auto"/>
        <w:ind w:left="2835" w:right="70" w:hanging="2835"/>
        <w:jc w:val="both"/>
        <w:rPr>
          <w:rFonts w:ascii="Arial" w:hAnsi="Arial" w:cs="Times New Roman"/>
          <w:sz w:val="22"/>
        </w:rPr>
      </w:pPr>
      <w:r>
        <w:rPr>
          <w:rFonts w:ascii="Arial" w:hAnsi="Arial" w:cs="Times New Roman"/>
          <w:sz w:val="22"/>
        </w:rPr>
        <w:t>2. Názov návrhu zákona: zákon, ktorým sa mení a dopĺňa zákon č. 281/2002 Z. z.   o prídavku na dieťa a o príspevku k prídavku na dieťa</w:t>
      </w:r>
    </w:p>
    <w:p>
      <w:pPr>
        <w:pStyle w:val="BlockText"/>
        <w:spacing w:before="120" w:line="360" w:lineRule="auto"/>
        <w:ind w:left="360" w:right="70" w:hanging="360"/>
        <w:jc w:val="both"/>
        <w:rPr>
          <w:rFonts w:ascii="Arial" w:hAnsi="Arial" w:cs="Times New Roman"/>
          <w:sz w:val="22"/>
        </w:rPr>
      </w:pPr>
      <w:r>
        <w:rPr>
          <w:rFonts w:ascii="Arial" w:hAnsi="Arial" w:cs="Times New Roman"/>
          <w:sz w:val="22"/>
        </w:rPr>
        <w:t>3. Záväzky Slovenskej republiky vo vzťahu k Európskym spoločenstvám a k Európskej únii:</w:t>
      </w:r>
    </w:p>
    <w:p>
      <w:pPr>
        <w:pStyle w:val="BlockText"/>
        <w:numPr>
          <w:ilvl w:val="0"/>
          <w:numId w:val="4"/>
        </w:numPr>
        <w:tabs>
          <w:tab w:val="left" w:pos="390"/>
        </w:tabs>
        <w:spacing w:before="120" w:line="360" w:lineRule="auto"/>
        <w:ind w:left="1080" w:right="70"/>
        <w:jc w:val="both"/>
        <w:rPr>
          <w:rFonts w:ascii="Arial" w:hAnsi="Arial" w:cs="Times New Roman"/>
          <w:sz w:val="22"/>
        </w:rPr>
      </w:pPr>
      <w:r>
        <w:rPr>
          <w:rFonts w:ascii="Arial" w:hAnsi="Arial" w:cs="Times New Roman"/>
          <w:sz w:val="22"/>
        </w:rPr>
        <w:t>problematika návrhu zákona podľa čl. 70 Európskej dohody o pridružení uzatvorenej medzi Európskym spoločenstvom a ich členskými štátmi na jednej strane a Slovenskou republikou na druhej strane nepatrí medzi oblasti zahrnuté na zbližovanie práva. Podľa čl. 88 v oblasti sociálneho zabezpečenia, t.j. v časti štátnej sociálnej podpory, ktorá je predmetom návrhu zákona sa zabezpečuje spolupráca medzi zmluvnými str</w:t>
      </w:r>
      <w:r>
        <w:rPr>
          <w:rFonts w:ascii="Arial" w:hAnsi="Arial" w:cs="Times New Roman"/>
          <w:sz w:val="22"/>
        </w:rPr>
        <w:t>anami,</w:t>
      </w:r>
    </w:p>
    <w:p>
      <w:pPr>
        <w:pStyle w:val="BlockText"/>
        <w:numPr>
          <w:ilvl w:val="0"/>
          <w:numId w:val="4"/>
        </w:numPr>
        <w:tabs>
          <w:tab w:val="left" w:pos="390"/>
        </w:tabs>
        <w:spacing w:before="120" w:line="360" w:lineRule="auto"/>
        <w:ind w:left="1080" w:right="70"/>
        <w:jc w:val="both"/>
        <w:rPr>
          <w:rFonts w:ascii="Arial" w:hAnsi="Arial" w:cs="Times New Roman"/>
          <w:sz w:val="22"/>
        </w:rPr>
      </w:pPr>
      <w:r>
        <w:rPr>
          <w:rFonts w:ascii="Arial" w:hAnsi="Arial" w:cs="Times New Roman"/>
          <w:sz w:val="22"/>
        </w:rPr>
        <w:t>z negociačných pozícií ku kapitole 2 – Slobodný pohyb a ku kapitole 13 – Sociálna politika a zamestnanosť nevyplynuli záväzky pre Slovenskú republiku.</w:t>
      </w:r>
    </w:p>
    <w:p>
      <w:pPr>
        <w:pStyle w:val="BlockText"/>
        <w:spacing w:before="120" w:line="360" w:lineRule="auto"/>
        <w:ind w:left="360" w:right="70" w:hanging="360"/>
        <w:jc w:val="both"/>
        <w:rPr>
          <w:rFonts w:ascii="Arial" w:hAnsi="Arial" w:cs="Times New Roman"/>
          <w:sz w:val="22"/>
        </w:rPr>
      </w:pPr>
      <w:r>
        <w:rPr>
          <w:rFonts w:ascii="Arial" w:hAnsi="Arial" w:cs="Times New Roman"/>
          <w:sz w:val="22"/>
        </w:rPr>
        <w:t>4. Problematika návrhu zákona  nie je upravená v práve Európskych spoločenstiev ani v práve Európs</w:t>
      </w:r>
      <w:r>
        <w:rPr>
          <w:rFonts w:ascii="Arial" w:hAnsi="Arial" w:cs="Times New Roman"/>
          <w:sz w:val="22"/>
        </w:rPr>
        <w:t>kej únie.</w:t>
      </w:r>
    </w:p>
    <w:p>
      <w:pPr>
        <w:pStyle w:val="BlockText"/>
        <w:spacing w:before="120" w:line="360" w:lineRule="auto"/>
        <w:ind w:left="360" w:right="70" w:hanging="360"/>
        <w:jc w:val="both"/>
        <w:rPr>
          <w:rFonts w:ascii="Arial" w:hAnsi="Arial" w:cs="Times New Roman"/>
          <w:sz w:val="22"/>
        </w:rPr>
      </w:pPr>
      <w:r>
        <w:rPr>
          <w:rFonts w:ascii="Arial" w:hAnsi="Arial" w:cs="Times New Roman"/>
          <w:sz w:val="22"/>
        </w:rPr>
        <w:t>5. Stupeň zlučiteľnosti návrhu zákona s právom Európskych spoločenstiev a s právom Európskej únie: vzhľadom na vnútroštátny charakter problematiky návrhu zákona je vyjadrovanie stupňa zlučiteľnosti návrhu zákona s právom ES/EU bezpredmetné.</w:t>
      </w:r>
    </w:p>
    <w:p>
      <w:pPr>
        <w:pStyle w:val="BlockText"/>
        <w:spacing w:before="120" w:line="360" w:lineRule="auto"/>
        <w:ind w:left="0" w:right="70"/>
        <w:jc w:val="both"/>
        <w:rPr>
          <w:rFonts w:ascii="Arial" w:hAnsi="Arial" w:cs="Times New Roman"/>
          <w:sz w:val="22"/>
        </w:rPr>
      </w:pPr>
      <w:r>
        <w:rPr>
          <w:rFonts w:ascii="Arial" w:hAnsi="Arial" w:cs="Times New Roman"/>
          <w:sz w:val="22"/>
        </w:rPr>
        <w:t>6. Ge</w:t>
      </w:r>
      <w:r>
        <w:rPr>
          <w:rFonts w:ascii="Arial" w:hAnsi="Arial" w:cs="Times New Roman"/>
          <w:sz w:val="22"/>
        </w:rPr>
        <w:t>stor: Ministerstvo práce, sociálnych vecí a rodiny Slovenskej republiky.</w:t>
      </w:r>
    </w:p>
    <w:p>
      <w:pPr>
        <w:pStyle w:val="BlockText"/>
        <w:spacing w:before="120" w:line="360" w:lineRule="auto"/>
        <w:ind w:left="0" w:right="70"/>
        <w:jc w:val="both"/>
        <w:rPr>
          <w:rFonts w:ascii="Arial" w:hAnsi="Arial" w:cs="Times New Roman"/>
          <w:sz w:val="22"/>
        </w:rPr>
      </w:pPr>
      <w:r>
        <w:rPr>
          <w:rFonts w:ascii="Arial" w:hAnsi="Arial" w:cs="Times New Roman"/>
          <w:sz w:val="22"/>
        </w:rPr>
        <w:t>7. Účasť expertov pri príprave návrhu zákona: žiadna.</w:t>
      </w:r>
    </w:p>
    <w:p>
      <w:pPr>
        <w:pStyle w:val="BlockText"/>
        <w:spacing w:before="120" w:line="360" w:lineRule="auto"/>
        <w:jc w:val="both"/>
        <w:rPr>
          <w:rFonts w:ascii="Arial" w:hAnsi="Arial" w:cs="Times New Roman"/>
          <w:sz w:val="22"/>
        </w:rPr>
      </w:pPr>
    </w:p>
    <w:p>
      <w:pPr>
        <w:pStyle w:val="BlockText"/>
        <w:ind w:firstLine="336"/>
        <w:jc w:val="both"/>
        <w:rPr>
          <w:rFonts w:ascii="Arial" w:hAnsi="Arial" w:cs="Times New Roman"/>
          <w:sz w:val="22"/>
        </w:rPr>
      </w:pPr>
    </w:p>
    <w:p>
      <w:pPr>
        <w:pStyle w:val="BlockText"/>
        <w:ind w:firstLine="336"/>
        <w:jc w:val="both"/>
        <w:rPr>
          <w:rFonts w:ascii="Arial" w:hAnsi="Arial" w:cs="Times New Roman"/>
          <w:sz w:val="22"/>
        </w:rPr>
      </w:pPr>
    </w:p>
    <w:p>
      <w:pPr>
        <w:pStyle w:val="BlockText"/>
        <w:ind w:firstLine="336"/>
        <w:jc w:val="both"/>
        <w:rPr>
          <w:rFonts w:ascii="Arial" w:hAnsi="Arial" w:cs="Times New Roman"/>
          <w:sz w:val="22"/>
        </w:rPr>
      </w:pPr>
    </w:p>
    <w:p>
      <w:pPr>
        <w:pStyle w:val="BlockText"/>
        <w:ind w:firstLine="336"/>
        <w:jc w:val="both"/>
        <w:rPr>
          <w:rFonts w:ascii="Arial" w:hAnsi="Arial" w:cs="Times New Roman"/>
          <w:sz w:val="22"/>
        </w:rPr>
      </w:pPr>
    </w:p>
    <w:p>
      <w:pPr>
        <w:pStyle w:val="BlockText"/>
        <w:ind w:firstLine="336"/>
        <w:jc w:val="both"/>
        <w:rPr>
          <w:rFonts w:ascii="Arial" w:hAnsi="Arial" w:cs="Times New Roman"/>
          <w:sz w:val="22"/>
        </w:rPr>
      </w:pPr>
    </w:p>
    <w:p>
      <w:pPr>
        <w:pStyle w:val="BlockText"/>
        <w:ind w:firstLine="336"/>
        <w:jc w:val="both"/>
        <w:rPr>
          <w:rFonts w:ascii="Arial" w:hAnsi="Arial" w:cs="Times New Roman"/>
          <w:sz w:val="22"/>
        </w:rPr>
      </w:pPr>
    </w:p>
    <w:p>
      <w:pPr>
        <w:pStyle w:val="BlockText"/>
        <w:ind w:firstLine="336"/>
        <w:jc w:val="both"/>
        <w:rPr>
          <w:rFonts w:ascii="Times New Roman" w:hAnsi="Times New Roman" w:cs="Times New Roman"/>
        </w:rPr>
      </w:pPr>
    </w:p>
    <w:p>
      <w:pPr>
        <w:pStyle w:val="BlockText"/>
        <w:ind w:firstLine="336"/>
        <w:jc w:val="both"/>
        <w:rPr>
          <w:rFonts w:ascii="Times New Roman" w:hAnsi="Times New Roman" w:cs="Times New Roman"/>
        </w:rPr>
      </w:pPr>
    </w:p>
    <w:p>
      <w:pPr>
        <w:pStyle w:val="BlockText"/>
        <w:ind w:firstLine="336"/>
        <w:jc w:val="both"/>
        <w:rPr>
          <w:rFonts w:ascii="Times New Roman" w:hAnsi="Times New Roman" w:cs="Times New Roman"/>
        </w:rPr>
      </w:pPr>
    </w:p>
    <w:p>
      <w:pPr>
        <w:pStyle w:val="BlockText"/>
        <w:ind w:firstLine="336"/>
        <w:jc w:val="both"/>
        <w:rPr>
          <w:rFonts w:ascii="Times New Roman" w:hAnsi="Times New Roman" w:cs="Times New Roman"/>
        </w:rPr>
      </w:pPr>
    </w:p>
    <w:p>
      <w:pPr>
        <w:pStyle w:val="BlockText"/>
        <w:ind w:firstLine="336"/>
        <w:jc w:val="both"/>
        <w:rPr>
          <w:rFonts w:ascii="Times New Roman" w:hAnsi="Times New Roman" w:cs="Times New Roman"/>
        </w:rPr>
      </w:pPr>
    </w:p>
    <w:p>
      <w:pPr>
        <w:pStyle w:val="BlockText"/>
        <w:ind w:firstLine="336"/>
        <w:jc w:val="both"/>
        <w:rPr>
          <w:rFonts w:ascii="Times New Roman" w:hAnsi="Times New Roman" w:cs="Times New Roman"/>
        </w:rPr>
      </w:pPr>
    </w:p>
    <w:p>
      <w:pPr>
        <w:pStyle w:val="BlockText"/>
        <w:ind w:firstLine="336"/>
        <w:jc w:val="both"/>
        <w:rPr>
          <w:rFonts w:ascii="Times New Roman" w:hAnsi="Times New Roman" w:cs="Times New Roman"/>
        </w:rPr>
      </w:pPr>
    </w:p>
    <w:p>
      <w:pPr>
        <w:pStyle w:val="BlockText"/>
        <w:ind w:firstLine="336"/>
        <w:jc w:val="both"/>
        <w:rPr>
          <w:rFonts w:ascii="Times New Roman" w:hAnsi="Times New Roman" w:cs="Times New Roman"/>
        </w:rPr>
      </w:pPr>
    </w:p>
    <w:p>
      <w:pPr>
        <w:pStyle w:val="BlockText"/>
        <w:ind w:firstLine="336"/>
        <w:jc w:val="both"/>
        <w:rPr>
          <w:rFonts w:ascii="Times New Roman" w:hAnsi="Times New Roman" w:cs="Times New Roman"/>
        </w:rPr>
      </w:pPr>
    </w:p>
    <w:p>
      <w:pPr>
        <w:pStyle w:val="Heading4"/>
        <w:spacing w:before="120" w:line="360" w:lineRule="auto"/>
        <w:rPr>
          <w:rFonts w:ascii="Arial" w:hAnsi="Arial" w:cs="Times New Roman"/>
        </w:rPr>
      </w:pPr>
      <w:r>
        <w:rPr>
          <w:rFonts w:ascii="Arial" w:hAnsi="Arial" w:cs="Times New Roman"/>
        </w:rPr>
        <w:t>B.   Osobitná časť</w:t>
      </w:r>
    </w:p>
    <w:p>
      <w:pPr>
        <w:spacing w:before="120" w:line="360" w:lineRule="auto"/>
        <w:rPr>
          <w:rFonts w:ascii="Arial" w:hAnsi="Arial" w:cs="Times New Roman"/>
          <w:b/>
          <w:sz w:val="22"/>
        </w:rPr>
      </w:pPr>
      <w:r>
        <w:rPr>
          <w:rFonts w:ascii="Arial" w:hAnsi="Arial" w:cs="Times New Roman"/>
          <w:b/>
          <w:sz w:val="22"/>
        </w:rPr>
        <w:t>K Čl. I</w:t>
      </w:r>
    </w:p>
    <w:p>
      <w:pPr>
        <w:pStyle w:val="Heading4"/>
        <w:spacing w:before="120" w:line="360" w:lineRule="auto"/>
        <w:rPr>
          <w:rFonts w:ascii="Arial" w:hAnsi="Arial" w:cs="Times New Roman"/>
        </w:rPr>
      </w:pPr>
      <w:r>
        <w:rPr>
          <w:rFonts w:ascii="Arial" w:hAnsi="Arial" w:cs="Times New Roman"/>
        </w:rPr>
        <w:t>K bodom 1 až 3</w:t>
      </w:r>
    </w:p>
    <w:p>
      <w:pPr>
        <w:pStyle w:val="BodyText2"/>
        <w:spacing w:before="120" w:line="360" w:lineRule="auto"/>
        <w:ind w:firstLine="708"/>
        <w:rPr>
          <w:rFonts w:ascii="Arial" w:hAnsi="Arial" w:cs="Times New Roman"/>
        </w:rPr>
      </w:pPr>
      <w:r>
        <w:rPr>
          <w:rFonts w:ascii="Arial" w:hAnsi="Arial" w:cs="Times New Roman"/>
        </w:rPr>
        <w:t>Vzhľadom na možnosti štátneho rozpočtu na rok 2003 sa navrhuje znížiť sumu prídavku na dieťa o 200  Sk mesačne na každé dieťa.</w:t>
      </w:r>
    </w:p>
    <w:p>
      <w:pPr>
        <w:pStyle w:val="Heading4"/>
        <w:spacing w:before="120" w:line="360" w:lineRule="auto"/>
        <w:rPr>
          <w:rFonts w:ascii="Arial" w:hAnsi="Arial" w:cs="Times New Roman"/>
        </w:rPr>
      </w:pPr>
      <w:r>
        <w:rPr>
          <w:rFonts w:ascii="Arial" w:hAnsi="Arial" w:cs="Times New Roman"/>
        </w:rPr>
        <w:t>K bodom 4 a 8</w:t>
      </w:r>
    </w:p>
    <w:p>
      <w:pPr>
        <w:pStyle w:val="BodyText2"/>
        <w:spacing w:before="120" w:line="360" w:lineRule="auto"/>
        <w:ind w:firstLine="708"/>
        <w:rPr>
          <w:rFonts w:ascii="Arial" w:hAnsi="Arial" w:cs="Times New Roman"/>
        </w:rPr>
      </w:pPr>
      <w:r>
        <w:rPr>
          <w:rFonts w:ascii="Arial" w:hAnsi="Arial" w:cs="Times New Roman"/>
        </w:rPr>
        <w:t>Návrhom sa odstraňuje legislatívny nedostatok, ktorý vznikol pri schvaľovaní zákona v Národnej rade Slovenskej republiky, spočívajúci v nesprávnom zaradení ustanovenia do  prvej časti zákona, kde v podmienkach nároku nie je zakotvené testovanie príjmu. Navrhuje sa žiakom stredných škôl po skončení povinnej školskej dochádzky poskytovať v záujme podpory vzdelania zvýšenie prídavku na dieťa o 200 Sk mesačne (pôvodný zámer vlády Slovenskej republiky pri predkladaní zákona do Národnej rady Slovenskej republiky), resp. o ďalších 200 Sk, ak oprávnená osoba spĺňa podmienky nároku na príspevok k prídavku na dieťa.</w:t>
      </w:r>
    </w:p>
    <w:p>
      <w:pPr>
        <w:pStyle w:val="BodyText2"/>
        <w:spacing w:before="120" w:line="360" w:lineRule="auto"/>
        <w:rPr>
          <w:rFonts w:ascii="Arial" w:hAnsi="Arial" w:cs="Times New Roman"/>
          <w:b/>
        </w:rPr>
      </w:pPr>
      <w:r>
        <w:rPr>
          <w:rFonts w:ascii="Arial" w:hAnsi="Arial" w:cs="Times New Roman"/>
          <w:b/>
        </w:rPr>
        <w:t>K bodom 5 až 7</w:t>
      </w:r>
    </w:p>
    <w:p>
      <w:pPr>
        <w:pStyle w:val="BodyText"/>
        <w:spacing w:before="120" w:line="360" w:lineRule="auto"/>
        <w:ind w:firstLine="708"/>
        <w:rPr>
          <w:rFonts w:ascii="Arial" w:hAnsi="Arial" w:cs="Times New Roman"/>
          <w:sz w:val="22"/>
        </w:rPr>
      </w:pPr>
      <w:r>
        <w:rPr>
          <w:rFonts w:ascii="Arial" w:hAnsi="Arial" w:cs="Times New Roman"/>
          <w:sz w:val="22"/>
        </w:rPr>
        <w:t>V súvislosti s úpravou výšky prídavku na dieťa (bod 1 až 3) z dôvodu, aby sa neznížila celková výška dávky v rodinách s príjmom do 1,37-násobku súm na účely štátnych sociálnych dávok, sa navrhuje zvýšiť príspevok k prídavku na dieťa o sumu, o ktorú sa znížila suma prídavku na dieťa.</w:t>
      </w:r>
    </w:p>
    <w:p>
      <w:pPr>
        <w:pStyle w:val="BodyText2"/>
        <w:spacing w:before="120" w:line="360" w:lineRule="auto"/>
        <w:rPr>
          <w:rFonts w:ascii="Arial" w:hAnsi="Arial" w:cs="Times New Roman"/>
          <w:b/>
        </w:rPr>
      </w:pPr>
      <w:r>
        <w:rPr>
          <w:rFonts w:ascii="Arial" w:hAnsi="Arial" w:cs="Times New Roman"/>
          <w:b/>
        </w:rPr>
        <w:t>K bodu 9</w:t>
      </w:r>
    </w:p>
    <w:p>
      <w:pPr>
        <w:spacing w:before="120" w:line="360" w:lineRule="auto"/>
        <w:ind w:firstLine="708"/>
        <w:jc w:val="both"/>
        <w:rPr>
          <w:rFonts w:ascii="Arial" w:hAnsi="Arial" w:cs="Times New Roman"/>
          <w:sz w:val="22"/>
        </w:rPr>
      </w:pPr>
      <w:r>
        <w:rPr>
          <w:rFonts w:ascii="Arial" w:hAnsi="Arial" w:cs="Times New Roman"/>
          <w:sz w:val="22"/>
        </w:rPr>
        <w:t>Ide o legislatívnotechnickú úpra</w:t>
      </w:r>
      <w:r>
        <w:rPr>
          <w:rFonts w:ascii="Arial" w:hAnsi="Arial" w:cs="Times New Roman"/>
          <w:sz w:val="22"/>
        </w:rPr>
        <w:t>vu nadväzujúcu na bod 8 návrhu.</w:t>
      </w:r>
    </w:p>
    <w:p>
      <w:pPr>
        <w:pStyle w:val="Heading6"/>
        <w:rPr>
          <w:rFonts w:cs="Times New Roman"/>
        </w:rPr>
      </w:pPr>
      <w:r>
        <w:rPr>
          <w:rFonts w:cs="Times New Roman"/>
        </w:rPr>
        <w:t>K bodu 10</w:t>
      </w:r>
    </w:p>
    <w:p>
      <w:pPr>
        <w:spacing w:before="120" w:line="360" w:lineRule="auto"/>
        <w:jc w:val="both"/>
        <w:rPr>
          <w:rFonts w:ascii="Arial" w:hAnsi="Arial" w:cs="Times New Roman"/>
          <w:sz w:val="22"/>
        </w:rPr>
      </w:pPr>
      <w:r>
        <w:rPr>
          <w:rFonts w:ascii="Times New Roman" w:hAnsi="Times New Roman" w:cs="Times New Roman"/>
        </w:rPr>
        <w:tab/>
      </w:r>
      <w:r>
        <w:rPr>
          <w:rFonts w:ascii="Arial" w:hAnsi="Arial" w:cs="Times New Roman"/>
          <w:sz w:val="22"/>
        </w:rPr>
        <w:t>Navrhuje sa výplatu prídavku na dieťa a príspevku k prídavku na dieťa poskytovať v čase plnenia povinnej školskej dochádzky prostredníctvom ďalšej oprávnenej osoby alebo obce, ak z dôvodu zanedbávania povinnej školskej dochádzky túto skutočnosť oznámi škola okresnému úradu.</w:t>
      </w:r>
    </w:p>
    <w:p>
      <w:pPr>
        <w:pStyle w:val="Heading6"/>
        <w:rPr>
          <w:rFonts w:cs="Times New Roman"/>
        </w:rPr>
      </w:pPr>
      <w:r>
        <w:rPr>
          <w:rFonts w:cs="Times New Roman"/>
        </w:rPr>
        <w:t>K bodu 11</w:t>
      </w:r>
    </w:p>
    <w:p>
      <w:pPr>
        <w:pStyle w:val="BodyText2"/>
        <w:spacing w:before="120" w:line="360" w:lineRule="auto"/>
        <w:ind w:firstLine="708"/>
        <w:rPr>
          <w:rFonts w:ascii="Arial" w:hAnsi="Arial" w:cs="Times New Roman"/>
        </w:rPr>
      </w:pPr>
      <w:r>
        <w:rPr>
          <w:rFonts w:ascii="Arial" w:hAnsi="Arial" w:cs="Times New Roman"/>
        </w:rPr>
        <w:t xml:space="preserve">Vzhľadom na možnosti štátneho rozpočtu na rok 2003 navrhuje sa účinnosť valorizačného mechanizmu presunúť na 1. september 2004. </w:t>
      </w:r>
    </w:p>
    <w:p>
      <w:pPr>
        <w:spacing w:before="120" w:line="360" w:lineRule="auto"/>
        <w:jc w:val="both"/>
        <w:rPr>
          <w:rFonts w:ascii="Arial" w:hAnsi="Arial" w:cs="Times New Roman"/>
          <w:sz w:val="22"/>
        </w:rPr>
      </w:pPr>
    </w:p>
    <w:p>
      <w:pPr>
        <w:pStyle w:val="Heading6"/>
        <w:rPr>
          <w:rFonts w:cs="Times New Roman"/>
        </w:rPr>
      </w:pPr>
      <w:r>
        <w:rPr>
          <w:rFonts w:cs="Times New Roman"/>
        </w:rPr>
        <w:t>K Čl. II</w:t>
      </w:r>
    </w:p>
    <w:p>
      <w:pPr>
        <w:spacing w:before="120" w:line="360" w:lineRule="auto"/>
        <w:ind w:firstLine="708"/>
        <w:jc w:val="both"/>
        <w:rPr>
          <w:rFonts w:ascii="Arial" w:hAnsi="Arial" w:cs="Times New Roman"/>
          <w:sz w:val="22"/>
        </w:rPr>
      </w:pPr>
      <w:r>
        <w:rPr>
          <w:rFonts w:ascii="Arial" w:hAnsi="Arial" w:cs="Times New Roman"/>
          <w:sz w:val="22"/>
        </w:rPr>
        <w:t xml:space="preserve">Navrhuje sa účinnosť zákona od 1. januára 2003, okrem bodu 10, ktorý nadobudne účinnosť 1. júla 2003 vzhľadom na to, že okresný úrad sa stane jediným platiteľom prídavku na dieťa a príspevku k prídavku na dieťa 1. júla 2003. </w:t>
      </w:r>
    </w:p>
    <w:p>
      <w:pPr>
        <w:spacing w:before="120" w:line="360" w:lineRule="auto"/>
        <w:ind w:firstLine="708"/>
        <w:jc w:val="both"/>
        <w:rPr>
          <w:rFonts w:ascii="Arial" w:hAnsi="Arial" w:cs="Times New Roman"/>
          <w:sz w:val="22"/>
        </w:rPr>
      </w:pPr>
    </w:p>
    <w:p>
      <w:pPr>
        <w:spacing w:before="120" w:line="360" w:lineRule="auto"/>
        <w:ind w:firstLine="708"/>
        <w:jc w:val="both"/>
        <w:rPr>
          <w:rFonts w:ascii="Arial" w:hAnsi="Arial" w:cs="Times New Roman"/>
          <w:sz w:val="22"/>
        </w:rPr>
      </w:pPr>
    </w:p>
    <w:p>
      <w:pPr>
        <w:spacing w:before="120" w:line="360" w:lineRule="auto"/>
        <w:jc w:val="both"/>
        <w:rPr>
          <w:rFonts w:ascii="Arial" w:hAnsi="Arial" w:cs="Times New Roman"/>
          <w:sz w:val="22"/>
        </w:rPr>
      </w:pPr>
      <w:r>
        <w:rPr>
          <w:rFonts w:ascii="Arial" w:hAnsi="Arial" w:cs="Times New Roman"/>
          <w:sz w:val="22"/>
        </w:rPr>
        <w:t>Bratislava 30. októbra 2002</w:t>
      </w:r>
    </w:p>
    <w:p>
      <w:pPr>
        <w:spacing w:before="120" w:line="360" w:lineRule="auto"/>
        <w:ind w:firstLine="708"/>
        <w:jc w:val="both"/>
        <w:rPr>
          <w:rFonts w:ascii="Arial" w:hAnsi="Arial" w:cs="Times New Roman"/>
          <w:sz w:val="22"/>
        </w:rPr>
      </w:pPr>
    </w:p>
    <w:p>
      <w:pPr>
        <w:spacing w:before="120" w:line="360" w:lineRule="auto"/>
        <w:ind w:firstLine="708"/>
        <w:jc w:val="both"/>
        <w:rPr>
          <w:rFonts w:ascii="Arial" w:hAnsi="Arial" w:cs="Times New Roman"/>
          <w:sz w:val="22"/>
        </w:rPr>
      </w:pPr>
    </w:p>
    <w:p>
      <w:pPr>
        <w:spacing w:before="120" w:line="360" w:lineRule="auto"/>
        <w:ind w:firstLine="708"/>
        <w:jc w:val="both"/>
        <w:rPr>
          <w:rFonts w:ascii="Arial" w:hAnsi="Arial" w:cs="Times New Roman"/>
          <w:sz w:val="22"/>
        </w:rPr>
      </w:pPr>
    </w:p>
    <w:p>
      <w:pPr>
        <w:spacing w:before="120" w:line="360" w:lineRule="auto"/>
        <w:ind w:firstLine="708"/>
        <w:jc w:val="both"/>
        <w:rPr>
          <w:rFonts w:ascii="Arial" w:hAnsi="Arial" w:cs="Times New Roman"/>
          <w:sz w:val="22"/>
        </w:rPr>
      </w:pPr>
    </w:p>
    <w:p>
      <w:pPr>
        <w:pStyle w:val="Heading5"/>
        <w:rPr>
          <w:rFonts w:ascii="Arial" w:hAnsi="Arial" w:cs="Times New Roman"/>
        </w:rPr>
      </w:pPr>
      <w:r>
        <w:rPr>
          <w:rFonts w:ascii="Arial" w:hAnsi="Arial" w:cs="Times New Roman"/>
        </w:rPr>
        <w:t>Mikuláš  D z u r i n d a, v. r.</w:t>
      </w:r>
    </w:p>
    <w:p>
      <w:pPr>
        <w:jc w:val="center"/>
        <w:rPr>
          <w:rFonts w:ascii="Arial" w:hAnsi="Arial" w:cs="Times New Roman"/>
          <w:sz w:val="22"/>
        </w:rPr>
      </w:pPr>
      <w:r>
        <w:rPr>
          <w:rFonts w:ascii="Arial" w:hAnsi="Arial" w:cs="Times New Roman"/>
          <w:sz w:val="22"/>
        </w:rPr>
        <w:t xml:space="preserve">predseda </w:t>
      </w:r>
      <w:r>
        <w:rPr>
          <w:rFonts w:ascii="Arial" w:hAnsi="Arial" w:cs="Times New Roman"/>
          <w:sz w:val="22"/>
        </w:rPr>
        <w:t>vlády</w:t>
      </w:r>
    </w:p>
    <w:p>
      <w:pPr>
        <w:jc w:val="center"/>
        <w:rPr>
          <w:rFonts w:ascii="Arial" w:hAnsi="Arial" w:cs="Times New Roman"/>
          <w:sz w:val="22"/>
        </w:rPr>
      </w:pPr>
      <w:r>
        <w:rPr>
          <w:rFonts w:ascii="Arial" w:hAnsi="Arial" w:cs="Times New Roman"/>
          <w:sz w:val="22"/>
        </w:rPr>
        <w:t>Slovenskej republiky</w:t>
      </w:r>
    </w:p>
    <w:p>
      <w:pPr>
        <w:jc w:val="center"/>
        <w:rPr>
          <w:rFonts w:ascii="Arial" w:hAnsi="Arial" w:cs="Times New Roman"/>
          <w:sz w:val="22"/>
        </w:rPr>
      </w:pPr>
    </w:p>
    <w:p>
      <w:pPr>
        <w:jc w:val="center"/>
        <w:rPr>
          <w:rFonts w:ascii="Arial" w:hAnsi="Arial" w:cs="Times New Roman"/>
          <w:sz w:val="22"/>
        </w:rPr>
      </w:pPr>
    </w:p>
    <w:p>
      <w:pPr>
        <w:jc w:val="center"/>
        <w:rPr>
          <w:rFonts w:ascii="Arial" w:hAnsi="Arial" w:cs="Times New Roman"/>
          <w:sz w:val="22"/>
        </w:rPr>
      </w:pPr>
    </w:p>
    <w:p>
      <w:pPr>
        <w:jc w:val="center"/>
        <w:rPr>
          <w:rFonts w:ascii="Arial" w:hAnsi="Arial" w:cs="Times New Roman"/>
          <w:sz w:val="22"/>
        </w:rPr>
      </w:pPr>
    </w:p>
    <w:p>
      <w:pPr>
        <w:jc w:val="center"/>
        <w:rPr>
          <w:rFonts w:ascii="Arial" w:hAnsi="Arial" w:cs="Times New Roman"/>
          <w:sz w:val="22"/>
        </w:rPr>
      </w:pPr>
    </w:p>
    <w:p>
      <w:pPr>
        <w:jc w:val="center"/>
        <w:rPr>
          <w:rFonts w:ascii="Arial" w:hAnsi="Arial" w:cs="Times New Roman"/>
          <w:sz w:val="22"/>
        </w:rPr>
      </w:pPr>
    </w:p>
    <w:p>
      <w:pPr>
        <w:pStyle w:val="Heading5"/>
        <w:rPr>
          <w:rFonts w:ascii="Arial" w:hAnsi="Arial" w:cs="Times New Roman"/>
        </w:rPr>
      </w:pPr>
      <w:r>
        <w:rPr>
          <w:rFonts w:ascii="Arial" w:hAnsi="Arial" w:cs="Times New Roman"/>
        </w:rPr>
        <w:t>Ľudovít  K a n í k, v. r.</w:t>
      </w:r>
    </w:p>
    <w:p>
      <w:pPr>
        <w:jc w:val="center"/>
        <w:rPr>
          <w:rFonts w:ascii="Arial" w:hAnsi="Arial" w:cs="Times New Roman"/>
          <w:sz w:val="22"/>
        </w:rPr>
      </w:pPr>
      <w:r>
        <w:rPr>
          <w:rFonts w:ascii="Arial" w:hAnsi="Arial" w:cs="Times New Roman"/>
          <w:sz w:val="22"/>
        </w:rPr>
        <w:t>minister práce, sociálnych vecí a rodiny</w:t>
      </w:r>
    </w:p>
    <w:p>
      <w:pPr>
        <w:jc w:val="center"/>
        <w:rPr>
          <w:rFonts w:ascii="Arial" w:hAnsi="Arial" w:cs="Times New Roman"/>
          <w:sz w:val="22"/>
        </w:rPr>
      </w:pPr>
      <w:r>
        <w:rPr>
          <w:rFonts w:ascii="Arial" w:hAnsi="Arial" w:cs="Times New Roman"/>
          <w:sz w:val="22"/>
        </w:rPr>
        <w:t>Slovenskej republiky</w:t>
      </w:r>
    </w:p>
    <w:p>
      <w:pPr>
        <w:spacing w:before="120" w:line="360" w:lineRule="auto"/>
        <w:jc w:val="center"/>
        <w:rPr>
          <w:rFonts w:ascii="Arial" w:hAnsi="Arial" w:cs="Times New Roman"/>
          <w:sz w:val="22"/>
        </w:rPr>
      </w:pPr>
    </w:p>
    <w:p>
      <w:pPr>
        <w:spacing w:before="120" w:line="360" w:lineRule="auto"/>
        <w:ind w:firstLine="708"/>
        <w:jc w:val="both"/>
        <w:rPr>
          <w:rFonts w:ascii="Arial" w:hAnsi="Arial" w:cs="Times New Roman"/>
          <w:sz w:val="22"/>
        </w:rPr>
      </w:pPr>
    </w:p>
    <w:p>
      <w:pPr>
        <w:spacing w:before="120" w:line="360" w:lineRule="auto"/>
        <w:ind w:firstLine="708"/>
        <w:jc w:val="both"/>
        <w:rPr>
          <w:rFonts w:ascii="Arial" w:hAnsi="Arial" w:cs="Times New Roman"/>
          <w:sz w:val="22"/>
        </w:rPr>
      </w:pPr>
    </w:p>
    <w:p>
      <w:pPr>
        <w:spacing w:before="120" w:line="360" w:lineRule="auto"/>
        <w:ind w:firstLine="708"/>
        <w:jc w:val="both"/>
        <w:rPr>
          <w:rFonts w:ascii="Arial" w:hAnsi="Arial" w:cs="Times New Roman"/>
          <w:sz w:val="22"/>
        </w:rPr>
      </w:pPr>
    </w:p>
    <w:p>
      <w:pPr>
        <w:spacing w:before="120" w:line="360" w:lineRule="auto"/>
        <w:jc w:val="both"/>
        <w:rPr>
          <w:rFonts w:ascii="Arial" w:hAnsi="Arial" w:cs="Times New Roman"/>
          <w:sz w:val="22"/>
        </w:rPr>
      </w:pPr>
    </w:p>
    <w:p>
      <w:pPr>
        <w:spacing w:before="120" w:line="360" w:lineRule="auto"/>
        <w:jc w:val="both"/>
        <w:rPr>
          <w:rFonts w:ascii="Arial" w:hAnsi="Arial" w:cs="Times New Roman"/>
          <w:sz w:val="22"/>
        </w:rPr>
      </w:pPr>
    </w:p>
    <w:p>
      <w:pPr>
        <w:spacing w:before="120" w:line="360" w:lineRule="auto"/>
        <w:jc w:val="both"/>
        <w:rPr>
          <w:rFonts w:ascii="Arial" w:hAnsi="Arial" w:cs="Times New Roman"/>
          <w:sz w:val="22"/>
        </w:rPr>
      </w:pPr>
    </w:p>
    <w:p>
      <w:pPr>
        <w:spacing w:before="120" w:line="360" w:lineRule="auto"/>
        <w:jc w:val="both"/>
        <w:rPr>
          <w:rFonts w:ascii="Arial" w:hAnsi="Arial" w:cs="Times New Roman"/>
          <w:sz w:val="22"/>
        </w:rPr>
      </w:pPr>
    </w:p>
    <w:p>
      <w:pPr>
        <w:spacing w:before="120" w:line="360" w:lineRule="auto"/>
        <w:jc w:val="both"/>
        <w:rPr>
          <w:rFonts w:ascii="Arial" w:hAnsi="Arial" w:cs="Times New Roman"/>
          <w:sz w:val="22"/>
        </w:rPr>
      </w:pPr>
    </w:p>
    <w:p>
      <w:pPr>
        <w:spacing w:before="120" w:line="360" w:lineRule="auto"/>
        <w:jc w:val="both"/>
        <w:rPr>
          <w:rFonts w:ascii="Arial" w:hAnsi="Arial" w:cs="Times New Roman"/>
          <w:sz w:val="22"/>
        </w:rPr>
      </w:pPr>
    </w:p>
    <w:p>
      <w:pPr>
        <w:spacing w:before="120" w:line="360" w:lineRule="auto"/>
        <w:jc w:val="both"/>
        <w:rPr>
          <w:rFonts w:ascii="Arial" w:hAnsi="Arial" w:cs="Times New Roman"/>
          <w:sz w:val="22"/>
        </w:rPr>
      </w:pPr>
      <w:r>
        <w:rPr>
          <w:rFonts w:ascii="Arial" w:hAnsi="Arial" w:cs="Times New Roman"/>
          <w:sz w:val="22"/>
        </w:rPr>
        <w:t xml:space="preserve"> </w:t>
      </w:r>
    </w:p>
    <w:p>
      <w:pPr>
        <w:spacing w:before="120" w:line="360" w:lineRule="auto"/>
        <w:jc w:val="center"/>
        <w:rPr>
          <w:rFonts w:ascii="Arial" w:hAnsi="Arial" w:cs="Times New Roman"/>
          <w:b/>
          <w:sz w:val="22"/>
        </w:rPr>
      </w:pPr>
      <w:r>
        <w:rPr>
          <w:rFonts w:ascii="Arial" w:hAnsi="Arial" w:cs="Times New Roman"/>
          <w:b/>
          <w:sz w:val="22"/>
        </w:rPr>
        <w:t>Doložka finančných, ekonomických, environmentálnych vplyvov a vplyvov na zamestnanosť</w:t>
      </w:r>
    </w:p>
    <w:p>
      <w:pPr>
        <w:spacing w:before="120" w:line="360" w:lineRule="auto"/>
        <w:jc w:val="center"/>
        <w:rPr>
          <w:rFonts w:ascii="Arial" w:hAnsi="Arial" w:cs="Times New Roman"/>
          <w:b/>
          <w:sz w:val="22"/>
        </w:rPr>
      </w:pPr>
    </w:p>
    <w:p>
      <w:pPr>
        <w:spacing w:before="120" w:line="360" w:lineRule="auto"/>
        <w:jc w:val="both"/>
        <w:rPr>
          <w:rFonts w:ascii="Arial" w:hAnsi="Arial" w:cs="Times New Roman"/>
          <w:sz w:val="22"/>
        </w:rPr>
      </w:pPr>
      <w:r>
        <w:rPr>
          <w:rFonts w:ascii="Arial" w:hAnsi="Arial" w:cs="Times New Roman"/>
          <w:b/>
          <w:sz w:val="22"/>
        </w:rPr>
        <w:t xml:space="preserve">Prvá časť: </w:t>
      </w:r>
      <w:r>
        <w:rPr>
          <w:rFonts w:ascii="Arial" w:hAnsi="Arial" w:cs="Times New Roman"/>
          <w:sz w:val="22"/>
        </w:rPr>
        <w:t xml:space="preserve">odhad dopadov na verejné </w:t>
      </w:r>
      <w:r>
        <w:rPr>
          <w:rFonts w:ascii="Arial" w:hAnsi="Arial" w:cs="Times New Roman"/>
          <w:sz w:val="22"/>
        </w:rPr>
        <w:t>financie</w:t>
      </w:r>
    </w:p>
    <w:p>
      <w:pPr>
        <w:spacing w:before="120" w:line="360" w:lineRule="auto"/>
        <w:jc w:val="both"/>
        <w:rPr>
          <w:rFonts w:ascii="Arial" w:hAnsi="Arial" w:cs="Times New Roman"/>
          <w:sz w:val="22"/>
        </w:rPr>
      </w:pPr>
      <w:r>
        <w:rPr>
          <w:rFonts w:ascii="Arial" w:hAnsi="Arial" w:cs="Times New Roman"/>
          <w:sz w:val="22"/>
        </w:rPr>
        <w:tab/>
        <w:t xml:space="preserve">V roku 2003 sa predpokladajú výdavky na výplatu prídavku na dieťa a príspevku k prídavku na dieťa 9,6 mld. Sk. Úsporné opatrenie v roku 2003 zníži výdavky na túto dávku o 1,8 mld. Sk. </w:t>
      </w:r>
    </w:p>
    <w:p>
      <w:pPr>
        <w:spacing w:before="120" w:line="360" w:lineRule="auto"/>
        <w:jc w:val="both"/>
        <w:rPr>
          <w:rFonts w:ascii="Arial" w:hAnsi="Arial" w:cs="Times New Roman"/>
          <w:sz w:val="22"/>
        </w:rPr>
      </w:pPr>
      <w:r>
        <w:rPr>
          <w:rFonts w:ascii="Arial" w:hAnsi="Arial" w:cs="Times New Roman"/>
          <w:b/>
          <w:sz w:val="22"/>
        </w:rPr>
        <w:t xml:space="preserve">Druhá časť: </w:t>
      </w:r>
      <w:r>
        <w:rPr>
          <w:rFonts w:ascii="Arial" w:hAnsi="Arial" w:cs="Times New Roman"/>
          <w:sz w:val="22"/>
        </w:rPr>
        <w:t>odhad dopadov na obyvateľov</w:t>
      </w:r>
    </w:p>
    <w:p>
      <w:pPr>
        <w:spacing w:before="120" w:line="360" w:lineRule="auto"/>
        <w:jc w:val="both"/>
        <w:rPr>
          <w:rFonts w:ascii="Arial" w:hAnsi="Arial" w:cs="Times New Roman"/>
          <w:sz w:val="22"/>
        </w:rPr>
      </w:pPr>
      <w:r>
        <w:rPr>
          <w:rFonts w:ascii="Arial" w:hAnsi="Arial" w:cs="Times New Roman"/>
          <w:sz w:val="22"/>
        </w:rPr>
        <w:tab/>
        <w:t>Predkladaný návrh zákona ponecháva poskytovanie prídavku na dieťa pre všetky nezaopatrené deti, ale v zníženej sume o 200 Sk na každé nezaopatrené dieťa. Súčasne sa však navrhuje zvýšiť príspevok k prídavku na dieťa tak, aby sa táto zmena nedotkla príjmovo najslabších rodín.</w:t>
      </w:r>
    </w:p>
    <w:p>
      <w:pPr>
        <w:spacing w:before="120" w:line="360" w:lineRule="auto"/>
        <w:jc w:val="both"/>
        <w:rPr>
          <w:rFonts w:ascii="Arial" w:hAnsi="Arial" w:cs="Times New Roman"/>
          <w:sz w:val="22"/>
        </w:rPr>
      </w:pPr>
    </w:p>
    <w:p>
      <w:pPr>
        <w:spacing w:before="120" w:line="360" w:lineRule="auto"/>
        <w:jc w:val="both"/>
        <w:rPr>
          <w:rFonts w:ascii="Arial" w:hAnsi="Arial" w:cs="Times New Roman"/>
          <w:sz w:val="22"/>
        </w:rPr>
      </w:pPr>
      <w:r>
        <w:rPr>
          <w:rFonts w:ascii="Arial" w:hAnsi="Arial" w:cs="Times New Roman"/>
          <w:sz w:val="22"/>
        </w:rPr>
        <w:t xml:space="preserve"> </w:t>
      </w:r>
    </w:p>
    <w:p>
      <w:pPr>
        <w:spacing w:before="120" w:line="360" w:lineRule="auto"/>
        <w:jc w:val="both"/>
        <w:rPr>
          <w:rFonts w:ascii="Times New Roman" w:hAnsi="Times New Roman" w:cs="Times New Roman"/>
        </w:rPr>
      </w:pPr>
      <w:r>
        <w:rPr>
          <w:rFonts w:ascii="Times New Roman" w:hAnsi="Times New Roman" w:cs="Times New Roman"/>
        </w:rPr>
        <w:t xml:space="preserve"> </w:t>
      </w:r>
    </w:p>
    <w:p>
      <w:pPr>
        <w:spacing w:before="120" w:line="360" w:lineRule="auto"/>
        <w:jc w:val="both"/>
        <w:rPr>
          <w:rFonts w:ascii="Arial" w:hAnsi="Arial" w:cs="Times New Roman"/>
          <w:sz w:val="22"/>
        </w:rPr>
      </w:pPr>
    </w:p>
    <w:p>
      <w:pPr>
        <w:rPr>
          <w:rFonts w:ascii="Times New Roman" w:hAnsi="Times New Roman" w:cs="Times New Roman"/>
        </w:rPr>
      </w:pPr>
    </w:p>
    <w:sectPr>
      <w:footerReference w:type="even" r:id="rId4"/>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164EF"/>
    <w:multiLevelType w:val="singleLevel"/>
    <w:tmpl w:val="E4C6407C"/>
    <w:lvl w:ilvl="0">
      <w:start w:val="1"/>
      <w:numFmt w:val="lowerLetter"/>
      <w:lvlText w:val="%1)"/>
      <w:lvlJc w:val="left"/>
      <w:pPr>
        <w:tabs>
          <w:tab w:val="num" w:pos="390"/>
        </w:tabs>
        <w:ind w:left="0" w:hanging="390"/>
      </w:pPr>
    </w:lvl>
  </w:abstractNum>
  <w:abstractNum w:abstractNumId="1">
    <w:nsid w:val="35E24CB5"/>
    <w:multiLevelType w:val="multilevel"/>
    <w:tmpl w:val="18D05AC0"/>
    <w:lvl w:ilvl="0">
      <w:start w:val="1"/>
      <w:numFmt w:val="decimal"/>
      <w:lvlText w:val="%1."/>
      <w:lvlJc w:val="left"/>
      <w:pPr>
        <w:tabs>
          <w:tab w:val="num" w:pos="2136"/>
        </w:tabs>
        <w:ind w:left="2136" w:hanging="360"/>
      </w:pPr>
    </w:lvl>
    <w:lvl w:ilvl="1">
      <w:start w:val="1"/>
      <w:numFmt w:val="lowerLetter"/>
      <w:lvlText w:val="%2."/>
      <w:lvlJc w:val="left"/>
      <w:pPr>
        <w:tabs>
          <w:tab w:val="num" w:pos="2508"/>
        </w:tabs>
        <w:ind w:left="2508" w:hanging="360"/>
      </w:pPr>
    </w:lvl>
    <w:lvl w:ilvl="2">
      <w:start w:val="1"/>
      <w:numFmt w:val="lowerRoman"/>
      <w:lvlText w:val="%3."/>
      <w:lvlJc w:val="right"/>
      <w:pPr>
        <w:tabs>
          <w:tab w:val="num" w:pos="3228"/>
        </w:tabs>
        <w:ind w:left="3228" w:hanging="180"/>
      </w:pPr>
    </w:lvl>
    <w:lvl w:ilvl="3">
      <w:start w:val="1"/>
      <w:numFmt w:val="decimal"/>
      <w:lvlText w:val="%4."/>
      <w:lvlJc w:val="left"/>
      <w:pPr>
        <w:tabs>
          <w:tab w:val="num" w:pos="3948"/>
        </w:tabs>
        <w:ind w:left="3948" w:hanging="360"/>
      </w:pPr>
    </w:lvl>
    <w:lvl w:ilvl="4">
      <w:start w:val="1"/>
      <w:numFmt w:val="lowerLetter"/>
      <w:lvlText w:val="%5."/>
      <w:lvlJc w:val="left"/>
      <w:pPr>
        <w:tabs>
          <w:tab w:val="num" w:pos="4668"/>
        </w:tabs>
        <w:ind w:left="4668" w:hanging="360"/>
      </w:pPr>
    </w:lvl>
    <w:lvl w:ilvl="5">
      <w:start w:val="1"/>
      <w:numFmt w:val="lowerRoman"/>
      <w:lvlText w:val="%6."/>
      <w:lvlJc w:val="right"/>
      <w:pPr>
        <w:tabs>
          <w:tab w:val="num" w:pos="5388"/>
        </w:tabs>
        <w:ind w:left="5388" w:hanging="180"/>
      </w:pPr>
    </w:lvl>
    <w:lvl w:ilvl="6">
      <w:start w:val="1"/>
      <w:numFmt w:val="decimal"/>
      <w:lvlText w:val="%7."/>
      <w:lvlJc w:val="left"/>
      <w:pPr>
        <w:tabs>
          <w:tab w:val="num" w:pos="6108"/>
        </w:tabs>
        <w:ind w:left="6108" w:hanging="360"/>
      </w:pPr>
    </w:lvl>
    <w:lvl w:ilvl="7">
      <w:start w:val="1"/>
      <w:numFmt w:val="lowerLetter"/>
      <w:lvlText w:val="%8."/>
      <w:lvlJc w:val="left"/>
      <w:pPr>
        <w:tabs>
          <w:tab w:val="num" w:pos="6828"/>
        </w:tabs>
        <w:ind w:left="6828" w:hanging="360"/>
      </w:pPr>
    </w:lvl>
    <w:lvl w:ilvl="8">
      <w:start w:val="1"/>
      <w:numFmt w:val="lowerRoman"/>
      <w:lvlText w:val="%9."/>
      <w:lvlJc w:val="right"/>
      <w:pPr>
        <w:tabs>
          <w:tab w:val="num" w:pos="7548"/>
        </w:tabs>
        <w:ind w:left="7548" w:hanging="180"/>
      </w:pPr>
    </w:lvl>
  </w:abstractNum>
  <w:abstractNum w:abstractNumId="2">
    <w:nsid w:val="5B4D6F2F"/>
    <w:multiLevelType w:val="multilevel"/>
    <w:tmpl w:val="5F20C54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7FD3156"/>
    <w:multiLevelType w:val="multilevel"/>
    <w:tmpl w:val="A9AE06B4"/>
    <w:lvl w:ilvl="0">
      <w:start w:val="1"/>
      <w:numFmt w:val="decimal"/>
      <w:lvlText w:val="%1."/>
      <w:lvlJc w:val="left"/>
      <w:pPr>
        <w:tabs>
          <w:tab w:val="num" w:pos="1068"/>
        </w:tabs>
        <w:ind w:left="1068" w:hanging="360"/>
      </w:pPr>
    </w:lvl>
    <w:lvl w:ilvl="1">
      <w:start w:val="3"/>
      <w:numFmt w:val="bullet"/>
      <w:lvlText w:val="-"/>
      <w:lvlJc w:val="left"/>
      <w:pPr>
        <w:tabs>
          <w:tab w:val="num" w:pos="1788"/>
        </w:tabs>
        <w:ind w:left="1788" w:hanging="360"/>
      </w:pPr>
      <w:rPr>
        <w:rFonts w:ascii="Times New Roman" w:hAnsi="Times New Roman" w:cs="Times New Roman"/>
        <w:rtl w:val="0"/>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isplayHorizontalDrawingGridEvery w:val="0"/>
  <w:noPunctuationKerning/>
  <w:characterSpacingControl w:val="doNotCompres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0"/>
      <w:szCs w:val="20"/>
      <w:rtl w:val="0"/>
      <w:lang w:val="sk-SK"/>
    </w:rPr>
  </w:style>
  <w:style w:type="paragraph" w:styleId="Heading1">
    <w:name w:val="heading 1"/>
    <w:basedOn w:val="Normal"/>
    <w:next w:val="Normal"/>
    <w:uiPriority w:val="9"/>
    <w:qFormat/>
    <w:pPr>
      <w:keepNext/>
      <w:spacing w:after="240"/>
      <w:jc w:val="center"/>
      <w:outlineLvl w:val="0"/>
    </w:pPr>
    <w:rPr>
      <w:b/>
      <w:sz w:val="26"/>
      <w:lang w:val="cs-CZ"/>
    </w:rPr>
  </w:style>
  <w:style w:type="paragraph" w:styleId="Heading2">
    <w:name w:val="heading 2"/>
    <w:basedOn w:val="Normal"/>
    <w:uiPriority w:val="9"/>
    <w:qFormat/>
    <w:pPr>
      <w:spacing w:before="100" w:after="100"/>
      <w:jc w:val="left"/>
      <w:outlineLvl w:val="1"/>
    </w:pPr>
    <w:rPr>
      <w:b/>
      <w:sz w:val="36"/>
      <w:lang w:val="cs-CZ"/>
    </w:rPr>
  </w:style>
  <w:style w:type="paragraph" w:styleId="Heading3">
    <w:name w:val="heading 3"/>
    <w:basedOn w:val="Normal"/>
    <w:uiPriority w:val="9"/>
    <w:qFormat/>
    <w:pPr>
      <w:spacing w:before="100" w:after="100"/>
      <w:jc w:val="left"/>
      <w:outlineLvl w:val="2"/>
    </w:pPr>
    <w:rPr>
      <w:b/>
      <w:sz w:val="27"/>
      <w:lang w:val="cs-CZ"/>
    </w:rPr>
  </w:style>
  <w:style w:type="paragraph" w:styleId="Heading4">
    <w:name w:val="heading 4"/>
    <w:basedOn w:val="Normal"/>
    <w:next w:val="Normal"/>
    <w:uiPriority w:val="9"/>
    <w:qFormat/>
    <w:pPr>
      <w:keepNext/>
      <w:jc w:val="left"/>
      <w:outlineLvl w:val="3"/>
    </w:pPr>
    <w:rPr>
      <w:b/>
      <w:sz w:val="22"/>
    </w:rPr>
  </w:style>
  <w:style w:type="paragraph" w:styleId="Heading5">
    <w:name w:val="heading 5"/>
    <w:basedOn w:val="Normal"/>
    <w:next w:val="Normal"/>
    <w:uiPriority w:val="9"/>
    <w:qFormat/>
    <w:pPr>
      <w:keepNext/>
      <w:jc w:val="center"/>
      <w:outlineLvl w:val="4"/>
    </w:pPr>
    <w:rPr>
      <w:b/>
      <w:sz w:val="22"/>
    </w:rPr>
  </w:style>
  <w:style w:type="paragraph" w:styleId="Heading6">
    <w:name w:val="heading 6"/>
    <w:basedOn w:val="Normal"/>
    <w:next w:val="Normal"/>
    <w:uiPriority w:val="9"/>
    <w:qFormat/>
    <w:pPr>
      <w:keepNext/>
      <w:spacing w:before="120" w:line="360" w:lineRule="auto"/>
      <w:jc w:val="both"/>
      <w:outlineLvl w:val="5"/>
    </w:pPr>
    <w:rPr>
      <w:rFonts w:ascii="Arial" w:hAnsi="Arial"/>
      <w:b/>
      <w:sz w:val="22"/>
    </w:rPr>
  </w:style>
  <w:style w:type="paragraph" w:styleId="Heading7">
    <w:name w:val="heading 7"/>
    <w:basedOn w:val="Normal"/>
    <w:next w:val="Normal"/>
    <w:uiPriority w:val="9"/>
    <w:qFormat/>
    <w:pPr>
      <w:keepNext/>
      <w:spacing w:before="120" w:line="360" w:lineRule="auto"/>
      <w:jc w:val="center"/>
      <w:outlineLvl w:val="6"/>
    </w:pPr>
    <w:rPr>
      <w:rFonts w:ascii="Arial" w:hAnsi="Arial"/>
      <w:b/>
      <w:sz w:val="28"/>
    </w:rPr>
  </w:style>
  <w:style w:type="paragraph" w:styleId="Heading8">
    <w:name w:val="heading 8"/>
    <w:basedOn w:val="Normal"/>
    <w:next w:val="Normal"/>
    <w:uiPriority w:val="9"/>
    <w:qFormat/>
    <w:pPr>
      <w:keepNext/>
      <w:spacing w:before="120" w:line="360" w:lineRule="auto"/>
      <w:jc w:val="center"/>
      <w:outlineLvl w:val="7"/>
    </w:pPr>
    <w:rPr>
      <w:rFonts w:ascii="Arial" w:hAnsi="Arial"/>
      <w:b/>
      <w:sz w:val="24"/>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jc w:val="both"/>
    </w:pPr>
    <w:rPr>
      <w:sz w:val="24"/>
    </w:rPr>
  </w:style>
  <w:style w:type="paragraph" w:styleId="Title">
    <w:name w:val="Title"/>
    <w:basedOn w:val="Normal"/>
    <w:uiPriority w:val="10"/>
    <w:qFormat/>
    <w:pPr>
      <w:spacing w:before="120" w:line="360" w:lineRule="auto"/>
      <w:jc w:val="center"/>
    </w:pPr>
    <w:rPr>
      <w:rFonts w:ascii="Arial" w:hAnsi="Arial"/>
      <w:b/>
      <w:sz w:val="28"/>
    </w:rPr>
  </w:style>
  <w:style w:type="paragraph" w:styleId="Subtitle">
    <w:name w:val="Subtitle"/>
    <w:basedOn w:val="Normal"/>
    <w:uiPriority w:val="11"/>
    <w:qFormat/>
    <w:pPr>
      <w:spacing w:before="120" w:line="360" w:lineRule="auto"/>
      <w:jc w:val="center"/>
    </w:pPr>
    <w:rPr>
      <w:rFonts w:ascii="Arial" w:hAnsi="Arial"/>
      <w:b/>
      <w:sz w:val="22"/>
    </w:rPr>
  </w:style>
  <w:style w:type="paragraph" w:styleId="BodyTextIndent">
    <w:name w:val="Body Text Indent"/>
    <w:basedOn w:val="Normal"/>
    <w:pPr>
      <w:ind w:firstLine="708"/>
      <w:jc w:val="left"/>
    </w:pPr>
    <w:rPr>
      <w:sz w:val="22"/>
    </w:rPr>
  </w:style>
  <w:style w:type="paragraph" w:styleId="BodyText2">
    <w:name w:val="Body Text 2"/>
    <w:basedOn w:val="Normal"/>
    <w:pPr>
      <w:jc w:val="both"/>
    </w:pPr>
    <w:rPr>
      <w:sz w:val="22"/>
    </w:rPr>
  </w:style>
  <w:style w:type="paragraph" w:styleId="Footer">
    <w:name w:val="footer"/>
    <w:basedOn w:val="Normal"/>
    <w:pPr>
      <w:tabs>
        <w:tab w:val="center" w:pos="4536"/>
        <w:tab w:val="right" w:pos="9072"/>
      </w:tabs>
      <w:jc w:val="left"/>
    </w:pPr>
    <w:rPr>
      <w:sz w:val="24"/>
    </w:rPr>
  </w:style>
  <w:style w:type="paragraph" w:styleId="BlockText">
    <w:name w:val="Block Text"/>
    <w:basedOn w:val="Normal"/>
    <w:pPr>
      <w:ind w:left="1080" w:right="-648"/>
      <w:jc w:val="center"/>
    </w:pPr>
    <w:rPr>
      <w:sz w:val="24"/>
    </w:rPr>
  </w:style>
  <w:style w:type="character" w:styleId="PageNumber">
    <w:name w:val="page number"/>
    <w:basedOn w:val="DefaultParagraphFont"/>
  </w:style>
  <w:style w:type="paragraph" w:styleId="Header">
    <w:name w:val="header"/>
    <w:basedOn w:val="Normal"/>
    <w:pPr>
      <w:tabs>
        <w:tab w:val="center" w:pos="4536"/>
        <w:tab w:val="right" w:pos="9072"/>
      </w:tabs>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1519</Words>
  <Characters>8660</Characters>
  <Application>Microsoft Office Word</Application>
  <DocSecurity>0</DocSecurity>
  <Lines>0</Lines>
  <Paragraphs>0</Paragraphs>
  <ScaleCrop>false</ScaleCrop>
  <Company/>
  <LinksUpToDate>false</LinksUpToDate>
  <CharactersWithSpaces>10635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x</dc:creator>
  <cp:lastModifiedBy>x</cp:lastModifiedBy>
  <cp:revision>2</cp:revision>
  <cp:lastPrinted>2002-10-30T11:30:00Z</cp:lastPrinted>
  <dcterms:created xsi:type="dcterms:W3CDTF">2002-10-31T08:23:00Z</dcterms:created>
  <dcterms:modified xsi:type="dcterms:W3CDTF">2002-10-31T08:23:00Z</dcterms:modified>
</cp:coreProperties>
</file>