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40E0F">
      <w:pPr>
        <w:jc w:val="center"/>
        <w:rPr>
          <w:rFonts w:ascii="Arial" w:hAnsi="Arial" w:cs="Times New Roman"/>
          <w:b/>
          <w:sz w:val="28"/>
        </w:rPr>
      </w:pPr>
    </w:p>
    <w:p w:rsidR="001E5DA3">
      <w:pPr>
        <w:jc w:val="center"/>
        <w:rPr>
          <w:rFonts w:ascii="Arial" w:hAnsi="Arial" w:cs="Times New Roman"/>
          <w:b/>
          <w:sz w:val="28"/>
        </w:rPr>
      </w:pPr>
    </w:p>
    <w:p w:rsidR="001E5DA3">
      <w:pPr>
        <w:jc w:val="center"/>
        <w:rPr>
          <w:rFonts w:ascii="Arial" w:hAnsi="Arial" w:cs="Times New Roman"/>
          <w:b/>
          <w:sz w:val="28"/>
        </w:rPr>
      </w:pPr>
    </w:p>
    <w:p w:rsidR="00007B43">
      <w:pPr>
        <w:jc w:val="center"/>
        <w:rPr>
          <w:rFonts w:ascii="Arial" w:hAnsi="Arial" w:cs="Times New Roman"/>
          <w:b/>
          <w:sz w:val="28"/>
        </w:rPr>
      </w:pPr>
    </w:p>
    <w:p w:rsidR="00007B43">
      <w:pPr>
        <w:jc w:val="center"/>
        <w:rPr>
          <w:rFonts w:ascii="Arial" w:hAnsi="Arial" w:cs="Times New Roman"/>
          <w:b/>
          <w:sz w:val="28"/>
        </w:rPr>
      </w:pPr>
    </w:p>
    <w:p w:rsidR="00007B43">
      <w:pPr>
        <w:jc w:val="center"/>
        <w:rPr>
          <w:rFonts w:ascii="Arial" w:hAnsi="Arial" w:cs="Times New Roman"/>
          <w:b/>
          <w:sz w:val="28"/>
        </w:rPr>
      </w:pPr>
    </w:p>
    <w:p w:rsidR="00007B43">
      <w:pPr>
        <w:jc w:val="center"/>
        <w:rPr>
          <w:rFonts w:ascii="Arial" w:hAnsi="Arial" w:cs="Times New Roman"/>
          <w:b/>
          <w:sz w:val="28"/>
        </w:rPr>
      </w:pPr>
    </w:p>
    <w:p w:rsidR="00007B43">
      <w:pPr>
        <w:jc w:val="center"/>
        <w:rPr>
          <w:rFonts w:ascii="Arial" w:hAnsi="Arial" w:cs="Times New Roman"/>
          <w:b/>
          <w:sz w:val="28"/>
        </w:rPr>
      </w:pPr>
    </w:p>
    <w:p w:rsidR="00D92910" w:rsidP="00971C58">
      <w:pPr>
        <w:rPr>
          <w:rFonts w:ascii="Arial" w:hAnsi="Arial" w:cs="Times New Roman"/>
          <w:b/>
          <w:sz w:val="28"/>
        </w:rPr>
      </w:pPr>
    </w:p>
    <w:p w:rsidR="00E27D2E" w:rsidP="00971C58">
      <w:pPr>
        <w:rPr>
          <w:rFonts w:ascii="Arial" w:hAnsi="Arial" w:cs="Times New Roman"/>
          <w:b/>
          <w:sz w:val="28"/>
        </w:rPr>
      </w:pPr>
    </w:p>
    <w:p w:rsidR="00D92910">
      <w:pPr>
        <w:jc w:val="center"/>
        <w:rPr>
          <w:rFonts w:ascii="Arial" w:hAnsi="Arial" w:cs="Times New Roman"/>
          <w:b/>
          <w:sz w:val="28"/>
        </w:rPr>
      </w:pPr>
    </w:p>
    <w:p w:rsidR="003E3BB0">
      <w:pPr>
        <w:jc w:val="center"/>
        <w:rPr>
          <w:rFonts w:ascii="Arial" w:hAnsi="Arial" w:cs="Times New Roman"/>
          <w:b/>
          <w:sz w:val="28"/>
        </w:rPr>
      </w:pPr>
    </w:p>
    <w:p w:rsidR="00A40E0F" w:rsidRPr="00007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007B43" w:rsidR="001E5DA3">
        <w:rPr>
          <w:rFonts w:ascii="Times New Roman" w:hAnsi="Times New Roman" w:cs="Times New Roman"/>
          <w:sz w:val="24"/>
          <w:szCs w:val="24"/>
        </w:rPr>
        <w:t xml:space="preserve"> z </w:t>
      </w:r>
      <w:r w:rsidR="00D92910">
        <w:rPr>
          <w:rFonts w:ascii="Times New Roman" w:hAnsi="Times New Roman" w:cs="Times New Roman"/>
          <w:sz w:val="24"/>
          <w:szCs w:val="24"/>
        </w:rPr>
        <w:t>23</w:t>
      </w:r>
      <w:r w:rsidRPr="00007B43" w:rsidR="001E5DA3">
        <w:rPr>
          <w:rFonts w:ascii="Times New Roman" w:hAnsi="Times New Roman" w:cs="Times New Roman"/>
          <w:sz w:val="24"/>
          <w:szCs w:val="24"/>
        </w:rPr>
        <w:t xml:space="preserve"> júna </w:t>
      </w:r>
      <w:r w:rsidRPr="00007B43">
        <w:rPr>
          <w:rFonts w:ascii="Times New Roman" w:hAnsi="Times New Roman" w:cs="Times New Roman"/>
          <w:sz w:val="24"/>
          <w:szCs w:val="24"/>
        </w:rPr>
        <w:t>2005,</w:t>
      </w:r>
    </w:p>
    <w:p w:rsidR="003E3BB0" w:rsidRPr="00007B43" w:rsidP="00E27D2E">
      <w:pPr>
        <w:rPr>
          <w:rFonts w:ascii="Times New Roman" w:hAnsi="Times New Roman" w:cs="Times New Roman"/>
          <w:b/>
          <w:sz w:val="24"/>
          <w:szCs w:val="24"/>
        </w:rPr>
      </w:pPr>
    </w:p>
    <w:p w:rsidR="00A40E0F" w:rsidRPr="00007B43">
      <w:pPr>
        <w:pStyle w:val="BodyText2"/>
        <w:pBdr>
          <w:bottom w:val="none" w:sz="0" w:space="0" w:color="auto"/>
        </w:pBdr>
        <w:jc w:val="center"/>
        <w:rPr>
          <w:rFonts w:ascii="Times New Roman" w:hAnsi="Times New Roman" w:cs="Times New Roman"/>
          <w:b/>
          <w:szCs w:val="24"/>
        </w:rPr>
      </w:pPr>
      <w:r w:rsidRPr="00007B43">
        <w:rPr>
          <w:rFonts w:ascii="Times New Roman" w:hAnsi="Times New Roman" w:cs="Times New Roman"/>
          <w:b/>
          <w:szCs w:val="24"/>
        </w:rPr>
        <w:t>ktorým sa mení a dopĺňa zákon č.</w:t>
      </w:r>
      <w:r w:rsidR="0008717D">
        <w:rPr>
          <w:rFonts w:ascii="Times New Roman" w:hAnsi="Times New Roman" w:cs="Times New Roman"/>
          <w:b/>
          <w:szCs w:val="24"/>
        </w:rPr>
        <w:t xml:space="preserve"> </w:t>
      </w:r>
      <w:r w:rsidRPr="00007B43">
        <w:rPr>
          <w:rFonts w:ascii="Times New Roman" w:hAnsi="Times New Roman" w:cs="Times New Roman"/>
          <w:b/>
          <w:szCs w:val="24"/>
        </w:rPr>
        <w:t>179/1998 Z. z. o obchodovaní s vojenským materiálom a doplnení zákona č. 455/1991 Zb. o živnostenskom podnikaní (živnostenský zákon) v znení neskorších predpisov</w:t>
      </w:r>
      <w:r w:rsidR="00007B43">
        <w:rPr>
          <w:rFonts w:ascii="Times New Roman" w:hAnsi="Times New Roman" w:cs="Times New Roman"/>
          <w:b/>
          <w:szCs w:val="24"/>
        </w:rPr>
        <w:t xml:space="preserve"> v znení neskorších predpisov</w:t>
      </w:r>
    </w:p>
    <w:p w:rsidR="00A40E0F" w:rsidRPr="00007B43">
      <w:pPr>
        <w:pStyle w:val="BodyText2"/>
        <w:pBdr>
          <w:bottom w:val="none" w:sz="0" w:space="0" w:color="auto"/>
        </w:pBdr>
        <w:rPr>
          <w:rFonts w:ascii="Times New Roman" w:hAnsi="Times New Roman" w:cs="Times New Roman"/>
          <w:szCs w:val="24"/>
        </w:rPr>
      </w:pPr>
    </w:p>
    <w:p w:rsidR="00A40E0F" w:rsidRPr="00007B43">
      <w:pPr>
        <w:pStyle w:val="BodyText2"/>
        <w:pBdr>
          <w:bottom w:val="none" w:sz="0" w:space="0" w:color="auto"/>
        </w:pBdr>
        <w:rPr>
          <w:rFonts w:ascii="Times New Roman" w:hAnsi="Times New Roman" w:cs="Times New Roman"/>
          <w:szCs w:val="24"/>
        </w:rPr>
      </w:pPr>
    </w:p>
    <w:p w:rsidR="00A40E0F" w:rsidRPr="00007B43">
      <w:pPr>
        <w:pStyle w:val="BodyText2"/>
        <w:pBdr>
          <w:bottom w:val="none" w:sz="0" w:space="0" w:color="auto"/>
        </w:pBdr>
        <w:jc w:val="center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Národná rada Slovenskej republiky sa uzniesla na tomto zákone</w:t>
      </w:r>
      <w:r w:rsidR="00007B43">
        <w:rPr>
          <w:rFonts w:ascii="Times New Roman" w:hAnsi="Times New Roman" w:cs="Times New Roman"/>
          <w:szCs w:val="24"/>
        </w:rPr>
        <w:t>:</w:t>
      </w:r>
    </w:p>
    <w:p w:rsidR="003E3BB0" w:rsidRPr="00007B43" w:rsidP="00E27D2E">
      <w:pPr>
        <w:pStyle w:val="BodyText2"/>
        <w:pBdr>
          <w:bottom w:val="none" w:sz="0" w:space="0" w:color="auto"/>
        </w:pBdr>
        <w:rPr>
          <w:rFonts w:ascii="Times New Roman" w:hAnsi="Times New Roman" w:cs="Times New Roman"/>
          <w:szCs w:val="24"/>
        </w:rPr>
      </w:pPr>
    </w:p>
    <w:p w:rsidR="00A40E0F" w:rsidRPr="00007B43">
      <w:pPr>
        <w:pStyle w:val="BodyText2"/>
        <w:pBdr>
          <w:bottom w:val="none" w:sz="0" w:space="0" w:color="auto"/>
        </w:pBdr>
        <w:jc w:val="center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Čl. I</w:t>
      </w:r>
    </w:p>
    <w:p w:rsidR="003E3BB0" w:rsidRPr="00007B43" w:rsidP="00E27D2E">
      <w:pPr>
        <w:pStyle w:val="BodyText2"/>
        <w:pBdr>
          <w:bottom w:val="none" w:sz="0" w:space="0" w:color="auto"/>
        </w:pBdr>
        <w:rPr>
          <w:rFonts w:ascii="Times New Roman" w:hAnsi="Times New Roman" w:cs="Times New Roman"/>
          <w:szCs w:val="24"/>
        </w:rPr>
      </w:pPr>
    </w:p>
    <w:p w:rsidR="00A40E0F" w:rsidRPr="00007B43" w:rsidP="00007B43">
      <w:pPr>
        <w:pStyle w:val="BodyText2"/>
        <w:pBdr>
          <w:bottom w:val="none" w:sz="0" w:space="0" w:color="auto"/>
        </w:pBdr>
        <w:ind w:firstLine="708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 xml:space="preserve">Zákon č. 179/1998 Z. z. o obchodovaní s vojenským materiálom a doplnení zákona č. 455/1991 Zb. o živnostenskom podnikaní (živnostenský zákon) v znení neskorších predpisov v znení zákona č. 26/2002 Z. z. , zákona č. 496/2002 Z. z., </w:t>
      </w:r>
      <w:r w:rsidR="00007B43">
        <w:rPr>
          <w:rFonts w:ascii="Times New Roman" w:hAnsi="Times New Roman" w:cs="Times New Roman"/>
          <w:szCs w:val="24"/>
        </w:rPr>
        <w:t xml:space="preserve">zákona č. </w:t>
      </w:r>
      <w:r w:rsidRPr="00007B43">
        <w:rPr>
          <w:rFonts w:ascii="Times New Roman" w:hAnsi="Times New Roman" w:cs="Times New Roman"/>
          <w:szCs w:val="24"/>
        </w:rPr>
        <w:t xml:space="preserve">215/2004 Z. z., </w:t>
      </w:r>
      <w:r w:rsidR="00007B43">
        <w:rPr>
          <w:rFonts w:ascii="Times New Roman" w:hAnsi="Times New Roman" w:cs="Times New Roman"/>
          <w:szCs w:val="24"/>
        </w:rPr>
        <w:t xml:space="preserve">zákona č. </w:t>
      </w:r>
      <w:r w:rsidRPr="00007B43">
        <w:rPr>
          <w:rFonts w:ascii="Times New Roman" w:hAnsi="Times New Roman" w:cs="Times New Roman"/>
          <w:szCs w:val="24"/>
        </w:rPr>
        <w:t>350/2004 Z. z.</w:t>
      </w:r>
      <w:r w:rsidRPr="00007B43" w:rsidR="001E5DA3">
        <w:rPr>
          <w:rFonts w:ascii="Times New Roman" w:hAnsi="Times New Roman" w:cs="Times New Roman"/>
          <w:szCs w:val="24"/>
        </w:rPr>
        <w:t xml:space="preserve"> a</w:t>
      </w:r>
      <w:r w:rsidR="00007B43">
        <w:rPr>
          <w:rFonts w:ascii="Times New Roman" w:hAnsi="Times New Roman" w:cs="Times New Roman"/>
          <w:szCs w:val="24"/>
        </w:rPr>
        <w:t> </w:t>
      </w:r>
      <w:r w:rsidRPr="00007B43" w:rsidR="001E5DA3">
        <w:rPr>
          <w:rFonts w:ascii="Times New Roman" w:hAnsi="Times New Roman" w:cs="Times New Roman"/>
          <w:szCs w:val="24"/>
        </w:rPr>
        <w:t>zákona</w:t>
      </w:r>
      <w:r w:rsidR="00007B43">
        <w:rPr>
          <w:rFonts w:ascii="Times New Roman" w:hAnsi="Times New Roman" w:cs="Times New Roman"/>
          <w:szCs w:val="24"/>
        </w:rPr>
        <w:t xml:space="preserve"> č.</w:t>
      </w:r>
      <w:r w:rsidRPr="00007B43" w:rsidR="001E5DA3">
        <w:rPr>
          <w:rFonts w:ascii="Times New Roman" w:hAnsi="Times New Roman" w:cs="Times New Roman"/>
          <w:szCs w:val="24"/>
        </w:rPr>
        <w:t xml:space="preserve"> 409/2004 Z. z. sa dopĺňa</w:t>
      </w:r>
      <w:r w:rsidRPr="00007B43">
        <w:rPr>
          <w:rFonts w:ascii="Times New Roman" w:hAnsi="Times New Roman" w:cs="Times New Roman"/>
          <w:szCs w:val="24"/>
        </w:rPr>
        <w:t xml:space="preserve"> takto:</w:t>
      </w:r>
    </w:p>
    <w:p w:rsidR="003E3BB0" w:rsidRPr="00007B43" w:rsidP="00E27D2E">
      <w:pPr>
        <w:pStyle w:val="BodyText2"/>
        <w:pBdr>
          <w:bottom w:val="none" w:sz="0" w:space="0" w:color="auto"/>
        </w:pBdr>
        <w:rPr>
          <w:rFonts w:ascii="Times New Roman" w:hAnsi="Times New Roman" w:cs="Times New Roman"/>
          <w:szCs w:val="24"/>
        </w:rPr>
      </w:pPr>
    </w:p>
    <w:p w:rsidR="00A40E0F">
      <w:pPr>
        <w:pStyle w:val="BodyText2"/>
        <w:pBdr>
          <w:bottom w:val="none" w:sz="0" w:space="0" w:color="auto"/>
        </w:pBdr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§ 23 sa dopĺňa odsekmi 8 a 9, ktoré znejú:</w:t>
      </w:r>
    </w:p>
    <w:p w:rsidR="003E3BB0" w:rsidRPr="00007B43">
      <w:pPr>
        <w:pStyle w:val="BodyText2"/>
        <w:pBdr>
          <w:bottom w:val="none" w:sz="0" w:space="0" w:color="auto"/>
        </w:pBdr>
        <w:rPr>
          <w:rFonts w:ascii="Times New Roman" w:hAnsi="Times New Roman" w:cs="Times New Roman"/>
          <w:szCs w:val="24"/>
        </w:rPr>
      </w:pPr>
    </w:p>
    <w:p w:rsidR="00971C58" w:rsidRPr="00007B43">
      <w:pPr>
        <w:pStyle w:val="BodyText2"/>
        <w:pBdr>
          <w:bottom w:val="none" w:sz="0" w:space="0" w:color="auto"/>
        </w:pBdr>
        <w:rPr>
          <w:rFonts w:ascii="Times New Roman" w:hAnsi="Times New Roman" w:cs="Times New Roman"/>
          <w:szCs w:val="24"/>
        </w:rPr>
      </w:pPr>
      <w:r w:rsidRPr="00007B43" w:rsidR="00A40E0F">
        <w:rPr>
          <w:rFonts w:ascii="Times New Roman" w:hAnsi="Times New Roman" w:cs="Times New Roman"/>
          <w:szCs w:val="24"/>
        </w:rPr>
        <w:t>„(8)  Ministerstvo hospodárstva každoročne vypracúva súhrnnú výročnú s</w:t>
      </w:r>
      <w:r w:rsidRPr="00007B43" w:rsidR="00A40E0F">
        <w:rPr>
          <w:rFonts w:ascii="Times New Roman" w:hAnsi="Times New Roman" w:cs="Times New Roman"/>
          <w:szCs w:val="24"/>
        </w:rPr>
        <w:t>právu   o obchode s vojenským materiálom, ktorú predkladá</w:t>
      </w:r>
      <w:r w:rsidRPr="00007B43" w:rsidR="001E5DA3">
        <w:rPr>
          <w:rFonts w:ascii="Times New Roman" w:hAnsi="Times New Roman" w:cs="Times New Roman"/>
          <w:szCs w:val="24"/>
        </w:rPr>
        <w:t xml:space="preserve"> Národnej rade Slovenskej republiky</w:t>
      </w:r>
      <w:r w:rsidRPr="00007B43" w:rsidR="00A40E0F">
        <w:rPr>
          <w:rFonts w:ascii="Times New Roman" w:hAnsi="Times New Roman" w:cs="Times New Roman"/>
          <w:szCs w:val="24"/>
        </w:rPr>
        <w:t>. Súhrnná výročná správa za predchádzajúci k</w:t>
      </w:r>
      <w:r w:rsidRPr="00007B43" w:rsidR="001E5DA3">
        <w:rPr>
          <w:rFonts w:ascii="Times New Roman" w:hAnsi="Times New Roman" w:cs="Times New Roman"/>
          <w:szCs w:val="24"/>
        </w:rPr>
        <w:t>alendárny rok sa predkladá do 30</w:t>
      </w:r>
      <w:r w:rsidRPr="00007B43" w:rsidR="00A40E0F">
        <w:rPr>
          <w:rFonts w:ascii="Times New Roman" w:hAnsi="Times New Roman" w:cs="Times New Roman"/>
          <w:szCs w:val="24"/>
        </w:rPr>
        <w:t>. apríla nasledujúceho roku. Súhrnná výročná správa  o obchode s vojenským materiálom má</w:t>
      </w:r>
      <w:r w:rsidRPr="00007B43" w:rsidR="00A40E0F">
        <w:rPr>
          <w:rFonts w:ascii="Times New Roman" w:hAnsi="Times New Roman" w:cs="Times New Roman"/>
          <w:szCs w:val="24"/>
        </w:rPr>
        <w:t xml:space="preserve"> utajený charakter a jej obsahom sú:</w:t>
      </w:r>
    </w:p>
    <w:p w:rsidR="00A40E0F" w:rsidRPr="00007B43">
      <w:pPr>
        <w:pStyle w:val="BodyText2"/>
        <w:numPr>
          <w:ilvl w:val="0"/>
          <w:numId w:val="4"/>
        </w:numPr>
        <w:pBdr>
          <w:bottom w:val="none" w:sz="0" w:space="0" w:color="auto"/>
        </w:pBdr>
        <w:tabs>
          <w:tab w:val="left" w:pos="513"/>
          <w:tab w:val="left" w:pos="993"/>
        </w:tabs>
        <w:spacing w:before="120"/>
        <w:ind w:left="993" w:hanging="426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analýza platnej legislatívy upravujúcej problematiku vývozu, dovozu a reexportu vojenského materiálu,</w:t>
      </w:r>
    </w:p>
    <w:p w:rsidR="00A40E0F" w:rsidRPr="00007B43">
      <w:pPr>
        <w:pStyle w:val="BodyText2"/>
        <w:numPr>
          <w:ilvl w:val="0"/>
          <w:numId w:val="4"/>
        </w:numPr>
        <w:pBdr>
          <w:bottom w:val="none" w:sz="0" w:space="0" w:color="auto"/>
        </w:pBdr>
        <w:tabs>
          <w:tab w:val="left" w:pos="513"/>
          <w:tab w:val="left" w:pos="993"/>
        </w:tabs>
        <w:spacing w:before="120"/>
        <w:ind w:left="993" w:hanging="426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vývoj vývozu, dovozu a reexportu za uplynulý kalendárny rok, porovnanie s predošlými rokmi,</w:t>
      </w:r>
    </w:p>
    <w:p w:rsidR="00A40E0F" w:rsidRPr="00007B43">
      <w:pPr>
        <w:pStyle w:val="BodyText2"/>
        <w:numPr>
          <w:ilvl w:val="0"/>
          <w:numId w:val="4"/>
        </w:numPr>
        <w:pBdr>
          <w:bottom w:val="none" w:sz="0" w:space="0" w:color="auto"/>
        </w:pBdr>
        <w:tabs>
          <w:tab w:val="left" w:pos="513"/>
          <w:tab w:val="left" w:pos="993"/>
        </w:tabs>
        <w:spacing w:before="120"/>
        <w:ind w:left="993" w:hanging="426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zoznam povolení na obchodovanie s vojenským materiálom, udelených za príslušný kalendárny rok,</w:t>
      </w:r>
    </w:p>
    <w:p w:rsidR="00A40E0F" w:rsidRPr="00007B43">
      <w:pPr>
        <w:pStyle w:val="BodyText2"/>
        <w:numPr>
          <w:ilvl w:val="0"/>
          <w:numId w:val="4"/>
        </w:numPr>
        <w:pBdr>
          <w:bottom w:val="none" w:sz="0" w:space="0" w:color="auto"/>
        </w:pBdr>
        <w:tabs>
          <w:tab w:val="left" w:pos="513"/>
          <w:tab w:val="left" w:pos="993"/>
        </w:tabs>
        <w:spacing w:before="120"/>
        <w:ind w:left="993" w:hanging="426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vybrané informácie o udelených vývozných licenciách (druh vojenského materiálu, počet, celková cena vyvezeného  a dovezeného vojenského materiálu, identifikácia krajiny určenia a konečného užívateľa vojenského materiálu),</w:t>
      </w:r>
    </w:p>
    <w:p w:rsidR="00A40E0F" w:rsidRPr="00007B43">
      <w:pPr>
        <w:pStyle w:val="BodyText2"/>
        <w:numPr>
          <w:ilvl w:val="0"/>
          <w:numId w:val="4"/>
        </w:numPr>
        <w:pBdr>
          <w:bottom w:val="none" w:sz="0" w:space="0" w:color="auto"/>
        </w:pBdr>
        <w:tabs>
          <w:tab w:val="left" w:pos="513"/>
          <w:tab w:val="left" w:pos="993"/>
        </w:tabs>
        <w:spacing w:before="120"/>
        <w:ind w:left="993" w:hanging="426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 xml:space="preserve">zoznam zamietnutých žiadostí o udelenie licencií na vývoz vojenského materiálu  v členení podľa kritérií, stanovených § 11, </w:t>
      </w:r>
    </w:p>
    <w:p w:rsidR="00A40E0F" w:rsidRPr="00007B43" w:rsidP="00E27D2E">
      <w:pPr>
        <w:pStyle w:val="BodyText2"/>
        <w:numPr>
          <w:ilvl w:val="0"/>
          <w:numId w:val="4"/>
        </w:numPr>
        <w:pBdr>
          <w:bottom w:val="none" w:sz="0" w:space="0" w:color="auto"/>
        </w:pBdr>
        <w:tabs>
          <w:tab w:val="left" w:pos="513"/>
          <w:tab w:val="left" w:pos="993"/>
        </w:tabs>
        <w:spacing w:before="120"/>
        <w:ind w:left="993" w:hanging="426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 xml:space="preserve">zoznam zamietnutých žiadostí o udelenie licencií na vývoz vojenského materiálu  v členení podľa kritérií stanovených § 19, vrátane informácií o konečnom užívateľovi, krajiny určenia, druhu, počte a celkovej cene vojenského materiálu.   </w:t>
      </w:r>
    </w:p>
    <w:p w:rsidR="00A40E0F" w:rsidRPr="00007B43">
      <w:pPr>
        <w:pStyle w:val="BodyText2"/>
        <w:pBdr>
          <w:bottom w:val="none" w:sz="0" w:space="0" w:color="auto"/>
        </w:pBdr>
        <w:tabs>
          <w:tab w:val="left" w:pos="0"/>
        </w:tabs>
        <w:spacing w:before="120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(9)   Ministerstvo hospodárstva každoročne vypracúva výročnú správu o obchode s vojenským materiálom, ktorú zve</w:t>
      </w:r>
      <w:r w:rsidRPr="00007B43" w:rsidR="001E5DA3">
        <w:rPr>
          <w:rFonts w:ascii="Times New Roman" w:hAnsi="Times New Roman" w:cs="Times New Roman"/>
          <w:szCs w:val="24"/>
        </w:rPr>
        <w:t>rejňuje na svojej internetovej stránke do 30</w:t>
      </w:r>
      <w:r w:rsidRPr="00007B43">
        <w:rPr>
          <w:rFonts w:ascii="Times New Roman" w:hAnsi="Times New Roman" w:cs="Times New Roman"/>
          <w:szCs w:val="24"/>
        </w:rPr>
        <w:t>. apríla nasledujúceho roku.  Obsahom výročnej správy   o obchode s vojenským materiálom sú:</w:t>
      </w:r>
    </w:p>
    <w:p w:rsidR="00A40E0F" w:rsidRPr="00007B43">
      <w:pPr>
        <w:pStyle w:val="BodyText2"/>
        <w:numPr>
          <w:ilvl w:val="0"/>
          <w:numId w:val="5"/>
        </w:numPr>
        <w:pBdr>
          <w:bottom w:val="none" w:sz="0" w:space="0" w:color="auto"/>
        </w:pBdr>
        <w:tabs>
          <w:tab w:val="clear" w:pos="786"/>
          <w:tab w:val="left" w:pos="993"/>
        </w:tabs>
        <w:spacing w:before="120"/>
        <w:ind w:left="992" w:hanging="425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analýza platnej legislatívy upravujúcej problematiku vývozu, dovozu a reexportu vojenského materiálu,</w:t>
      </w:r>
    </w:p>
    <w:p w:rsidR="00A40E0F" w:rsidRPr="00007B43">
      <w:pPr>
        <w:pStyle w:val="BodyText2"/>
        <w:numPr>
          <w:ilvl w:val="0"/>
          <w:numId w:val="5"/>
        </w:numPr>
        <w:pBdr>
          <w:bottom w:val="none" w:sz="0" w:space="0" w:color="auto"/>
        </w:pBdr>
        <w:tabs>
          <w:tab w:val="clear" w:pos="786"/>
          <w:tab w:val="left" w:pos="993"/>
        </w:tabs>
        <w:spacing w:before="120"/>
        <w:ind w:left="992" w:hanging="425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vývoj vývozu, dovozu a reexportu za uplynulý kalendárny rok, porovnanie s predošlými rokmi,</w:t>
      </w:r>
    </w:p>
    <w:p w:rsidR="00A40E0F" w:rsidRPr="00007B43">
      <w:pPr>
        <w:pStyle w:val="BodyText2"/>
        <w:numPr>
          <w:ilvl w:val="0"/>
          <w:numId w:val="5"/>
        </w:numPr>
        <w:pBdr>
          <w:bottom w:val="none" w:sz="0" w:space="0" w:color="auto"/>
        </w:pBdr>
        <w:tabs>
          <w:tab w:val="clear" w:pos="786"/>
          <w:tab w:val="left" w:pos="993"/>
        </w:tabs>
        <w:spacing w:before="120"/>
        <w:ind w:left="992" w:hanging="425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zoznam povolení na obchodovanie s vojenským materiálom, udelených za príslušný kalendárny rok,</w:t>
      </w:r>
    </w:p>
    <w:p w:rsidR="00A40E0F" w:rsidRPr="00007B43">
      <w:pPr>
        <w:pStyle w:val="BodyText2"/>
        <w:numPr>
          <w:ilvl w:val="0"/>
          <w:numId w:val="5"/>
        </w:numPr>
        <w:pBdr>
          <w:bottom w:val="none" w:sz="0" w:space="0" w:color="auto"/>
        </w:pBdr>
        <w:tabs>
          <w:tab w:val="clear" w:pos="786"/>
          <w:tab w:val="left" w:pos="993"/>
        </w:tabs>
        <w:spacing w:before="120"/>
        <w:ind w:left="992" w:hanging="425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 xml:space="preserve">kategórie vojenského materiálu, vyvezeného z územia Slovenskej republiky za príslušný kalendárny rok vrátane počtu kusov, </w:t>
      </w:r>
    </w:p>
    <w:p w:rsidR="00A40E0F" w:rsidRPr="00007B43">
      <w:pPr>
        <w:pStyle w:val="BodyText2"/>
        <w:numPr>
          <w:ilvl w:val="0"/>
          <w:numId w:val="5"/>
        </w:numPr>
        <w:pBdr>
          <w:bottom w:val="none" w:sz="0" w:space="0" w:color="auto"/>
        </w:pBdr>
        <w:tabs>
          <w:tab w:val="clear" w:pos="786"/>
          <w:tab w:val="left" w:pos="993"/>
        </w:tabs>
        <w:spacing w:before="120"/>
        <w:ind w:left="992" w:hanging="425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zoznam krajín určenia vývozu vojenského materiálu,</w:t>
      </w:r>
    </w:p>
    <w:p w:rsidR="00A40E0F" w:rsidRPr="00007B43">
      <w:pPr>
        <w:pStyle w:val="BodyText2"/>
        <w:numPr>
          <w:ilvl w:val="0"/>
          <w:numId w:val="5"/>
        </w:numPr>
        <w:pBdr>
          <w:bottom w:val="none" w:sz="0" w:space="0" w:color="auto"/>
        </w:pBdr>
        <w:tabs>
          <w:tab w:val="clear" w:pos="786"/>
          <w:tab w:val="left" w:pos="993"/>
        </w:tabs>
        <w:spacing w:before="120"/>
        <w:ind w:left="992" w:hanging="425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celková cena vyvezeného vojenského materiálu do jednotlivých krajín určenia,</w:t>
      </w:r>
    </w:p>
    <w:p w:rsidR="00A40E0F" w:rsidRPr="00007B43">
      <w:pPr>
        <w:pStyle w:val="BodyText2"/>
        <w:numPr>
          <w:ilvl w:val="0"/>
          <w:numId w:val="5"/>
        </w:numPr>
        <w:pBdr>
          <w:bottom w:val="none" w:sz="0" w:space="0" w:color="auto"/>
        </w:pBdr>
        <w:tabs>
          <w:tab w:val="clear" w:pos="786"/>
          <w:tab w:val="left" w:pos="993"/>
        </w:tabs>
        <w:spacing w:before="120"/>
        <w:ind w:left="992" w:hanging="425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počet zamietnutých žiadostí o udelenie povolení na obchodovanie s vojenským materiálom v členení podľa kritérií, stanovených v § 11,</w:t>
      </w:r>
    </w:p>
    <w:p w:rsidR="00971C58" w:rsidP="00E27D2E">
      <w:pPr>
        <w:pStyle w:val="BodyText2"/>
        <w:numPr>
          <w:ilvl w:val="0"/>
          <w:numId w:val="5"/>
        </w:numPr>
        <w:pBdr>
          <w:bottom w:val="none" w:sz="0" w:space="0" w:color="auto"/>
        </w:pBdr>
        <w:tabs>
          <w:tab w:val="clear" w:pos="786"/>
          <w:tab w:val="left" w:pos="993"/>
        </w:tabs>
        <w:spacing w:before="120"/>
        <w:ind w:left="992" w:hanging="425"/>
        <w:rPr>
          <w:rFonts w:ascii="Times New Roman" w:hAnsi="Times New Roman" w:cs="Times New Roman"/>
          <w:szCs w:val="24"/>
        </w:rPr>
      </w:pPr>
      <w:r w:rsidRPr="00007B43" w:rsidR="00A40E0F">
        <w:rPr>
          <w:rFonts w:ascii="Times New Roman" w:hAnsi="Times New Roman" w:cs="Times New Roman"/>
          <w:szCs w:val="24"/>
        </w:rPr>
        <w:t>počet zamietnutých žiadostí o udelenie licencie na vývoz vojenského materiálu v členení podľa kritérií stanovených v  § 19.“.</w:t>
      </w:r>
    </w:p>
    <w:p w:rsidR="00971C58" w:rsidRPr="00007B43">
      <w:pPr>
        <w:pStyle w:val="BodyText2"/>
        <w:pBdr>
          <w:bottom w:val="none" w:sz="0" w:space="0" w:color="auto"/>
        </w:pBdr>
        <w:spacing w:before="120"/>
        <w:rPr>
          <w:rFonts w:ascii="Times New Roman" w:hAnsi="Times New Roman" w:cs="Times New Roman"/>
          <w:szCs w:val="24"/>
        </w:rPr>
      </w:pPr>
    </w:p>
    <w:p w:rsidR="00971C58" w:rsidRPr="00007B43" w:rsidP="00E27D2E">
      <w:pPr>
        <w:pStyle w:val="BodyText2"/>
        <w:pBdr>
          <w:bottom w:val="none" w:sz="0" w:space="0" w:color="auto"/>
        </w:pBdr>
        <w:spacing w:before="120"/>
        <w:jc w:val="center"/>
        <w:rPr>
          <w:rFonts w:ascii="Times New Roman" w:hAnsi="Times New Roman" w:cs="Times New Roman"/>
          <w:szCs w:val="24"/>
        </w:rPr>
      </w:pPr>
      <w:r w:rsidRPr="00007B43" w:rsidR="00A40E0F">
        <w:rPr>
          <w:rFonts w:ascii="Times New Roman" w:hAnsi="Times New Roman" w:cs="Times New Roman"/>
          <w:szCs w:val="24"/>
        </w:rPr>
        <w:t>Čl. II</w:t>
      </w:r>
    </w:p>
    <w:p w:rsidR="00007B43" w:rsidP="00E27D2E">
      <w:pPr>
        <w:pStyle w:val="BodyText2"/>
        <w:pBdr>
          <w:bottom w:val="none" w:sz="0" w:space="0" w:color="auto"/>
        </w:pBdr>
        <w:spacing w:before="120"/>
        <w:jc w:val="center"/>
        <w:rPr>
          <w:rFonts w:ascii="Times New Roman" w:hAnsi="Times New Roman" w:cs="Times New Roman"/>
          <w:szCs w:val="24"/>
        </w:rPr>
      </w:pPr>
      <w:r w:rsidRPr="00007B43" w:rsidR="00A40E0F">
        <w:rPr>
          <w:rFonts w:ascii="Times New Roman" w:hAnsi="Times New Roman" w:cs="Times New Roman"/>
          <w:szCs w:val="24"/>
        </w:rPr>
        <w:t>Tento zákon nadobúda účinnosť 1. augusta 2005</w:t>
      </w:r>
      <w:r w:rsidRPr="00007B43">
        <w:rPr>
          <w:rFonts w:ascii="Times New Roman" w:hAnsi="Times New Roman" w:cs="Times New Roman"/>
          <w:szCs w:val="24"/>
        </w:rPr>
        <w:t>.</w:t>
      </w:r>
    </w:p>
    <w:p w:rsidR="00971C58" w:rsidP="001E5DA3">
      <w:pPr>
        <w:pStyle w:val="BodyText2"/>
        <w:pBdr>
          <w:bottom w:val="none" w:sz="0" w:space="0" w:color="auto"/>
        </w:pBdr>
        <w:spacing w:before="120"/>
        <w:jc w:val="center"/>
        <w:rPr>
          <w:rFonts w:ascii="Times New Roman" w:hAnsi="Times New Roman" w:cs="Times New Roman"/>
          <w:szCs w:val="24"/>
        </w:rPr>
      </w:pPr>
    </w:p>
    <w:p w:rsidR="00971C58" w:rsidP="00E27D2E">
      <w:pPr>
        <w:pStyle w:val="BodyText2"/>
        <w:pBdr>
          <w:bottom w:val="none" w:sz="0" w:space="0" w:color="auto"/>
        </w:pBdr>
        <w:spacing w:before="120"/>
        <w:rPr>
          <w:rFonts w:ascii="Times New Roman" w:hAnsi="Times New Roman" w:cs="Times New Roman"/>
          <w:szCs w:val="24"/>
        </w:rPr>
      </w:pPr>
    </w:p>
    <w:p w:rsidR="00971C58" w:rsidRPr="00007B43" w:rsidP="001E5DA3">
      <w:pPr>
        <w:pStyle w:val="BodyText2"/>
        <w:pBdr>
          <w:bottom w:val="none" w:sz="0" w:space="0" w:color="auto"/>
        </w:pBdr>
        <w:spacing w:before="120"/>
        <w:jc w:val="center"/>
        <w:rPr>
          <w:rFonts w:ascii="Times New Roman" w:hAnsi="Times New Roman" w:cs="Times New Roman"/>
          <w:szCs w:val="24"/>
        </w:rPr>
      </w:pPr>
    </w:p>
    <w:p w:rsidR="00007B43" w:rsidRPr="00007B43" w:rsidP="001E5DA3">
      <w:pPr>
        <w:pStyle w:val="BodyText2"/>
        <w:pBdr>
          <w:bottom w:val="none" w:sz="0" w:space="0" w:color="auto"/>
        </w:pBdr>
        <w:spacing w:before="120"/>
        <w:jc w:val="center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prezident Slovenskej republiky</w:t>
      </w:r>
    </w:p>
    <w:p w:rsidR="00007B43" w:rsidRPr="00007B43" w:rsidP="001E5DA3">
      <w:pPr>
        <w:pStyle w:val="BodyText2"/>
        <w:pBdr>
          <w:bottom w:val="none" w:sz="0" w:space="0" w:color="auto"/>
        </w:pBdr>
        <w:spacing w:before="120"/>
        <w:jc w:val="center"/>
        <w:rPr>
          <w:rFonts w:ascii="Times New Roman" w:hAnsi="Times New Roman" w:cs="Times New Roman"/>
          <w:szCs w:val="24"/>
        </w:rPr>
      </w:pPr>
    </w:p>
    <w:p w:rsidR="00007B43" w:rsidRPr="00007B43" w:rsidP="001E5DA3">
      <w:pPr>
        <w:pStyle w:val="BodyText2"/>
        <w:pBdr>
          <w:bottom w:val="none" w:sz="0" w:space="0" w:color="auto"/>
        </w:pBdr>
        <w:spacing w:before="120"/>
        <w:jc w:val="center"/>
        <w:rPr>
          <w:rFonts w:ascii="Times New Roman" w:hAnsi="Times New Roman" w:cs="Times New Roman"/>
          <w:szCs w:val="24"/>
        </w:rPr>
      </w:pPr>
    </w:p>
    <w:p w:rsidR="00971C58" w:rsidRPr="00007B43" w:rsidP="00E27D2E">
      <w:pPr>
        <w:pStyle w:val="BodyText2"/>
        <w:pBdr>
          <w:bottom w:val="none" w:sz="0" w:space="0" w:color="auto"/>
        </w:pBdr>
        <w:spacing w:before="120"/>
        <w:rPr>
          <w:rFonts w:ascii="Times New Roman" w:hAnsi="Times New Roman" w:cs="Times New Roman"/>
          <w:szCs w:val="24"/>
        </w:rPr>
      </w:pPr>
    </w:p>
    <w:p w:rsidR="00007B43" w:rsidRPr="00007B43" w:rsidP="001E5DA3">
      <w:pPr>
        <w:pStyle w:val="BodyText2"/>
        <w:pBdr>
          <w:bottom w:val="none" w:sz="0" w:space="0" w:color="auto"/>
        </w:pBdr>
        <w:spacing w:before="120"/>
        <w:jc w:val="center"/>
        <w:rPr>
          <w:rFonts w:ascii="Times New Roman" w:hAnsi="Times New Roman" w:cs="Times New Roman"/>
          <w:szCs w:val="24"/>
        </w:rPr>
      </w:pPr>
      <w:r w:rsidRPr="00007B43">
        <w:rPr>
          <w:rFonts w:ascii="Times New Roman" w:hAnsi="Times New Roman" w:cs="Times New Roman"/>
          <w:szCs w:val="24"/>
        </w:rPr>
        <w:t>predseda Národnej rady Slovenskej republiky</w:t>
      </w:r>
    </w:p>
    <w:p w:rsidR="00971C58" w:rsidP="00E27D2E">
      <w:pPr>
        <w:pStyle w:val="BodyText2"/>
        <w:pBdr>
          <w:bottom w:val="none" w:sz="0" w:space="0" w:color="auto"/>
        </w:pBdr>
        <w:spacing w:before="120"/>
        <w:rPr>
          <w:rFonts w:ascii="Times New Roman" w:hAnsi="Times New Roman" w:cs="Times New Roman"/>
          <w:szCs w:val="24"/>
        </w:rPr>
      </w:pPr>
    </w:p>
    <w:p w:rsidR="00971C58" w:rsidP="001E5DA3">
      <w:pPr>
        <w:pStyle w:val="BodyText2"/>
        <w:pBdr>
          <w:bottom w:val="none" w:sz="0" w:space="0" w:color="auto"/>
        </w:pBdr>
        <w:spacing w:before="120"/>
        <w:jc w:val="center"/>
        <w:rPr>
          <w:rFonts w:ascii="Times New Roman" w:hAnsi="Times New Roman" w:cs="Times New Roman"/>
          <w:szCs w:val="24"/>
        </w:rPr>
      </w:pPr>
    </w:p>
    <w:p w:rsidR="00E27D2E" w:rsidRPr="00007B43" w:rsidP="001E5DA3">
      <w:pPr>
        <w:pStyle w:val="BodyText2"/>
        <w:pBdr>
          <w:bottom w:val="none" w:sz="0" w:space="0" w:color="auto"/>
        </w:pBdr>
        <w:spacing w:before="120"/>
        <w:jc w:val="center"/>
        <w:rPr>
          <w:rFonts w:ascii="Times New Roman" w:hAnsi="Times New Roman" w:cs="Times New Roman"/>
          <w:szCs w:val="24"/>
        </w:rPr>
      </w:pPr>
    </w:p>
    <w:p w:rsidR="00A40E0F" w:rsidRPr="00007B43" w:rsidP="00E27D2E">
      <w:pPr>
        <w:pStyle w:val="BodyText2"/>
        <w:pBdr>
          <w:bottom w:val="none" w:sz="0" w:space="0" w:color="auto"/>
        </w:pBdr>
        <w:spacing w:before="120"/>
        <w:jc w:val="center"/>
        <w:rPr>
          <w:rFonts w:ascii="Times New Roman" w:hAnsi="Times New Roman" w:cs="Times New Roman"/>
          <w:szCs w:val="24"/>
        </w:rPr>
      </w:pPr>
      <w:r w:rsidRPr="00007B43" w:rsidR="00007B43">
        <w:rPr>
          <w:rFonts w:ascii="Times New Roman" w:hAnsi="Times New Roman" w:cs="Times New Roman"/>
          <w:szCs w:val="24"/>
        </w:rPr>
        <w:t>predseda vlády Slovenskej republiky</w:t>
      </w:r>
    </w:p>
    <w:p w:rsidR="00A40E0F" w:rsidRPr="00007B43">
      <w:pPr>
        <w:pStyle w:val="BodyText2"/>
        <w:pBdr>
          <w:bottom w:val="none" w:sz="0" w:space="0" w:color="auto"/>
        </w:pBdr>
        <w:spacing w:before="120"/>
        <w:rPr>
          <w:rFonts w:ascii="Times New Roman" w:hAnsi="Times New Roman" w:cs="Times New Roman"/>
          <w:szCs w:val="24"/>
        </w:rPr>
      </w:pPr>
    </w:p>
    <w:sectPr>
      <w:footerReference w:type="even" r:id="rId4"/>
      <w:footerReference w:type="default" r:id="rId5"/>
      <w:pgSz w:w="11906" w:h="16838"/>
      <w:pgMar w:top="1702" w:right="1417" w:bottom="1417" w:left="1417" w:header="708" w:footer="708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17D" w:rsidP="00971C58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08717D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17D" w:rsidP="00971C58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653B4D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08717D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5709"/>
    <w:multiLevelType w:val="hybridMultilevel"/>
    <w:tmpl w:val="C966F06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1">
    <w:nsid w:val="1F8C7A44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5031ADD"/>
    <w:multiLevelType w:val="hybridMultilevel"/>
    <w:tmpl w:val="7D106D46"/>
    <w:lvl w:ilvl="0">
      <w:start w:val="1"/>
      <w:numFmt w:val="lowerLetter"/>
      <w:lvlText w:val="%1)"/>
      <w:lvlJc w:val="left"/>
      <w:pPr>
        <w:tabs>
          <w:tab w:val="num" w:pos="513"/>
        </w:tabs>
        <w:ind w:left="513" w:hanging="360"/>
      </w:pPr>
    </w:lvl>
    <w:lvl w:ilvl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3">
    <w:nsid w:val="29CD635C"/>
    <w:multiLevelType w:val="multilevel"/>
    <w:tmpl w:val="37448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EE041D"/>
    <w:multiLevelType w:val="hybridMultilevel"/>
    <w:tmpl w:val="52EED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04141D"/>
    <w:multiLevelType w:val="hybridMultilevel"/>
    <w:tmpl w:val="F5127CA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hyphenationZone w:val="425"/>
  <w:displayHorizont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7B43"/>
    <w:rsid w:val="0008717D"/>
    <w:rsid w:val="001E5DA3"/>
    <w:rsid w:val="003E3BB0"/>
    <w:rsid w:val="00653B4D"/>
    <w:rsid w:val="00971C58"/>
    <w:rsid w:val="00A40E0F"/>
    <w:rsid w:val="00D92910"/>
    <w:rsid w:val="00E27D2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pPr>
      <w:keepNext/>
      <w:pBdr>
        <w:bottom w:val="single" w:sz="12" w:space="1" w:color="auto"/>
      </w:pBdr>
      <w:jc w:val="left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 w:cs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pBdr>
        <w:bottom w:val="single" w:sz="12" w:space="1" w:color="auto"/>
      </w:pBdr>
      <w:jc w:val="center"/>
    </w:pPr>
    <w:rPr>
      <w:sz w:val="24"/>
    </w:rPr>
  </w:style>
  <w:style w:type="paragraph" w:styleId="BodyText2">
    <w:name w:val="Body Text 2"/>
    <w:basedOn w:val="Normal"/>
    <w:pPr>
      <w:pBdr>
        <w:bottom w:val="single" w:sz="12" w:space="1" w:color="auto"/>
      </w:pBdr>
      <w:jc w:val="both"/>
    </w:pPr>
    <w:rPr>
      <w:sz w:val="24"/>
    </w:rPr>
  </w:style>
  <w:style w:type="paragraph" w:styleId="BodyTextIndent">
    <w:name w:val="Body Text Indent"/>
    <w:basedOn w:val="Normal"/>
    <w:pPr>
      <w:ind w:left="5245" w:hanging="5245"/>
      <w:jc w:val="both"/>
    </w:pPr>
    <w:rPr>
      <w:sz w:val="28"/>
    </w:rPr>
  </w:style>
  <w:style w:type="paragraph" w:styleId="BodyText3">
    <w:name w:val="Body Text 3"/>
    <w:basedOn w:val="Normal"/>
    <w:pPr>
      <w:jc w:val="left"/>
    </w:pPr>
    <w:rPr>
      <w:rFonts w:ascii="Arial" w:hAnsi="Arial" w:cs="Arial"/>
      <w:sz w:val="24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</w:style>
  <w:style w:type="paragraph" w:styleId="Title">
    <w:name w:val="Title"/>
    <w:basedOn w:val="Normal"/>
    <w:qFormat/>
    <w:pPr>
      <w:jc w:val="center"/>
    </w:pPr>
    <w:rPr>
      <w:b/>
      <w:smallCaps/>
      <w:noProof/>
      <w:sz w:val="28"/>
      <w:lang w:val="en-US"/>
    </w:rPr>
  </w:style>
  <w:style w:type="paragraph" w:styleId="FootnoteText">
    <w:name w:val="footnote text"/>
    <w:basedOn w:val="Normal"/>
    <w:semiHidden/>
    <w:pPr>
      <w:jc w:val="left"/>
    </w:pPr>
    <w:rPr>
      <w:lang w:val="cs-CZ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odyTextIndent2">
    <w:name w:val="Body Text Indent 2"/>
    <w:basedOn w:val="Normal"/>
    <w:pPr>
      <w:spacing w:before="120" w:after="120" w:line="360" w:lineRule="auto"/>
      <w:ind w:firstLine="720"/>
      <w:jc w:val="both"/>
    </w:pPr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72</TotalTime>
  <Pages>1</Pages>
  <Words>471</Words>
  <Characters>2686</Characters>
  <Application>Microsoft Office Word</Application>
  <DocSecurity>0</DocSecurity>
  <Lines>0</Lines>
  <Paragraphs>0</Paragraphs>
  <ScaleCrop>false</ScaleCrop>
  <Company>MV SR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  S L O V E N S K E J     R E P U B L I K Y</dc:title>
  <dc:creator>Siko</dc:creator>
  <cp:lastModifiedBy>Administrator</cp:lastModifiedBy>
  <cp:revision>7</cp:revision>
  <cp:lastPrinted>2005-06-27T06:34:00Z</cp:lastPrinted>
  <dcterms:created xsi:type="dcterms:W3CDTF">2005-06-23T14:05:00Z</dcterms:created>
  <dcterms:modified xsi:type="dcterms:W3CDTF">2005-06-27T07:33:00Z</dcterms:modified>
</cp:coreProperties>
</file>