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00D">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C12265">
      <w:pPr>
        <w:jc w:val="center"/>
        <w:rPr>
          <w:rFonts w:ascii="Times New Roman" w:hAnsi="Times New Roman" w:cs="Times New Roman"/>
          <w:b/>
          <w:bCs/>
          <w:szCs w:val="28"/>
        </w:rPr>
      </w:pPr>
    </w:p>
    <w:p w:rsidR="0040000D">
      <w:pPr>
        <w:jc w:val="center"/>
        <w:rPr>
          <w:rFonts w:ascii="Times New Roman" w:hAnsi="Times New Roman" w:cs="Times New Roman"/>
          <w:b/>
          <w:bCs/>
          <w:szCs w:val="28"/>
        </w:rPr>
      </w:pPr>
      <w:r>
        <w:rPr>
          <w:rFonts w:ascii="Times New Roman" w:hAnsi="Times New Roman" w:cs="Times New Roman"/>
          <w:b/>
          <w:bCs/>
          <w:szCs w:val="28"/>
        </w:rPr>
        <w:t>z</w:t>
      </w:r>
      <w:r w:rsidR="00C12265">
        <w:rPr>
          <w:rFonts w:ascii="Times New Roman" w:hAnsi="Times New Roman" w:cs="Times New Roman"/>
          <w:b/>
          <w:bCs/>
          <w:szCs w:val="28"/>
        </w:rPr>
        <w:t> 9. februára</w:t>
      </w:r>
      <w:r>
        <w:rPr>
          <w:rFonts w:ascii="Times New Roman" w:hAnsi="Times New Roman" w:cs="Times New Roman"/>
          <w:b/>
          <w:bCs/>
          <w:szCs w:val="28"/>
        </w:rPr>
        <w:t xml:space="preserve"> 200</w:t>
      </w:r>
      <w:r w:rsidR="00C12265">
        <w:rPr>
          <w:rFonts w:ascii="Times New Roman" w:hAnsi="Times New Roman" w:cs="Times New Roman"/>
          <w:b/>
          <w:bCs/>
          <w:szCs w:val="28"/>
        </w:rPr>
        <w:t>5</w:t>
      </w:r>
      <w:r>
        <w:rPr>
          <w:rFonts w:ascii="Times New Roman" w:hAnsi="Times New Roman" w:cs="Times New Roman"/>
          <w:b/>
          <w:bCs/>
          <w:szCs w:val="28"/>
        </w:rPr>
        <w:t>,</w:t>
      </w:r>
    </w:p>
    <w:p w:rsidR="0040000D">
      <w:pPr>
        <w:jc w:val="center"/>
        <w:rPr>
          <w:rFonts w:ascii="Times New Roman" w:hAnsi="Times New Roman" w:cs="Times New Roman"/>
          <w:szCs w:val="28"/>
        </w:rPr>
      </w:pPr>
    </w:p>
    <w:p w:rsidR="0040000D">
      <w:pPr>
        <w:jc w:val="center"/>
        <w:rPr>
          <w:rFonts w:ascii="Times New Roman" w:hAnsi="Times New Roman" w:cs="Times New Roman"/>
          <w:b/>
          <w:szCs w:val="28"/>
        </w:rPr>
      </w:pPr>
      <w:r>
        <w:rPr>
          <w:rFonts w:ascii="Times New Roman" w:hAnsi="Times New Roman" w:cs="Times New Roman"/>
          <w:b/>
          <w:szCs w:val="28"/>
        </w:rPr>
        <w:t xml:space="preserve">ktorým sa mení a dopĺňa zákon č. </w:t>
      </w:r>
      <w:r>
        <w:rPr>
          <w:rFonts w:ascii="Times New Roman" w:hAnsi="Times New Roman" w:cs="Times New Roman"/>
          <w:b/>
          <w:bCs/>
          <w:color w:val="000000"/>
          <w:szCs w:val="28"/>
        </w:rPr>
        <w:t>381/2001 Z. z.</w:t>
      </w:r>
      <w:r>
        <w:rPr>
          <w:rFonts w:ascii="Times New Roman" w:hAnsi="Times New Roman" w:cs="Times New Roman"/>
          <w:b/>
          <w:szCs w:val="28"/>
        </w:rPr>
        <w:t xml:space="preserve"> o povinnom zmluvnom poistení zodpovednosti za škodu spôsobenú prevádzkou motorového vozidla a o zmene a doplnení niektorých zákonov v znení neskorších predpisov a ktorým sa mení zákon Národnej rady Slovenskej republiky č. 315/1996 Z. z.  o premávke na pozemných komunikáciách  v znení neskorších predpisov</w:t>
      </w:r>
    </w:p>
    <w:p w:rsidR="0040000D">
      <w:pPr>
        <w:jc w:val="both"/>
        <w:rPr>
          <w:rFonts w:ascii="Times New Roman" w:hAnsi="Times New Roman" w:cs="Times New Roman"/>
          <w:b/>
          <w:szCs w:val="28"/>
        </w:rPr>
      </w:pPr>
    </w:p>
    <w:p w:rsidR="00C12265">
      <w:pPr>
        <w:jc w:val="both"/>
        <w:rPr>
          <w:rFonts w:ascii="Times New Roman" w:hAnsi="Times New Roman" w:cs="Times New Roman"/>
          <w:b/>
          <w:szCs w:val="28"/>
        </w:rPr>
      </w:pPr>
    </w:p>
    <w:p w:rsidR="0040000D">
      <w:pPr>
        <w:pStyle w:val="BodyText"/>
        <w:ind w:firstLine="708"/>
        <w:rPr>
          <w:rFonts w:ascii="Times New Roman" w:hAnsi="Times New Roman" w:cs="Times New Roman"/>
          <w:bCs/>
          <w:szCs w:val="28"/>
          <w:lang w:val="sk-SK"/>
        </w:rPr>
      </w:pPr>
      <w:r>
        <w:rPr>
          <w:rFonts w:ascii="Times New Roman" w:hAnsi="Times New Roman" w:cs="Times New Roman"/>
          <w:bCs/>
          <w:szCs w:val="28"/>
          <w:lang w:val="sk-SK"/>
        </w:rPr>
        <w:t>Národná rada Slovenskej republiky sa uzniesla na tomto zákone:</w:t>
      </w:r>
    </w:p>
    <w:p w:rsidR="0040000D">
      <w:pPr>
        <w:rPr>
          <w:rFonts w:ascii="Times New Roman" w:hAnsi="Times New Roman" w:cs="Times New Roman"/>
          <w:b/>
          <w:szCs w:val="28"/>
        </w:rPr>
      </w:pPr>
    </w:p>
    <w:p w:rsidR="00C12265">
      <w:pPr>
        <w:rPr>
          <w:rFonts w:ascii="Times New Roman" w:hAnsi="Times New Roman" w:cs="Times New Roman"/>
          <w:b/>
          <w:szCs w:val="28"/>
        </w:rPr>
      </w:pPr>
    </w:p>
    <w:p w:rsidR="0040000D">
      <w:pPr>
        <w:pStyle w:val="Heading3"/>
        <w:rPr>
          <w:rFonts w:ascii="Times New Roman" w:hAnsi="Times New Roman" w:cs="Times New Roman"/>
        </w:rPr>
      </w:pPr>
      <w:r>
        <w:rPr>
          <w:rFonts w:ascii="Times New Roman" w:hAnsi="Times New Roman" w:cs="Times New Roman"/>
        </w:rPr>
        <w:t>Čl. I</w:t>
      </w:r>
    </w:p>
    <w:p w:rsidR="0040000D">
      <w:pPr>
        <w:rPr>
          <w:rFonts w:ascii="Times New Roman" w:hAnsi="Times New Roman" w:cs="Times New Roman"/>
          <w:szCs w:val="28"/>
        </w:rPr>
      </w:pPr>
    </w:p>
    <w:p w:rsidR="0040000D">
      <w:pPr>
        <w:ind w:firstLine="708"/>
        <w:jc w:val="both"/>
        <w:rPr>
          <w:rFonts w:ascii="Times New Roman" w:hAnsi="Times New Roman" w:cs="Times New Roman"/>
          <w:color w:val="000000"/>
          <w:szCs w:val="28"/>
        </w:rPr>
      </w:pPr>
      <w:r>
        <w:rPr>
          <w:rFonts w:ascii="Times New Roman" w:hAnsi="Times New Roman" w:cs="Times New Roman"/>
          <w:color w:val="000000"/>
          <w:szCs w:val="28"/>
        </w:rPr>
        <w:t>Zákon č. 381/2001 Z. z. o povinnom zmluvnom poistení zodpovednosti za škodu spôsobenú prevádzkou motorového vozidla a o zmene a doplnení niektorých zákonov v znení zákona č. 95/2002 Z. z., zákona č. 99/2003 Z. z., zákona č. 430/2003 Z. z.</w:t>
      </w:r>
      <w:r w:rsidR="00C12265">
        <w:rPr>
          <w:rFonts w:ascii="Times New Roman" w:hAnsi="Times New Roman" w:cs="Times New Roman"/>
          <w:color w:val="000000"/>
          <w:szCs w:val="28"/>
        </w:rPr>
        <w:t>, zákona č. 595/2003 Z.z.,</w:t>
      </w:r>
      <w:r>
        <w:rPr>
          <w:rFonts w:ascii="Times New Roman" w:hAnsi="Times New Roman" w:cs="Times New Roman"/>
          <w:color w:val="000000"/>
          <w:szCs w:val="28"/>
        </w:rPr>
        <w:t> zákona č. 186/2004 Z. z.</w:t>
      </w:r>
      <w:r w:rsidR="00C12265">
        <w:rPr>
          <w:rFonts w:ascii="Times New Roman" w:hAnsi="Times New Roman" w:cs="Times New Roman"/>
          <w:color w:val="000000"/>
          <w:szCs w:val="28"/>
        </w:rPr>
        <w:t>, zákona č. 645/2004 Z.z. a zákona č. 747/2004 Z.z.</w:t>
      </w:r>
      <w:r>
        <w:rPr>
          <w:rFonts w:ascii="Times New Roman" w:hAnsi="Times New Roman" w:cs="Times New Roman"/>
          <w:color w:val="000000"/>
          <w:szCs w:val="28"/>
        </w:rPr>
        <w:t xml:space="preserve"> sa mení a dopĺňa takto:</w:t>
      </w:r>
    </w:p>
    <w:p w:rsidR="00B72ECD">
      <w:pPr>
        <w:ind w:firstLine="708"/>
        <w:jc w:val="both"/>
        <w:rPr>
          <w:rFonts w:ascii="Times New Roman" w:hAnsi="Times New Roman" w:cs="Times New Roman"/>
          <w:color w:val="000000"/>
          <w:szCs w:val="28"/>
        </w:rPr>
      </w:pPr>
    </w:p>
    <w:p w:rsidR="00B72ECD" w:rsidP="00B72ECD">
      <w:pPr>
        <w:rPr>
          <w:rFonts w:ascii="Times New Roman" w:hAnsi="Times New Roman" w:cs="Times New Roman"/>
          <w:bCs/>
          <w:szCs w:val="28"/>
        </w:rPr>
      </w:pPr>
      <w:r>
        <w:rPr>
          <w:rFonts w:ascii="Times New Roman" w:hAnsi="Times New Roman" w:cs="Times New Roman"/>
          <w:bCs/>
          <w:szCs w:val="28"/>
        </w:rPr>
        <w:t xml:space="preserve">1. V § 11 sa za odsek 8 vkladá nový odsek 9, ktorý  znie: </w:t>
      </w:r>
    </w:p>
    <w:p w:rsidR="00B72ECD" w:rsidP="00B72ECD">
      <w:pPr>
        <w:rPr>
          <w:rFonts w:ascii="Times New Roman" w:hAnsi="Times New Roman" w:cs="Times New Roman"/>
          <w:b/>
          <w:bCs/>
          <w:szCs w:val="28"/>
        </w:rPr>
      </w:pPr>
    </w:p>
    <w:p w:rsidR="00B72ECD" w:rsidP="00B72ECD">
      <w:pPr>
        <w:pStyle w:val="Fait"/>
        <w:spacing w:before="0"/>
        <w:rPr>
          <w:rFonts w:ascii="Times New Roman" w:hAnsi="Times New Roman" w:cs="Times New Roman"/>
          <w:iCs/>
          <w:szCs w:val="28"/>
          <w:lang w:val="sk-SK"/>
        </w:rPr>
      </w:pPr>
      <w:r>
        <w:rPr>
          <w:rFonts w:ascii="Times New Roman" w:hAnsi="Times New Roman" w:cs="Times New Roman"/>
          <w:iCs/>
          <w:szCs w:val="28"/>
          <w:lang w:val="sk-SK"/>
        </w:rPr>
        <w:t xml:space="preserve">       „(9) Ak nie je ohrozené trestné konanie podľa osobitného predpisu</w:t>
      </w:r>
      <w:r>
        <w:rPr>
          <w:rFonts w:ascii="Times New Roman" w:hAnsi="Times New Roman" w:cs="Times New Roman"/>
          <w:iCs/>
          <w:szCs w:val="28"/>
          <w:vertAlign w:val="superscript"/>
          <w:lang w:val="sk-SK"/>
        </w:rPr>
        <w:t>15b)</w:t>
      </w:r>
      <w:r>
        <w:rPr>
          <w:rFonts w:ascii="Times New Roman" w:hAnsi="Times New Roman" w:cs="Times New Roman"/>
          <w:iCs/>
          <w:szCs w:val="28"/>
          <w:lang w:val="sk-SK"/>
        </w:rPr>
        <w:t xml:space="preserve"> alebo prejednávanie priestupku, oznamuje orgán činný v trestnom konaní alebo orgán prejednávajúci priestupok poisťovateľovi alebo kancelárii na požiadanie údaje o dopravnej nehode v rozsahu podľa osobitného predpisu,</w:t>
      </w:r>
      <w:r>
        <w:rPr>
          <w:rFonts w:ascii="Times New Roman" w:hAnsi="Times New Roman" w:cs="Times New Roman"/>
          <w:iCs/>
          <w:szCs w:val="28"/>
          <w:vertAlign w:val="superscript"/>
          <w:lang w:val="sk-SK"/>
        </w:rPr>
        <w:t>15c)</w:t>
      </w:r>
      <w:r>
        <w:rPr>
          <w:rFonts w:ascii="Times New Roman" w:hAnsi="Times New Roman" w:cs="Times New Roman"/>
          <w:iCs/>
          <w:szCs w:val="28"/>
          <w:lang w:val="sk-SK"/>
        </w:rPr>
        <w:t xml:space="preserve"> alebo mu umožní nahliadať do spisu a vyhotovovať z neho výpisy vo veci týkajúcej sa škodovej</w:t>
      </w:r>
      <w:r>
        <w:rPr>
          <w:rFonts w:ascii="Times New Roman" w:hAnsi="Times New Roman" w:cs="Times New Roman"/>
          <w:iCs/>
          <w:szCs w:val="28"/>
          <w:lang w:val="sk-SK"/>
        </w:rPr>
        <w:t xml:space="preserve"> udalosti.“.</w:t>
      </w:r>
    </w:p>
    <w:p w:rsidR="00B72ECD" w:rsidP="00B72ECD">
      <w:pPr>
        <w:rPr>
          <w:rFonts w:ascii="Times New Roman" w:hAnsi="Times New Roman" w:cs="Times New Roman"/>
        </w:rPr>
      </w:pPr>
    </w:p>
    <w:p w:rsidR="00B72ECD" w:rsidP="00B72ECD">
      <w:pPr>
        <w:rPr>
          <w:rFonts w:ascii="Times New Roman" w:hAnsi="Times New Roman" w:cs="Times New Roman"/>
          <w:bCs/>
          <w:szCs w:val="28"/>
        </w:rPr>
      </w:pPr>
      <w:r>
        <w:rPr>
          <w:rFonts w:ascii="Times New Roman" w:hAnsi="Times New Roman" w:cs="Times New Roman"/>
          <w:bCs/>
          <w:szCs w:val="28"/>
        </w:rPr>
        <w:t xml:space="preserve">         Doterajšie odseky 9 a 10 sa označujú  ako odseky 10 a 11. </w:t>
      </w:r>
    </w:p>
    <w:p w:rsidR="00B72ECD" w:rsidP="00B72ECD">
      <w:pPr>
        <w:rPr>
          <w:rFonts w:ascii="Times New Roman" w:hAnsi="Times New Roman" w:cs="Times New Roman"/>
          <w:bCs/>
          <w:szCs w:val="28"/>
        </w:rPr>
      </w:pPr>
    </w:p>
    <w:p w:rsidR="00B72ECD" w:rsidP="00B72ECD">
      <w:pPr>
        <w:rPr>
          <w:rFonts w:ascii="Times New Roman" w:hAnsi="Times New Roman" w:cs="Times New Roman"/>
          <w:szCs w:val="28"/>
        </w:rPr>
      </w:pPr>
      <w:r>
        <w:rPr>
          <w:rFonts w:ascii="Times New Roman" w:hAnsi="Times New Roman" w:cs="Times New Roman"/>
          <w:szCs w:val="28"/>
        </w:rPr>
        <w:t xml:space="preserve">         Poznámky pod čiarou k odkazom 15b) a 15c) znejú:</w:t>
      </w:r>
    </w:p>
    <w:p w:rsidR="00B72ECD" w:rsidP="00B72ECD">
      <w:pPr>
        <w:rPr>
          <w:rFonts w:ascii="Times New Roman" w:hAnsi="Times New Roman" w:cs="Times New Roman"/>
          <w:szCs w:val="28"/>
        </w:rPr>
      </w:pPr>
    </w:p>
    <w:p w:rsidR="00B72ECD" w:rsidP="00B72ECD">
      <w:pPr>
        <w:rPr>
          <w:rFonts w:ascii="Times New Roman" w:hAnsi="Times New Roman" w:cs="Times New Roman"/>
          <w:szCs w:val="28"/>
        </w:rPr>
      </w:pPr>
      <w:r>
        <w:rPr>
          <w:rFonts w:ascii="Times New Roman" w:hAnsi="Times New Roman" w:cs="Times New Roman"/>
          <w:szCs w:val="28"/>
        </w:rPr>
        <w:t xml:space="preserve">         „15b)  Trestný poriadok.</w:t>
      </w:r>
    </w:p>
    <w:p w:rsidR="00B72ECD" w:rsidP="00B72ECD">
      <w:pPr>
        <w:pStyle w:val="BodyTextIndent"/>
        <w:rPr>
          <w:rFonts w:ascii="Times New Roman" w:hAnsi="Times New Roman" w:cs="Times New Roman"/>
          <w:szCs w:val="28"/>
        </w:rPr>
      </w:pPr>
      <w:r>
        <w:rPr>
          <w:rFonts w:ascii="Times New Roman" w:hAnsi="Times New Roman" w:cs="Times New Roman"/>
          <w:szCs w:val="28"/>
        </w:rPr>
        <w:t xml:space="preserve">15c) § 86 ods. 11 a 12 zákona Národnej rady Slovenskej republiky č. 315/1996 Z. </w:t>
      </w:r>
      <w:r>
        <w:rPr>
          <w:rFonts w:ascii="Times New Roman" w:hAnsi="Times New Roman" w:cs="Times New Roman"/>
          <w:szCs w:val="28"/>
        </w:rPr>
        <w:t>z.  o premávke na pozemných komunikáciách v znení neskorších predpisov.“.</w:t>
      </w:r>
    </w:p>
    <w:p w:rsidR="00B72ECD" w:rsidP="00B72ECD">
      <w:pPr>
        <w:rPr>
          <w:rFonts w:ascii="Times New Roman" w:hAnsi="Times New Roman" w:cs="Times New Roman"/>
          <w:szCs w:val="28"/>
        </w:rPr>
      </w:pPr>
    </w:p>
    <w:p w:rsidR="00C12265">
      <w:pPr>
        <w:rPr>
          <w:rFonts w:ascii="Times New Roman" w:hAnsi="Times New Roman" w:cs="Times New Roman"/>
          <w:szCs w:val="28"/>
        </w:rPr>
      </w:pPr>
      <w:r w:rsidR="00B72ECD">
        <w:rPr>
          <w:rFonts w:ascii="Times New Roman" w:hAnsi="Times New Roman" w:cs="Times New Roman"/>
          <w:szCs w:val="28"/>
        </w:rPr>
        <w:t>2</w:t>
      </w:r>
      <w:r>
        <w:rPr>
          <w:rFonts w:ascii="Times New Roman" w:hAnsi="Times New Roman" w:cs="Times New Roman"/>
          <w:szCs w:val="28"/>
        </w:rPr>
        <w:t xml:space="preserve">. V § 11 ods. </w:t>
      </w:r>
      <w:r w:rsidR="00B72ECD">
        <w:rPr>
          <w:rFonts w:ascii="Times New Roman" w:hAnsi="Times New Roman" w:cs="Times New Roman"/>
          <w:szCs w:val="28"/>
        </w:rPr>
        <w:t>10</w:t>
      </w:r>
      <w:r>
        <w:rPr>
          <w:rFonts w:ascii="Times New Roman" w:hAnsi="Times New Roman" w:cs="Times New Roman"/>
          <w:szCs w:val="28"/>
        </w:rPr>
        <w:t xml:space="preserve"> znie:</w:t>
      </w:r>
    </w:p>
    <w:p w:rsidR="00C12265" w:rsidP="00C12265">
      <w:pPr>
        <w:jc w:val="both"/>
        <w:rPr>
          <w:rFonts w:ascii="Times New Roman" w:hAnsi="Times New Roman" w:cs="Times New Roman"/>
          <w:szCs w:val="28"/>
        </w:rPr>
      </w:pPr>
      <w:r>
        <w:rPr>
          <w:rFonts w:ascii="Times New Roman" w:hAnsi="Times New Roman" w:cs="Times New Roman"/>
          <w:szCs w:val="28"/>
        </w:rPr>
        <w:t xml:space="preserve">    </w:t>
      </w:r>
    </w:p>
    <w:p w:rsidR="00C12265" w:rsidP="00C12265">
      <w:pPr>
        <w:jc w:val="both"/>
        <w:rPr>
          <w:rFonts w:ascii="Times New Roman" w:hAnsi="Times New Roman" w:cs="Times New Roman"/>
          <w:szCs w:val="28"/>
        </w:rPr>
      </w:pPr>
      <w:r>
        <w:rPr>
          <w:rFonts w:ascii="Times New Roman" w:hAnsi="Times New Roman" w:cs="Times New Roman"/>
          <w:szCs w:val="28"/>
        </w:rPr>
        <w:t xml:space="preserve">    „(</w:t>
      </w:r>
      <w:r w:rsidR="002C645D">
        <w:rPr>
          <w:rFonts w:ascii="Times New Roman" w:hAnsi="Times New Roman" w:cs="Times New Roman"/>
          <w:szCs w:val="28"/>
        </w:rPr>
        <w:t>10</w:t>
      </w:r>
      <w:r>
        <w:rPr>
          <w:rFonts w:ascii="Times New Roman" w:hAnsi="Times New Roman" w:cs="Times New Roman"/>
          <w:szCs w:val="28"/>
        </w:rPr>
        <w:t>) Ak zanikne poistenie zodpovednosti pred koncom poistného obdobia, za ktoré bolo alebo malo byť zaplatené poistné, má poisťovateľ nárok na pomernú časť poistného ku dňu, kedy poistenie zodpovednosti zaniklo. Zostávajúcu časť poistného je poisťovateľ povinný poistníkovi vrátiť, ak suma presiahne čiastku 50 Sk.</w:t>
      </w:r>
    </w:p>
    <w:p w:rsidR="00C12265">
      <w:pPr>
        <w:rPr>
          <w:rFonts w:ascii="Times New Roman" w:hAnsi="Times New Roman" w:cs="Times New Roman"/>
          <w:szCs w:val="28"/>
        </w:rPr>
      </w:pPr>
    </w:p>
    <w:p w:rsidR="00C12265">
      <w:pPr>
        <w:rPr>
          <w:rFonts w:ascii="Times New Roman" w:hAnsi="Times New Roman" w:cs="Times New Roman"/>
          <w:szCs w:val="28"/>
        </w:rPr>
      </w:pPr>
      <w:r>
        <w:rPr>
          <w:rFonts w:ascii="Times New Roman" w:hAnsi="Times New Roman" w:cs="Times New Roman"/>
          <w:szCs w:val="28"/>
        </w:rPr>
        <w:t>3. V § 11 sa dopĺňa odsek 1</w:t>
      </w:r>
      <w:r w:rsidR="00B72ECD">
        <w:rPr>
          <w:rFonts w:ascii="Times New Roman" w:hAnsi="Times New Roman" w:cs="Times New Roman"/>
          <w:szCs w:val="28"/>
        </w:rPr>
        <w:t>2</w:t>
      </w:r>
      <w:r>
        <w:rPr>
          <w:rFonts w:ascii="Times New Roman" w:hAnsi="Times New Roman" w:cs="Times New Roman"/>
          <w:szCs w:val="28"/>
        </w:rPr>
        <w:t>, ktorý znie:</w:t>
      </w:r>
    </w:p>
    <w:p w:rsidR="00C12265">
      <w:pPr>
        <w:rPr>
          <w:rFonts w:ascii="Times New Roman" w:hAnsi="Times New Roman" w:cs="Times New Roman"/>
          <w:szCs w:val="28"/>
        </w:rPr>
      </w:pPr>
      <w:r>
        <w:rPr>
          <w:rFonts w:ascii="Times New Roman" w:hAnsi="Times New Roman" w:cs="Times New Roman"/>
          <w:szCs w:val="28"/>
        </w:rPr>
        <w:t xml:space="preserve">    </w:t>
      </w:r>
    </w:p>
    <w:p w:rsidR="00C12265">
      <w:pPr>
        <w:rPr>
          <w:rFonts w:ascii="Times New Roman" w:hAnsi="Times New Roman" w:cs="Times New Roman"/>
          <w:szCs w:val="28"/>
        </w:rPr>
      </w:pPr>
      <w:r>
        <w:rPr>
          <w:rFonts w:ascii="Times New Roman" w:hAnsi="Times New Roman" w:cs="Times New Roman"/>
          <w:szCs w:val="28"/>
        </w:rPr>
        <w:t xml:space="preserve">    „(1</w:t>
      </w:r>
      <w:r w:rsidR="00B72ECD">
        <w:rPr>
          <w:rFonts w:ascii="Times New Roman" w:hAnsi="Times New Roman" w:cs="Times New Roman"/>
          <w:szCs w:val="28"/>
        </w:rPr>
        <w:t>2</w:t>
      </w:r>
      <w:r>
        <w:rPr>
          <w:rFonts w:ascii="Times New Roman" w:hAnsi="Times New Roman" w:cs="Times New Roman"/>
          <w:szCs w:val="28"/>
        </w:rPr>
        <w:t>) Ak je poistným obdobím kalendá</w:t>
      </w:r>
      <w:r>
        <w:rPr>
          <w:rFonts w:ascii="Times New Roman" w:hAnsi="Times New Roman" w:cs="Times New Roman"/>
          <w:szCs w:val="28"/>
        </w:rPr>
        <w:t>rny rok, poisťovateľ je povinný zverejniť výšku poistného a všeobecné poistné podmienky podľa § 8 na nasledujúce poistné obdobie najneskôr do 31. októbra.“.</w:t>
      </w:r>
    </w:p>
    <w:p w:rsidR="00C12265">
      <w:pPr>
        <w:rPr>
          <w:rFonts w:ascii="Times New Roman" w:hAnsi="Times New Roman" w:cs="Times New Roman"/>
          <w:szCs w:val="28"/>
        </w:rPr>
      </w:pPr>
    </w:p>
    <w:p w:rsidR="0040000D" w:rsidP="00C12265">
      <w:pPr>
        <w:rPr>
          <w:rFonts w:ascii="Times New Roman" w:hAnsi="Times New Roman" w:cs="Times New Roman"/>
          <w:szCs w:val="28"/>
        </w:rPr>
      </w:pPr>
      <w:r w:rsidR="00C12265">
        <w:rPr>
          <w:rFonts w:ascii="Times New Roman" w:hAnsi="Times New Roman" w:cs="Times New Roman"/>
          <w:szCs w:val="28"/>
        </w:rPr>
        <w:t xml:space="preserve">4. </w:t>
      </w:r>
      <w:r>
        <w:rPr>
          <w:rFonts w:ascii="Times New Roman" w:hAnsi="Times New Roman" w:cs="Times New Roman"/>
          <w:szCs w:val="28"/>
        </w:rPr>
        <w:t>V § 19 odsek 6 znie:</w:t>
      </w:r>
    </w:p>
    <w:p w:rsidR="0040000D">
      <w:pPr>
        <w:rPr>
          <w:rFonts w:ascii="Times New Roman" w:hAnsi="Times New Roman" w:cs="Times New Roman"/>
          <w:szCs w:val="28"/>
        </w:rPr>
      </w:pPr>
    </w:p>
    <w:p w:rsidR="0040000D">
      <w:pPr>
        <w:jc w:val="both"/>
        <w:rPr>
          <w:rFonts w:ascii="Times New Roman" w:hAnsi="Times New Roman" w:cs="Times New Roman"/>
          <w:szCs w:val="28"/>
        </w:rPr>
      </w:pPr>
      <w:r>
        <w:rPr>
          <w:rFonts w:ascii="Times New Roman" w:hAnsi="Times New Roman" w:cs="Times New Roman"/>
          <w:szCs w:val="28"/>
        </w:rPr>
        <w:t xml:space="preserve">        „(6) Pokutu vymáha obvodný úrad. Obvodný úrad o uložených pokutách písomne informuje kanceláriu do 15 dní po uplynutí každého kalendárneho štvrťroka.“. </w:t>
      </w:r>
    </w:p>
    <w:p w:rsidR="0040000D">
      <w:pPr>
        <w:rPr>
          <w:rFonts w:ascii="Times New Roman" w:hAnsi="Times New Roman" w:cs="Times New Roman"/>
          <w:szCs w:val="28"/>
        </w:rPr>
      </w:pPr>
    </w:p>
    <w:p w:rsidR="0040000D" w:rsidP="00C12265">
      <w:pPr>
        <w:rPr>
          <w:rFonts w:ascii="Times New Roman" w:hAnsi="Times New Roman" w:cs="Times New Roman"/>
          <w:szCs w:val="28"/>
        </w:rPr>
      </w:pPr>
      <w:r w:rsidR="00C12265">
        <w:rPr>
          <w:rFonts w:ascii="Times New Roman" w:hAnsi="Times New Roman" w:cs="Times New Roman"/>
          <w:szCs w:val="28"/>
        </w:rPr>
        <w:t xml:space="preserve">5. </w:t>
      </w:r>
      <w:r>
        <w:rPr>
          <w:rFonts w:ascii="Times New Roman" w:hAnsi="Times New Roman" w:cs="Times New Roman"/>
          <w:szCs w:val="28"/>
        </w:rPr>
        <w:t xml:space="preserve">V § 20 ods. 2 písmeno f) znie: </w:t>
      </w:r>
    </w:p>
    <w:p w:rsidR="0040000D">
      <w:pPr>
        <w:rPr>
          <w:rFonts w:ascii="Times New Roman" w:hAnsi="Times New Roman" w:cs="Times New Roman"/>
          <w:szCs w:val="28"/>
        </w:rPr>
      </w:pPr>
    </w:p>
    <w:p w:rsidR="0040000D">
      <w:pPr>
        <w:jc w:val="both"/>
        <w:rPr>
          <w:rFonts w:ascii="Times New Roman" w:hAnsi="Times New Roman" w:cs="Times New Roman"/>
          <w:szCs w:val="28"/>
        </w:rPr>
      </w:pPr>
      <w:r>
        <w:rPr>
          <w:rFonts w:ascii="Times New Roman" w:hAnsi="Times New Roman" w:cs="Times New Roman"/>
          <w:szCs w:val="28"/>
        </w:rPr>
        <w:t xml:space="preserve">       „f) podieľa sa na predchádzaní škodám v cestnej doprave a na predchádzaní poistným podvodom v poistení v súvislosti s prevádzkou motorových vozidiel,“.</w:t>
      </w:r>
    </w:p>
    <w:p w:rsidR="0040000D">
      <w:pPr>
        <w:ind w:left="360"/>
        <w:rPr>
          <w:rFonts w:ascii="Times New Roman" w:hAnsi="Times New Roman" w:cs="Times New Roman"/>
          <w:szCs w:val="28"/>
        </w:rPr>
      </w:pPr>
    </w:p>
    <w:p w:rsidR="0040000D" w:rsidP="00C12265">
      <w:pPr>
        <w:rPr>
          <w:rFonts w:ascii="Times New Roman" w:hAnsi="Times New Roman" w:cs="Times New Roman"/>
          <w:szCs w:val="28"/>
        </w:rPr>
      </w:pPr>
      <w:r w:rsidR="00C12265">
        <w:rPr>
          <w:rFonts w:ascii="Times New Roman" w:hAnsi="Times New Roman" w:cs="Times New Roman"/>
          <w:szCs w:val="28"/>
        </w:rPr>
        <w:t xml:space="preserve">6. </w:t>
      </w:r>
      <w:r>
        <w:rPr>
          <w:rFonts w:ascii="Times New Roman" w:hAnsi="Times New Roman" w:cs="Times New Roman"/>
          <w:szCs w:val="28"/>
        </w:rPr>
        <w:t>V § 20 ods. 2 sa za písmeno f) vkladá nové písmeno g), ktoré znie:</w:t>
      </w:r>
    </w:p>
    <w:p w:rsidR="0040000D">
      <w:pPr>
        <w:rPr>
          <w:rFonts w:ascii="Times New Roman" w:hAnsi="Times New Roman" w:cs="Times New Roman"/>
          <w:szCs w:val="28"/>
        </w:rPr>
      </w:pPr>
    </w:p>
    <w:p w:rsidR="0040000D">
      <w:pPr>
        <w:rPr>
          <w:rFonts w:ascii="Times New Roman" w:hAnsi="Times New Roman" w:cs="Times New Roman"/>
          <w:szCs w:val="28"/>
        </w:rPr>
      </w:pPr>
      <w:r>
        <w:rPr>
          <w:rFonts w:ascii="Times New Roman" w:hAnsi="Times New Roman" w:cs="Times New Roman"/>
          <w:szCs w:val="28"/>
        </w:rPr>
        <w:t xml:space="preserve">       „g) vedie evidencie a štatistiky na účely poistenia zodpovednosti,“.</w:t>
      </w:r>
    </w:p>
    <w:p w:rsidR="0040000D">
      <w:pPr>
        <w:rPr>
          <w:rFonts w:ascii="Times New Roman" w:hAnsi="Times New Roman" w:cs="Times New Roman"/>
          <w:szCs w:val="28"/>
        </w:rPr>
      </w:pPr>
    </w:p>
    <w:p w:rsidR="0040000D">
      <w:pPr>
        <w:rPr>
          <w:rFonts w:ascii="Times New Roman" w:hAnsi="Times New Roman" w:cs="Times New Roman"/>
          <w:szCs w:val="28"/>
        </w:rPr>
      </w:pPr>
      <w:r>
        <w:rPr>
          <w:rFonts w:ascii="Times New Roman" w:hAnsi="Times New Roman" w:cs="Times New Roman"/>
          <w:szCs w:val="28"/>
        </w:rPr>
        <w:t xml:space="preserve">       Doterajšie písmená g) a h) sa označujú ako písmená h) a i).</w:t>
      </w:r>
    </w:p>
    <w:p w:rsidR="0040000D">
      <w:pPr>
        <w:ind w:left="360"/>
        <w:rPr>
          <w:rFonts w:ascii="Times New Roman" w:hAnsi="Times New Roman" w:cs="Times New Roman"/>
          <w:szCs w:val="28"/>
        </w:rPr>
      </w:pPr>
    </w:p>
    <w:p w:rsidR="0040000D" w:rsidP="00C12265">
      <w:pPr>
        <w:rPr>
          <w:rFonts w:ascii="Times New Roman" w:hAnsi="Times New Roman" w:cs="Times New Roman"/>
          <w:szCs w:val="28"/>
        </w:rPr>
      </w:pPr>
      <w:r w:rsidR="00C12265">
        <w:rPr>
          <w:rFonts w:ascii="Times New Roman" w:hAnsi="Times New Roman" w:cs="Times New Roman"/>
          <w:szCs w:val="28"/>
        </w:rPr>
        <w:t xml:space="preserve">7. </w:t>
      </w:r>
      <w:r>
        <w:rPr>
          <w:rFonts w:ascii="Times New Roman" w:hAnsi="Times New Roman" w:cs="Times New Roman"/>
          <w:szCs w:val="28"/>
        </w:rPr>
        <w:t>V § 25 o</w:t>
      </w:r>
      <w:r>
        <w:rPr>
          <w:rFonts w:ascii="Times New Roman" w:hAnsi="Times New Roman" w:cs="Times New Roman"/>
          <w:szCs w:val="28"/>
        </w:rPr>
        <w:t>dseky 1 až 3 znejú:</w:t>
      </w:r>
    </w:p>
    <w:p w:rsidR="0040000D">
      <w:pPr>
        <w:rPr>
          <w:rFonts w:ascii="Times New Roman" w:hAnsi="Times New Roman" w:cs="Times New Roman"/>
          <w:szCs w:val="28"/>
        </w:rPr>
      </w:pPr>
    </w:p>
    <w:p w:rsidR="0040000D">
      <w:pPr>
        <w:jc w:val="both"/>
        <w:rPr>
          <w:rFonts w:ascii="Times New Roman" w:hAnsi="Times New Roman" w:cs="Times New Roman"/>
          <w:szCs w:val="28"/>
        </w:rPr>
      </w:pPr>
      <w:r>
        <w:rPr>
          <w:rFonts w:ascii="Times New Roman" w:hAnsi="Times New Roman" w:cs="Times New Roman"/>
          <w:szCs w:val="28"/>
        </w:rPr>
        <w:t xml:space="preserve">         „(1) Kancelária za účelom zabezpečenia činnosti informačného strediska vedie register, ktorý obsahuje údaje o poistení zodpovednosti </w:t>
      </w:r>
      <w:r w:rsidR="00C12265">
        <w:rPr>
          <w:rFonts w:ascii="Times New Roman" w:hAnsi="Times New Roman" w:cs="Times New Roman"/>
          <w:szCs w:val="28"/>
        </w:rPr>
        <w:t>podľa § 11</w:t>
      </w:r>
      <w:r>
        <w:rPr>
          <w:rFonts w:ascii="Times New Roman" w:hAnsi="Times New Roman" w:cs="Times New Roman"/>
          <w:szCs w:val="28"/>
        </w:rPr>
        <w:t>, údaje o poistných udalostiach, na ktorých malo účasť motorové vozidlo a údaje  z centrálnej evidencie vozidiel a z evidencie dopravných nehôd v elektronickej forme. Tieto údaje kancelárii poskytujú poisťovatelia a príslušný štátny orgán.</w:t>
      </w:r>
    </w:p>
    <w:p w:rsidR="0040000D">
      <w:pPr>
        <w:jc w:val="both"/>
        <w:rPr>
          <w:rFonts w:ascii="Times New Roman" w:hAnsi="Times New Roman" w:cs="Times New Roman"/>
          <w:szCs w:val="28"/>
        </w:rPr>
      </w:pPr>
    </w:p>
    <w:p w:rsidR="0040000D">
      <w:pPr>
        <w:jc w:val="both"/>
        <w:rPr>
          <w:rFonts w:ascii="Times New Roman" w:hAnsi="Times New Roman" w:cs="Times New Roman"/>
          <w:szCs w:val="28"/>
        </w:rPr>
      </w:pPr>
      <w:r>
        <w:rPr>
          <w:rFonts w:ascii="Times New Roman" w:hAnsi="Times New Roman" w:cs="Times New Roman"/>
          <w:iCs/>
          <w:szCs w:val="28"/>
        </w:rPr>
        <w:t xml:space="preserve">         (2) Register   eviduje  tieto   údaje  o   motorovom  vozidle, držiteľovi motorového  vozidla,  vlastníkovi  motorového  vozidla, poistení zodpovednosti a o poistných udalostiach:</w:t>
      </w:r>
    </w:p>
    <w:p w:rsidR="0040000D">
      <w:pPr>
        <w:ind w:left="180" w:hanging="180"/>
        <w:jc w:val="both"/>
        <w:rPr>
          <w:rFonts w:ascii="Times New Roman" w:hAnsi="Times New Roman" w:cs="Times New Roman"/>
          <w:iCs/>
          <w:szCs w:val="28"/>
        </w:rPr>
      </w:pPr>
      <w:r>
        <w:rPr>
          <w:rFonts w:ascii="Times New Roman" w:hAnsi="Times New Roman" w:cs="Times New Roman"/>
          <w:szCs w:val="28"/>
        </w:rPr>
        <w:t>a)</w:t>
      </w:r>
      <w:r>
        <w:rPr>
          <w:rFonts w:ascii="Times New Roman" w:hAnsi="Times New Roman" w:cs="Times New Roman"/>
          <w:iCs/>
          <w:szCs w:val="28"/>
        </w:rPr>
        <w:t xml:space="preserve"> meno a  priezvisko, rodné číslo, adresu  trvalého pobytu alebo obchodné    meno   a    s</w:t>
      </w:r>
      <w:r w:rsidR="00C12265">
        <w:rPr>
          <w:rFonts w:ascii="Times New Roman" w:hAnsi="Times New Roman" w:cs="Times New Roman"/>
          <w:iCs/>
          <w:szCs w:val="28"/>
        </w:rPr>
        <w:t xml:space="preserve">ídlo   držiteľa, vlastníka </w:t>
      </w:r>
      <w:r>
        <w:rPr>
          <w:rFonts w:ascii="Times New Roman" w:hAnsi="Times New Roman" w:cs="Times New Roman"/>
          <w:iCs/>
          <w:szCs w:val="28"/>
        </w:rPr>
        <w:t xml:space="preserve">motorového vozidla,         </w:t>
      </w:r>
    </w:p>
    <w:p w:rsidR="0040000D">
      <w:pPr>
        <w:rPr>
          <w:rFonts w:ascii="Times New Roman" w:hAnsi="Times New Roman" w:cs="Times New Roman"/>
          <w:iCs/>
          <w:szCs w:val="28"/>
        </w:rPr>
      </w:pPr>
      <w:r>
        <w:rPr>
          <w:rFonts w:ascii="Times New Roman" w:hAnsi="Times New Roman" w:cs="Times New Roman"/>
          <w:iCs/>
          <w:szCs w:val="28"/>
        </w:rPr>
        <w:t>b) evidenčné číslo motorového vozidla,</w:t>
      </w:r>
    </w:p>
    <w:p w:rsidR="0040000D">
      <w:pPr>
        <w:jc w:val="both"/>
        <w:rPr>
          <w:rFonts w:ascii="Times New Roman" w:hAnsi="Times New Roman" w:cs="Times New Roman"/>
          <w:iCs/>
          <w:szCs w:val="28"/>
        </w:rPr>
      </w:pPr>
      <w:r>
        <w:rPr>
          <w:rFonts w:ascii="Times New Roman" w:hAnsi="Times New Roman" w:cs="Times New Roman"/>
          <w:iCs/>
          <w:szCs w:val="28"/>
        </w:rPr>
        <w:t>c) údaje o vzniku, zmene a zániku poistenia zodpovednosti,</w:t>
      </w:r>
    </w:p>
    <w:p w:rsidR="0040000D">
      <w:pPr>
        <w:jc w:val="both"/>
        <w:rPr>
          <w:rFonts w:ascii="Times New Roman" w:hAnsi="Times New Roman" w:cs="Times New Roman"/>
          <w:iCs/>
          <w:szCs w:val="28"/>
        </w:rPr>
      </w:pPr>
      <w:r>
        <w:rPr>
          <w:rFonts w:ascii="Times New Roman" w:hAnsi="Times New Roman" w:cs="Times New Roman"/>
          <w:iCs/>
          <w:szCs w:val="28"/>
        </w:rPr>
        <w:t>d) údaje o poistných zmluvách a vydaných zelených kartách,</w:t>
      </w:r>
    </w:p>
    <w:p w:rsidR="0040000D">
      <w:pPr>
        <w:ind w:left="180" w:hanging="180"/>
        <w:jc w:val="both"/>
        <w:rPr>
          <w:rFonts w:ascii="Times New Roman" w:hAnsi="Times New Roman" w:cs="Times New Roman"/>
        </w:rPr>
      </w:pPr>
      <w:r>
        <w:rPr>
          <w:rFonts w:ascii="Times New Roman" w:hAnsi="Times New Roman" w:cs="Times New Roman"/>
          <w:iCs/>
        </w:rPr>
        <w:t xml:space="preserve">e) </w:t>
      </w:r>
      <w:r>
        <w:rPr>
          <w:rFonts w:ascii="Times New Roman" w:hAnsi="Times New Roman" w:cs="Times New Roman"/>
        </w:rPr>
        <w:t>údaje  o  poisťovateľoch,  pobočkách  poisťovateľov zriadených v iných členských štátoch a likvidačných zástupcoch,</w:t>
      </w:r>
    </w:p>
    <w:p w:rsidR="0040000D">
      <w:pPr>
        <w:ind w:left="180" w:hanging="180"/>
        <w:jc w:val="both"/>
        <w:rPr>
          <w:rFonts w:ascii="Times New Roman" w:hAnsi="Times New Roman" w:cs="Times New Roman"/>
          <w:vertAlign w:val="superscript"/>
        </w:rPr>
      </w:pPr>
      <w:r>
        <w:rPr>
          <w:rFonts w:ascii="Times New Roman" w:hAnsi="Times New Roman" w:cs="Times New Roman"/>
        </w:rPr>
        <w:t>f) údaje z evidencie vozidiel a z evidencie dopravných nehôd v rozsahu,  v akom sa tieto informácie poskytujú kancelárii podľa osobitného zákona,</w:t>
      </w:r>
      <w:r>
        <w:rPr>
          <w:rFonts w:ascii="Times New Roman" w:hAnsi="Times New Roman" w:cs="Times New Roman"/>
          <w:vertAlign w:val="superscript"/>
        </w:rPr>
        <w:t xml:space="preserve"> 15c)</w:t>
      </w:r>
    </w:p>
    <w:p w:rsidR="0040000D">
      <w:pPr>
        <w:pStyle w:val="BodyText2"/>
        <w:spacing w:after="0" w:line="240" w:lineRule="auto"/>
        <w:ind w:left="180" w:hanging="180"/>
        <w:jc w:val="both"/>
        <w:rPr>
          <w:rFonts w:ascii="Times New Roman" w:hAnsi="Times New Roman" w:cs="Times New Roman"/>
          <w:iCs/>
          <w:szCs w:val="28"/>
        </w:rPr>
      </w:pPr>
      <w:r>
        <w:rPr>
          <w:rFonts w:ascii="Times New Roman" w:hAnsi="Times New Roman" w:cs="Times New Roman"/>
          <w:iCs/>
          <w:szCs w:val="28"/>
        </w:rPr>
        <w:t xml:space="preserve">g) údaje o rozsahu, právnom základe a výške uplatnených a vysporiadaných nárokoch v  poistení súvisiacom s prevádzkou motorových vozidiel. </w:t>
      </w:r>
    </w:p>
    <w:p w:rsidR="0040000D">
      <w:pPr>
        <w:pStyle w:val="BodyText2"/>
        <w:spacing w:after="0" w:line="240" w:lineRule="auto"/>
        <w:ind w:left="720" w:hanging="720"/>
        <w:jc w:val="both"/>
        <w:rPr>
          <w:rFonts w:ascii="Times New Roman" w:hAnsi="Times New Roman" w:cs="Times New Roman"/>
          <w:szCs w:val="28"/>
        </w:rPr>
      </w:pPr>
    </w:p>
    <w:p w:rsidR="0040000D">
      <w:pPr>
        <w:jc w:val="both"/>
        <w:rPr>
          <w:rFonts w:ascii="Times New Roman" w:hAnsi="Times New Roman" w:cs="Times New Roman"/>
          <w:iCs/>
          <w:szCs w:val="28"/>
        </w:rPr>
      </w:pPr>
      <w:r>
        <w:rPr>
          <w:rFonts w:ascii="Times New Roman" w:hAnsi="Times New Roman" w:cs="Times New Roman"/>
        </w:rPr>
        <w:t xml:space="preserve">        </w:t>
      </w:r>
      <w:r>
        <w:rPr>
          <w:rFonts w:ascii="Times New Roman" w:hAnsi="Times New Roman" w:cs="Times New Roman"/>
          <w:i/>
          <w:iCs/>
        </w:rPr>
        <w:t xml:space="preserve"> </w:t>
      </w:r>
      <w:r>
        <w:rPr>
          <w:rFonts w:ascii="Times New Roman" w:hAnsi="Times New Roman" w:cs="Times New Roman"/>
          <w:iCs/>
          <w:szCs w:val="28"/>
        </w:rPr>
        <w:t>(3) Na účel overenia pravdivosti údajov o motorovom vozidle a za účelom predchádzania poistných podvodov v poistení súvisiacom s prevádzkou motorových vozidiel je kancelária oprávnená požadovať od poisťovateľov údaje podľa odseku 2.  Poisťovateľ je  povinný tieto  údaje poskytnúť, a to  aj  bez predchádzajúceho súhlasu a informovania osoby,  ktorej sa  taká informácia týka. Ak kancelária zistí  na  základe  údajov  poskytnutých  z  centrálnej  evidencie vozidiel  a z  údajov poskytnutých  poisťovateľmi, že  na motorové vozidlo  nebolo uzavreté  poistenie zodpovednosti,  bez zbytočného odkladu oznámi  túto skutočnosť spolu s  údajmi uvedenými v odseku 2 písm. a) a b) príslušnému obvodnému úradu. Ak kancelária zistí  na  základe  údajov  poskytnutých  z  centrálnej  evidencie vozidiel  a z  údajov poskytnutých  poisťovateľmi skutočnosti, ktoré nasvedčujú tomu, že bol spáchaný, alebo je páchaný trestný čin poistného podvodu v poistení súvisiacom s prevádzkou motorového vozidla,  bez zbytočného odkladu oznámi túto skutočnosť orgánom činným v trestnom konaní a poisťovateľovi, u ktorého boli vznesené nároky z poistenia súvisiacom s prevádzkou motorových vozidiel.“.</w:t>
      </w:r>
    </w:p>
    <w:p w:rsidR="0040000D">
      <w:pPr>
        <w:rPr>
          <w:rFonts w:ascii="Times New Roman" w:hAnsi="Times New Roman" w:cs="Times New Roman"/>
          <w:b/>
          <w:bCs/>
        </w:rPr>
      </w:pPr>
    </w:p>
    <w:p w:rsidR="0040000D">
      <w:pPr>
        <w:rPr>
          <w:rFonts w:ascii="Times New Roman" w:hAnsi="Times New Roman" w:cs="Times New Roman"/>
          <w:b/>
          <w:bCs/>
        </w:rPr>
      </w:pPr>
    </w:p>
    <w:p w:rsidR="0040000D">
      <w:pPr>
        <w:ind w:left="360"/>
        <w:rPr>
          <w:rFonts w:ascii="Times New Roman" w:hAnsi="Times New Roman" w:cs="Times New Roman"/>
          <w:szCs w:val="28"/>
        </w:rPr>
      </w:pPr>
    </w:p>
    <w:p w:rsidR="0040000D">
      <w:pPr>
        <w:pStyle w:val="Heading4"/>
        <w:rPr>
          <w:rFonts w:ascii="Times New Roman" w:hAnsi="Times New Roman" w:cs="Times New Roman"/>
        </w:rPr>
      </w:pPr>
      <w:r>
        <w:rPr>
          <w:rFonts w:ascii="Times New Roman" w:hAnsi="Times New Roman" w:cs="Times New Roman"/>
        </w:rPr>
        <w:t>Čl. II</w:t>
      </w:r>
    </w:p>
    <w:p w:rsidR="0040000D">
      <w:pPr>
        <w:ind w:left="360"/>
        <w:jc w:val="center"/>
        <w:rPr>
          <w:rFonts w:ascii="Times New Roman" w:hAnsi="Times New Roman" w:cs="Times New Roman"/>
          <w:bCs/>
          <w:szCs w:val="28"/>
        </w:rPr>
      </w:pPr>
    </w:p>
    <w:p w:rsidR="0040000D">
      <w:pPr>
        <w:pStyle w:val="BodyTextIndent3"/>
        <w:ind w:left="0" w:firstLine="708"/>
        <w:jc w:val="both"/>
        <w:rPr>
          <w:rFonts w:ascii="Times New Roman" w:hAnsi="Times New Roman" w:cs="Times New Roman"/>
          <w:b w:val="0"/>
          <w:szCs w:val="28"/>
        </w:rPr>
      </w:pPr>
      <w:r>
        <w:rPr>
          <w:rFonts w:ascii="Times New Roman" w:hAnsi="Times New Roman" w:cs="Times New Roman"/>
          <w:b w:val="0"/>
          <w:szCs w:val="28"/>
        </w:rPr>
        <w:t>Zákon  Národnej rady Slovenskej republiky č. 315/1996 Z. z.  o premávke na pozemných komunikáciách  v znení zákona č. 359/2000 Z. z., zákona č. 405/2000 Z. z., zákona č. 223/2001 Z. z., zákona č. 381/2001 Z. z., zákona č. 441/2001 Z. z., zákona č. 490/2001 Z. z., zákona č. 73/2002 Z. z., zákona č. 396/2002 Z. z., zákona č. 660/2002 Z. z., zákona č. 247/2003 Z. z.,  zákona č. 430/2003 Z. z., zákona č. 450/2003 Z. z., zákona č. 510/2003 Z. z., zákona č. 534/2003 Z. z.</w:t>
      </w:r>
      <w:r w:rsidR="00055A13">
        <w:rPr>
          <w:rFonts w:ascii="Times New Roman" w:hAnsi="Times New Roman" w:cs="Times New Roman"/>
          <w:b w:val="0"/>
          <w:szCs w:val="28"/>
        </w:rPr>
        <w:t xml:space="preserve">, </w:t>
      </w:r>
      <w:r>
        <w:rPr>
          <w:rFonts w:ascii="Times New Roman" w:hAnsi="Times New Roman" w:cs="Times New Roman"/>
          <w:b w:val="0"/>
          <w:szCs w:val="28"/>
        </w:rPr>
        <w:t>zákona č. 121/2004 Z. z.</w:t>
      </w:r>
      <w:r w:rsidR="00055A13">
        <w:rPr>
          <w:rFonts w:ascii="Times New Roman" w:hAnsi="Times New Roman" w:cs="Times New Roman"/>
          <w:b w:val="0"/>
          <w:szCs w:val="28"/>
        </w:rPr>
        <w:t>, zákona č. 174/2004 Z.z., zákona č. 579/2004 Z.z. a zákona č. 725/2004 Z.z.</w:t>
      </w:r>
      <w:r>
        <w:rPr>
          <w:rFonts w:ascii="Times New Roman" w:hAnsi="Times New Roman" w:cs="Times New Roman"/>
          <w:b w:val="0"/>
          <w:szCs w:val="28"/>
        </w:rPr>
        <w:t xml:space="preserve"> sa mení takto: </w:t>
      </w:r>
    </w:p>
    <w:p w:rsidR="0040000D">
      <w:pPr>
        <w:pStyle w:val="BodyText"/>
        <w:spacing w:before="120"/>
        <w:rPr>
          <w:rFonts w:ascii="Times New Roman" w:hAnsi="Times New Roman" w:cs="Times New Roman"/>
          <w:szCs w:val="24"/>
          <w:lang w:val="sk-SK" w:eastAsia="sk-SK"/>
        </w:rPr>
      </w:pPr>
    </w:p>
    <w:p w:rsidR="0040000D">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 xml:space="preserve">V § 86 odsek 10 znie: </w:t>
      </w:r>
    </w:p>
    <w:p w:rsidR="0040000D">
      <w:pPr>
        <w:pStyle w:val="BodyText"/>
        <w:spacing w:before="120"/>
        <w:rPr>
          <w:rFonts w:ascii="Times New Roman" w:hAnsi="Times New Roman" w:cs="Times New Roman"/>
          <w:iCs/>
          <w:strike/>
          <w:szCs w:val="28"/>
          <w:lang w:val="sk-SK" w:eastAsia="sk-SK"/>
        </w:rPr>
      </w:pPr>
      <w:r>
        <w:rPr>
          <w:rFonts w:ascii="Times New Roman" w:hAnsi="Times New Roman" w:cs="Times New Roman"/>
          <w:iCs/>
          <w:szCs w:val="28"/>
          <w:lang w:val="sk-SK" w:eastAsia="sk-SK"/>
        </w:rPr>
        <w:t xml:space="preserve">         „(10) Informácie z evidencie vozidiel  a z evidencie dopravných nehôd sa v rozsahu podľa odsekov 11 a 12 poskytujú </w:t>
      </w:r>
      <w:r w:rsidR="00055A13">
        <w:rPr>
          <w:rFonts w:ascii="Times New Roman" w:hAnsi="Times New Roman" w:cs="Times New Roman"/>
          <w:iCs/>
          <w:szCs w:val="28"/>
          <w:lang w:val="sk-SK" w:eastAsia="sk-SK"/>
        </w:rPr>
        <w:t>aj bez predchádzajúcej písomnej žiadosti podľa odseku 3 na dátových nosičoch údajov (v elektronickej forme)</w:t>
      </w:r>
      <w:r>
        <w:rPr>
          <w:rFonts w:ascii="Times New Roman" w:hAnsi="Times New Roman" w:cs="Times New Roman"/>
          <w:iCs/>
          <w:szCs w:val="28"/>
          <w:lang w:val="sk-SK" w:eastAsia="sk-SK"/>
        </w:rPr>
        <w:t xml:space="preserve"> najmenej raz za mesiac Slovenskej kancelárii poisťovateľov  v súvislosti s plnením jej   úloh   podľa   osobitného   zákona,</w:t>
      </w:r>
      <w:r>
        <w:rPr>
          <w:rFonts w:ascii="Times New Roman" w:hAnsi="Times New Roman" w:cs="Times New Roman"/>
          <w:iCs/>
          <w:szCs w:val="28"/>
          <w:vertAlign w:val="superscript"/>
          <w:lang w:val="sk-SK" w:eastAsia="sk-SK"/>
        </w:rPr>
        <w:t>18a)</w:t>
      </w:r>
      <w:r>
        <w:rPr>
          <w:rFonts w:ascii="Times New Roman" w:hAnsi="Times New Roman" w:cs="Times New Roman"/>
          <w:iCs/>
          <w:szCs w:val="28"/>
          <w:lang w:val="sk-SK" w:eastAsia="sk-SK"/>
        </w:rPr>
        <w:t xml:space="preserve">   a   to  aj  bez predchádzajúceho  súhlasu osoby,  ktorej sa  taká informácia týka.“.</w:t>
      </w:r>
    </w:p>
    <w:p w:rsidR="0040000D">
      <w:pPr>
        <w:jc w:val="both"/>
        <w:rPr>
          <w:rFonts w:ascii="Times New Roman" w:hAnsi="Times New Roman" w:cs="Times New Roman"/>
          <w:b/>
          <w:bCs/>
        </w:rPr>
      </w:pPr>
    </w:p>
    <w:p w:rsidR="0040000D">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 xml:space="preserve">V § 86 odsek 11 znie: </w:t>
      </w:r>
    </w:p>
    <w:p w:rsidR="0040000D">
      <w:pPr>
        <w:rPr>
          <w:rFonts w:ascii="Times New Roman" w:hAnsi="Times New Roman" w:cs="Times New Roman"/>
          <w:bCs/>
          <w:szCs w:val="28"/>
        </w:rPr>
      </w:pPr>
    </w:p>
    <w:p w:rsidR="0040000D">
      <w:pPr>
        <w:pStyle w:val="BodyText"/>
        <w:rPr>
          <w:rFonts w:ascii="Times New Roman" w:hAnsi="Times New Roman" w:cs="Times New Roman"/>
          <w:iCs/>
          <w:szCs w:val="28"/>
          <w:lang w:val="sk-SK" w:eastAsia="sk-SK"/>
        </w:rPr>
      </w:pPr>
      <w:r>
        <w:rPr>
          <w:rFonts w:ascii="Times New Roman" w:hAnsi="Times New Roman" w:cs="Times New Roman"/>
          <w:szCs w:val="28"/>
          <w:lang w:val="sk-SK" w:eastAsia="sk-SK"/>
        </w:rPr>
        <w:t xml:space="preserve">         „</w:t>
      </w:r>
      <w:r>
        <w:rPr>
          <w:rFonts w:ascii="Times New Roman" w:hAnsi="Times New Roman" w:cs="Times New Roman"/>
          <w:iCs/>
          <w:szCs w:val="28"/>
          <w:lang w:val="sk-SK" w:eastAsia="sk-SK"/>
        </w:rPr>
        <w:t>(11) Informácie z  evidencie vozidiel sa  poskytujú Slovenskej kancelárii poisťovateľov v tomto rozsahu:</w:t>
      </w:r>
    </w:p>
    <w:p w:rsidR="0040000D">
      <w:pPr>
        <w:pStyle w:val="BodyText"/>
        <w:ind w:left="180" w:hanging="180"/>
        <w:rPr>
          <w:rFonts w:ascii="Times New Roman" w:hAnsi="Times New Roman" w:cs="Times New Roman"/>
          <w:iCs/>
          <w:szCs w:val="28"/>
          <w:lang w:val="sk-SK" w:eastAsia="sk-SK"/>
        </w:rPr>
      </w:pPr>
      <w:r>
        <w:rPr>
          <w:rFonts w:ascii="Times New Roman" w:hAnsi="Times New Roman" w:cs="Times New Roman"/>
          <w:iCs/>
          <w:szCs w:val="28"/>
          <w:lang w:val="sk-SK" w:eastAsia="sk-SK"/>
        </w:rPr>
        <w:t xml:space="preserve">a) meno a priezvisko alebo obchodné meno, adresa trvalého pobytu  alebo  sídla, rodné  číslo alebo identifikačné číslo držiteľa vozidla, vlastníka vozidla a osoby, na ktorú sa držba  motorového  vozidla previedla, </w:t>
      </w:r>
    </w:p>
    <w:p w:rsidR="0040000D">
      <w:pPr>
        <w:pStyle w:val="BodyText"/>
        <w:ind w:left="180" w:hanging="180"/>
        <w:rPr>
          <w:rFonts w:ascii="Times New Roman" w:hAnsi="Times New Roman" w:cs="Times New Roman"/>
          <w:iCs/>
          <w:szCs w:val="28"/>
          <w:lang w:val="sk-SK" w:eastAsia="sk-SK"/>
        </w:rPr>
      </w:pPr>
      <w:r>
        <w:rPr>
          <w:rFonts w:ascii="Times New Roman" w:hAnsi="Times New Roman" w:cs="Times New Roman"/>
          <w:iCs/>
          <w:szCs w:val="28"/>
          <w:lang w:val="sk-SK" w:eastAsia="sk-SK"/>
        </w:rPr>
        <w:t>b) pridelené evidenčné číslo, továrenská značka, typ, rok výroby, výrobné identifikačné číslo (VIN), výkon motora, celková hmotnosť, počet miest na sedenie, farba vozidla, evidenčné  číslo technického  preukazu vozidla a osvedčenie o evidencii vozidla.“.</w:t>
      </w:r>
    </w:p>
    <w:p w:rsidR="0040000D">
      <w:pPr>
        <w:jc w:val="both"/>
        <w:rPr>
          <w:rFonts w:ascii="Times New Roman" w:hAnsi="Times New Roman" w:cs="Times New Roman"/>
          <w:b/>
          <w:bCs/>
        </w:rPr>
      </w:pPr>
    </w:p>
    <w:p w:rsidR="0040000D">
      <w:pPr>
        <w:numPr>
          <w:ilvl w:val="0"/>
          <w:numId w:val="5"/>
        </w:numPr>
        <w:tabs>
          <w:tab w:val="left" w:pos="397"/>
        </w:tabs>
        <w:rPr>
          <w:rFonts w:ascii="Times New Roman" w:hAnsi="Times New Roman" w:cs="Times New Roman"/>
          <w:bCs/>
          <w:szCs w:val="28"/>
        </w:rPr>
      </w:pPr>
      <w:r>
        <w:rPr>
          <w:rFonts w:ascii="Times New Roman" w:hAnsi="Times New Roman" w:cs="Times New Roman"/>
          <w:bCs/>
          <w:szCs w:val="28"/>
        </w:rPr>
        <w:t>V § 86 ods. 12 písm</w:t>
      </w:r>
      <w:r w:rsidR="00055A13">
        <w:rPr>
          <w:rFonts w:ascii="Times New Roman" w:hAnsi="Times New Roman" w:cs="Times New Roman"/>
          <w:bCs/>
          <w:szCs w:val="28"/>
        </w:rPr>
        <w:t>.</w:t>
      </w:r>
      <w:r>
        <w:rPr>
          <w:rFonts w:ascii="Times New Roman" w:hAnsi="Times New Roman" w:cs="Times New Roman"/>
          <w:bCs/>
          <w:szCs w:val="28"/>
        </w:rPr>
        <w:t xml:space="preserve"> e) </w:t>
      </w:r>
      <w:r w:rsidR="00055A13">
        <w:rPr>
          <w:rFonts w:ascii="Times New Roman" w:hAnsi="Times New Roman" w:cs="Times New Roman"/>
          <w:bCs/>
          <w:szCs w:val="28"/>
        </w:rPr>
        <w:t>sa na konci pripájajú tieto slová: „a ich fotodokumentácia,“.</w:t>
      </w:r>
      <w:r>
        <w:rPr>
          <w:rFonts w:ascii="Times New Roman" w:hAnsi="Times New Roman" w:cs="Times New Roman"/>
          <w:bCs/>
          <w:szCs w:val="28"/>
        </w:rPr>
        <w:t xml:space="preserve"> </w:t>
      </w:r>
    </w:p>
    <w:p w:rsidR="0040000D">
      <w:pPr>
        <w:jc w:val="both"/>
        <w:rPr>
          <w:rFonts w:ascii="Times New Roman" w:hAnsi="Times New Roman" w:cs="Times New Roman"/>
          <w:b/>
          <w:bCs/>
        </w:rPr>
      </w:pPr>
    </w:p>
    <w:p w:rsidR="0040000D">
      <w:pPr>
        <w:pStyle w:val="Heading3"/>
        <w:rPr>
          <w:rFonts w:ascii="Times New Roman" w:hAnsi="Times New Roman" w:cs="Times New Roman"/>
          <w:bCs w:val="0"/>
        </w:rPr>
      </w:pPr>
      <w:r>
        <w:rPr>
          <w:rFonts w:ascii="Times New Roman" w:hAnsi="Times New Roman" w:cs="Times New Roman"/>
          <w:bCs w:val="0"/>
        </w:rPr>
        <w:t>Čl. III</w:t>
      </w:r>
    </w:p>
    <w:p w:rsidR="0040000D">
      <w:pPr>
        <w:jc w:val="center"/>
        <w:rPr>
          <w:rFonts w:ascii="Times New Roman" w:hAnsi="Times New Roman" w:cs="Times New Roman"/>
          <w:b/>
          <w:bCs/>
        </w:rPr>
      </w:pPr>
    </w:p>
    <w:p w:rsidR="0040000D">
      <w:pPr>
        <w:jc w:val="center"/>
        <w:rPr>
          <w:rFonts w:ascii="Times New Roman" w:hAnsi="Times New Roman" w:cs="Times New Roman"/>
          <w:bCs/>
          <w:szCs w:val="28"/>
        </w:rPr>
      </w:pPr>
      <w:r>
        <w:rPr>
          <w:rFonts w:ascii="Times New Roman" w:hAnsi="Times New Roman" w:cs="Times New Roman"/>
          <w:bCs/>
          <w:szCs w:val="28"/>
        </w:rPr>
        <w:t>Účinnosť</w:t>
      </w:r>
    </w:p>
    <w:p w:rsidR="0040000D">
      <w:pPr>
        <w:jc w:val="center"/>
        <w:rPr>
          <w:rFonts w:ascii="Times New Roman" w:hAnsi="Times New Roman" w:cs="Times New Roman"/>
          <w:bCs/>
          <w:szCs w:val="28"/>
        </w:rPr>
      </w:pPr>
    </w:p>
    <w:p w:rsidR="00055A13">
      <w:pPr>
        <w:jc w:val="center"/>
        <w:rPr>
          <w:rFonts w:ascii="Times New Roman" w:hAnsi="Times New Roman" w:cs="Times New Roman"/>
          <w:bCs/>
          <w:szCs w:val="28"/>
        </w:rPr>
      </w:pPr>
    </w:p>
    <w:p w:rsidR="0040000D">
      <w:pPr>
        <w:jc w:val="center"/>
        <w:rPr>
          <w:rFonts w:ascii="Times New Roman" w:hAnsi="Times New Roman" w:cs="Times New Roman"/>
          <w:bCs/>
          <w:szCs w:val="28"/>
        </w:rPr>
      </w:pPr>
      <w:r>
        <w:rPr>
          <w:rFonts w:ascii="Times New Roman" w:hAnsi="Times New Roman" w:cs="Times New Roman"/>
          <w:bCs/>
          <w:szCs w:val="28"/>
        </w:rPr>
        <w:t xml:space="preserve">Tento zákon nadobúda účinnosť 1. </w:t>
      </w:r>
      <w:r w:rsidR="00055A13">
        <w:rPr>
          <w:rFonts w:ascii="Times New Roman" w:hAnsi="Times New Roman" w:cs="Times New Roman"/>
          <w:bCs/>
          <w:szCs w:val="28"/>
        </w:rPr>
        <w:t>apríla</w:t>
      </w:r>
      <w:r>
        <w:rPr>
          <w:rFonts w:ascii="Times New Roman" w:hAnsi="Times New Roman" w:cs="Times New Roman"/>
          <w:bCs/>
          <w:szCs w:val="28"/>
        </w:rPr>
        <w:t xml:space="preserve"> 2005.</w:t>
      </w:r>
    </w:p>
    <w:p w:rsidR="0040000D">
      <w:pPr>
        <w:spacing w:before="120"/>
        <w:jc w:val="center"/>
        <w:rPr>
          <w:rFonts w:ascii="Times New Roman" w:hAnsi="Times New Roman" w:cs="Times New Roman"/>
          <w:szCs w:val="28"/>
        </w:rPr>
      </w:pPr>
    </w:p>
    <w:p w:rsidR="0040000D">
      <w:pPr>
        <w:spacing w:before="120"/>
        <w:rPr>
          <w:rFonts w:ascii="Times New Roman" w:hAnsi="Times New Roman" w:cs="Times New Roman"/>
          <w:szCs w:val="28"/>
        </w:rPr>
      </w:pPr>
    </w:p>
    <w:p w:rsidR="0040000D">
      <w:pPr>
        <w:spacing w:before="120"/>
        <w:rPr>
          <w:rFonts w:ascii="Times New Roman" w:hAnsi="Times New Roman" w:cs="Times New Roman"/>
          <w:szCs w:val="28"/>
        </w:rPr>
      </w:pPr>
    </w:p>
    <w:p w:rsidR="0040000D">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rsidP="00055A13">
      <w:pPr>
        <w:spacing w:before="120"/>
        <w:jc w:val="center"/>
        <w:rPr>
          <w:rFonts w:ascii="Times New Roman" w:hAnsi="Times New Roman" w:cs="Times New Roman"/>
          <w:szCs w:val="28"/>
        </w:rPr>
      </w:pPr>
      <w:r>
        <w:rPr>
          <w:rFonts w:ascii="Times New Roman" w:hAnsi="Times New Roman" w:cs="Times New Roman"/>
          <w:szCs w:val="28"/>
        </w:rPr>
        <w:t>prezident Slovenskej republiky</w:t>
      </w: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rsidP="00055A13">
      <w:pPr>
        <w:spacing w:before="120"/>
        <w:jc w:val="center"/>
        <w:rPr>
          <w:rFonts w:ascii="Times New Roman" w:hAnsi="Times New Roman" w:cs="Times New Roman"/>
          <w:szCs w:val="28"/>
        </w:rPr>
      </w:pPr>
      <w:r>
        <w:rPr>
          <w:rFonts w:ascii="Times New Roman" w:hAnsi="Times New Roman" w:cs="Times New Roman"/>
          <w:szCs w:val="28"/>
        </w:rPr>
        <w:t>predseda Národnej rady Slovenskej republiky</w:t>
      </w: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pPr>
        <w:spacing w:before="120"/>
        <w:rPr>
          <w:rFonts w:ascii="Times New Roman" w:hAnsi="Times New Roman" w:cs="Times New Roman"/>
          <w:szCs w:val="28"/>
        </w:rPr>
      </w:pPr>
    </w:p>
    <w:p w:rsidR="00055A13" w:rsidP="00055A13">
      <w:pPr>
        <w:spacing w:before="120"/>
        <w:jc w:val="center"/>
        <w:rPr>
          <w:rFonts w:ascii="Times New Roman" w:hAnsi="Times New Roman" w:cs="Times New Roman"/>
          <w:szCs w:val="28"/>
        </w:rPr>
      </w:pPr>
      <w:r>
        <w:rPr>
          <w:rFonts w:ascii="Times New Roman" w:hAnsi="Times New Roman" w:cs="Times New Roman"/>
          <w:szCs w:val="28"/>
        </w:rPr>
        <w:t>predseda vlády Slovenskej republiky</w:t>
      </w:r>
    </w:p>
    <w:p w:rsidR="00055A13">
      <w:pPr>
        <w:spacing w:before="120"/>
        <w:rPr>
          <w:rFonts w:ascii="Times New Roman" w:hAnsi="Times New Roman" w:cs="Times New Roman"/>
          <w:szCs w:val="28"/>
        </w:rPr>
      </w:pP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2C645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5D">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rsidR="002C645D">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FAD"/>
    <w:multiLevelType w:val="hybridMultilevel"/>
    <w:tmpl w:val="228A4F18"/>
    <w:lvl w:ilvl="0">
      <w:start w:val="2"/>
      <w:numFmt w:val="bullet"/>
      <w:lvlText w:val="-"/>
      <w:lvlJc w:val="left"/>
      <w:pPr>
        <w:tabs>
          <w:tab w:val="num" w:pos="1005"/>
        </w:tabs>
        <w:ind w:left="1005" w:hanging="360"/>
      </w:pPr>
      <w:rPr>
        <w:rFonts w:ascii="Times New Roman" w:hAnsi="Times New Roman" w:cs="Times New Roman"/>
        <w:rtl w:val="0"/>
      </w:rPr>
    </w:lvl>
    <w:lvl w:ilvl="1">
      <w:start w:val="1"/>
      <w:numFmt w:val="bullet"/>
      <w:lvlText w:val="o"/>
      <w:lvlJc w:val="left"/>
      <w:pPr>
        <w:tabs>
          <w:tab w:val="num" w:pos="1725"/>
        </w:tabs>
        <w:ind w:left="1725" w:hanging="360"/>
      </w:pPr>
      <w:rPr>
        <w:rFonts w:ascii="Courier New" w:hAnsi="Courier New" w:cs="Courier New"/>
        <w:rtl w:val="0"/>
      </w:rPr>
    </w:lvl>
    <w:lvl w:ilvl="2">
      <w:start w:val="1"/>
      <w:numFmt w:val="bullet"/>
      <w:lvlText w:val=""/>
      <w:lvlJc w:val="left"/>
      <w:pPr>
        <w:tabs>
          <w:tab w:val="num" w:pos="2445"/>
        </w:tabs>
        <w:ind w:left="2445" w:hanging="360"/>
      </w:pPr>
      <w:rPr>
        <w:rFonts w:ascii="Wingdings" w:hAnsi="Wingdings"/>
        <w:rtl w:val="0"/>
      </w:rPr>
    </w:lvl>
    <w:lvl w:ilvl="3">
      <w:start w:val="1"/>
      <w:numFmt w:val="bullet"/>
      <w:lvlText w:val=""/>
      <w:lvlJc w:val="left"/>
      <w:pPr>
        <w:tabs>
          <w:tab w:val="num" w:pos="3165"/>
        </w:tabs>
        <w:ind w:left="3165" w:hanging="360"/>
      </w:pPr>
      <w:rPr>
        <w:rFonts w:ascii="Symbol" w:hAnsi="Symbol"/>
        <w:rtl w:val="0"/>
      </w:rPr>
    </w:lvl>
    <w:lvl w:ilvl="4">
      <w:start w:val="1"/>
      <w:numFmt w:val="bullet"/>
      <w:lvlText w:val="o"/>
      <w:lvlJc w:val="left"/>
      <w:pPr>
        <w:tabs>
          <w:tab w:val="num" w:pos="3885"/>
        </w:tabs>
        <w:ind w:left="3885" w:hanging="360"/>
      </w:pPr>
      <w:rPr>
        <w:rFonts w:ascii="Courier New" w:hAnsi="Courier New" w:cs="Courier New"/>
        <w:rtl w:val="0"/>
      </w:rPr>
    </w:lvl>
    <w:lvl w:ilvl="5">
      <w:start w:val="1"/>
      <w:numFmt w:val="bullet"/>
      <w:lvlText w:val=""/>
      <w:lvlJc w:val="left"/>
      <w:pPr>
        <w:tabs>
          <w:tab w:val="num" w:pos="4605"/>
        </w:tabs>
        <w:ind w:left="4605" w:hanging="360"/>
      </w:pPr>
      <w:rPr>
        <w:rFonts w:ascii="Wingdings" w:hAnsi="Wingdings"/>
        <w:rtl w:val="0"/>
      </w:rPr>
    </w:lvl>
    <w:lvl w:ilvl="6">
      <w:start w:val="1"/>
      <w:numFmt w:val="bullet"/>
      <w:lvlText w:val=""/>
      <w:lvlJc w:val="left"/>
      <w:pPr>
        <w:tabs>
          <w:tab w:val="num" w:pos="5325"/>
        </w:tabs>
        <w:ind w:left="5325" w:hanging="360"/>
      </w:pPr>
      <w:rPr>
        <w:rFonts w:ascii="Symbol" w:hAnsi="Symbol"/>
        <w:rtl w:val="0"/>
      </w:rPr>
    </w:lvl>
    <w:lvl w:ilvl="7">
      <w:start w:val="1"/>
      <w:numFmt w:val="bullet"/>
      <w:lvlText w:val="o"/>
      <w:lvlJc w:val="left"/>
      <w:pPr>
        <w:tabs>
          <w:tab w:val="num" w:pos="6045"/>
        </w:tabs>
        <w:ind w:left="6045" w:hanging="360"/>
      </w:pPr>
      <w:rPr>
        <w:rFonts w:ascii="Courier New" w:hAnsi="Courier New" w:cs="Courier New"/>
        <w:rtl w:val="0"/>
      </w:rPr>
    </w:lvl>
    <w:lvl w:ilvl="8">
      <w:start w:val="1"/>
      <w:numFmt w:val="bullet"/>
      <w:lvlText w:val=""/>
      <w:lvlJc w:val="left"/>
      <w:pPr>
        <w:tabs>
          <w:tab w:val="num" w:pos="6765"/>
        </w:tabs>
        <w:ind w:left="6765" w:hanging="360"/>
      </w:pPr>
      <w:rPr>
        <w:rFonts w:ascii="Wingdings" w:hAnsi="Wingdings"/>
        <w:rtl w:val="0"/>
      </w:rPr>
    </w:lvl>
  </w:abstractNum>
  <w:abstractNum w:abstractNumId="1">
    <w:nsid w:val="21557A63"/>
    <w:multiLevelType w:val="hybridMultilevel"/>
    <w:tmpl w:val="B56A22C2"/>
    <w:lvl w:ilvl="0">
      <w:start w:val="1"/>
      <w:numFmt w:val="bullet"/>
      <w:lvlText w:val="-"/>
      <w:lvlJc w:val="left"/>
      <w:pPr>
        <w:tabs>
          <w:tab w:val="num" w:pos="720"/>
        </w:tabs>
        <w:ind w:left="720" w:hanging="360"/>
      </w:pPr>
      <w:rPr>
        <w:rFonts w:ascii="Times New Roman" w:hAnsi="Times New Roman" w:cs="Times New Roman"/>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521006"/>
    <w:multiLevelType w:val="hybridMultilevel"/>
    <w:tmpl w:val="013E1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BCD3250"/>
    <w:multiLevelType w:val="hybridMultilevel"/>
    <w:tmpl w:val="ADC880B8"/>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6041367"/>
    <w:multiLevelType w:val="hybridMultilevel"/>
    <w:tmpl w:val="C44630A6"/>
    <w:lvl w:ilvl="0">
      <w:start w:val="1"/>
      <w:numFmt w:val="decimal"/>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D14C16"/>
    <w:multiLevelType w:val="hybridMultilevel"/>
    <w:tmpl w:val="3BF6D26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7FC32BF3"/>
    <w:multiLevelType w:val="hybridMultilevel"/>
    <w:tmpl w:val="A67A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55A13"/>
    <w:rsid w:val="002C645D"/>
    <w:rsid w:val="0040000D"/>
    <w:rsid w:val="00B72ECD"/>
    <w:rsid w:val="00C12265"/>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Normal"/>
    <w:next w:val="Normal"/>
    <w:uiPriority w:val="9"/>
    <w:qFormat/>
    <w:pPr>
      <w:keepNext/>
      <w:spacing w:before="120"/>
      <w:jc w:val="both"/>
      <w:outlineLvl w:val="1"/>
    </w:pPr>
    <w:rPr>
      <w:b/>
      <w:bCs/>
    </w:rPr>
  </w:style>
  <w:style w:type="paragraph" w:styleId="Heading3">
    <w:name w:val="heading 3"/>
    <w:basedOn w:val="Normal"/>
    <w:next w:val="Normal"/>
    <w:uiPriority w:val="9"/>
    <w:qFormat/>
    <w:pPr>
      <w:keepNext/>
      <w:jc w:val="center"/>
      <w:outlineLvl w:val="2"/>
    </w:pPr>
    <w:rPr>
      <w:b/>
      <w:bCs/>
      <w:szCs w:val="28"/>
    </w:rPr>
  </w:style>
  <w:style w:type="paragraph" w:styleId="Heading4">
    <w:name w:val="heading 4"/>
    <w:basedOn w:val="Normal"/>
    <w:next w:val="Normal"/>
    <w:uiPriority w:val="9"/>
    <w:qFormat/>
    <w:pPr>
      <w:keepNext/>
      <w:ind w:left="360"/>
      <w:jc w:val="center"/>
      <w:outlineLvl w:val="3"/>
    </w:pPr>
    <w:rPr>
      <w:b/>
      <w:szCs w:val="28"/>
    </w:rPr>
  </w:style>
  <w:style w:type="paragraph" w:styleId="Heading5">
    <w:name w:val="heading 5"/>
    <w:basedOn w:val="Normal"/>
    <w:next w:val="Normal"/>
    <w:uiPriority w:val="9"/>
    <w:qFormat/>
    <w:pPr>
      <w:keepNext/>
      <w:jc w:val="both"/>
      <w:outlineLvl w:val="4"/>
    </w:pPr>
    <w:rPr>
      <w:bCs/>
      <w:szCs w:val="28"/>
      <w:u w:val="single"/>
    </w:rPr>
  </w:style>
  <w:style w:type="paragraph" w:styleId="Heading6">
    <w:name w:val="heading 6"/>
    <w:basedOn w:val="Normal"/>
    <w:next w:val="Normal"/>
    <w:uiPriority w:val="9"/>
    <w:qFormat/>
    <w:pPr>
      <w:keepNext/>
      <w:jc w:val="both"/>
      <w:outlineLvl w:val="5"/>
    </w:pPr>
    <w:rPr>
      <w:bCs/>
      <w:color w:val="000000"/>
      <w:szCs w:val="28"/>
      <w:u w:val="single"/>
    </w:rPr>
  </w:style>
  <w:style w:type="character" w:default="1" w:styleId="DefaultParagraphFont">
    <w:name w:val="Default Paragraph Font"/>
    <w:semiHidden/>
  </w:style>
  <w:style w:type="paragraph" w:styleId="FootnoteText">
    <w:name w:val="footnote text"/>
    <w:basedOn w:val="Normal"/>
    <w:semiHidden/>
    <w:pPr>
      <w:jc w:val="left"/>
    </w:pPr>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both"/>
    </w:pPr>
    <w:rPr>
      <w:szCs w:val="20"/>
      <w:lang w:val="cs-CZ"/>
    </w:rPr>
  </w:style>
  <w:style w:type="paragraph" w:styleId="BodyTextIndent">
    <w:name w:val="Body Text Indent"/>
    <w:basedOn w:val="Normal"/>
    <w:pPr>
      <w:ind w:left="708"/>
      <w:jc w:val="both"/>
    </w:pPr>
  </w:style>
  <w:style w:type="paragraph" w:styleId="BodyTextIndent3">
    <w:name w:val="Body Text Indent 3"/>
    <w:basedOn w:val="Normal"/>
    <w:pPr>
      <w:ind w:left="360"/>
      <w:jc w:val="center"/>
    </w:pPr>
    <w:rPr>
      <w:b/>
      <w:bCs/>
    </w:rPr>
  </w:style>
  <w:style w:type="paragraph" w:customStyle="1" w:styleId="Fait">
    <w:name w:val="Fait à"/>
    <w:basedOn w:val="Normal"/>
    <w:next w:val="Normal"/>
    <w:pPr>
      <w:spacing w:before="120"/>
      <w:jc w:val="both"/>
    </w:pPr>
    <w:rPr>
      <w:szCs w:val="20"/>
      <w:lang w:val="cs-CZ"/>
    </w:rPr>
  </w:style>
  <w:style w:type="paragraph" w:styleId="BodyText2">
    <w:name w:val="Body Text 2"/>
    <w:basedOn w:val="Normal"/>
    <w:pPr>
      <w:spacing w:after="120" w:line="480" w:lineRule="auto"/>
      <w:jc w:val="left"/>
    </w:pPr>
  </w:style>
  <w:style w:type="paragraph" w:styleId="Title">
    <w:name w:val="Title"/>
    <w:basedOn w:val="Normal"/>
    <w:uiPriority w:val="10"/>
    <w:qFormat/>
    <w:pPr>
      <w:jc w:val="center"/>
    </w:pPr>
    <w:rPr>
      <w:b/>
      <w:bCs/>
    </w:rPr>
  </w:style>
  <w:style w:type="paragraph" w:styleId="BalloonText">
    <w:name w:val="Balloon Text"/>
    <w:basedOn w:val="Normal"/>
    <w:semiHidden/>
    <w:pPr>
      <w:jc w:val="left"/>
    </w:pPr>
    <w:rPr>
      <w:rFonts w:ascii="Tahoma" w:hAnsi="Tahoma" w:cs="Tahoma"/>
      <w:sz w:val="16"/>
      <w:szCs w:val="16"/>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TotalTime>
  <Pages>1</Pages>
  <Words>1087</Words>
  <Characters>6198</Characters>
  <Application>Microsoft Office Word</Application>
  <DocSecurity>0</DocSecurity>
  <Lines>0</Lines>
  <Paragraphs>0</Paragraphs>
  <ScaleCrop>false</ScaleCrop>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č</dc:title>
  <dc:creator>fekete</dc:creator>
  <cp:lastModifiedBy>Helena VACHOVÁ</cp:lastModifiedBy>
  <cp:revision>5</cp:revision>
  <cp:lastPrinted>2005-02-14T12:09:00Z</cp:lastPrinted>
  <dcterms:created xsi:type="dcterms:W3CDTF">2005-02-10T12:14:00Z</dcterms:created>
  <dcterms:modified xsi:type="dcterms:W3CDTF">2005-02-14T12:12:00Z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-1249151174</vt:i4>
  </property>
  <property fmtid="{D5CDD505-2E9C-101B-9397-08002B2CF9AE}" pid="3" name="_AuthorEmail">
    <vt:lpwstr>VachHele@nrsr.sk</vt:lpwstr>
  </property>
  <property fmtid="{D5CDD505-2E9C-101B-9397-08002B2CF9AE}" pid="4" name="_AuthorEmailDisplayName">
    <vt:lpwstr>Vachová Helena</vt:lpwstr>
  </property>
  <property fmtid="{D5CDD505-2E9C-101B-9397-08002B2CF9AE}" pid="5" name="_EmailSubject">
    <vt:lpwstr>čistopis NR937, NR960</vt:lpwstr>
  </property>
</Properties>
</file>