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22A7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9F1C65" w:rsidRPr="009F1C65" w:rsidP="00E422A7">
      <w:pPr>
        <w:ind w:left="180"/>
        <w:jc w:val="both"/>
        <w:rPr>
          <w:rFonts w:cs="Times New Roman"/>
          <w:b/>
        </w:rPr>
      </w:pPr>
    </w:p>
    <w:p w:rsidR="00E422A7" w:rsidRPr="009F1C65" w:rsidP="00E422A7">
      <w:pPr>
        <w:ind w:left="180"/>
        <w:jc w:val="center"/>
        <w:rPr>
          <w:rFonts w:cs="Times New Roman"/>
          <w:b/>
        </w:rPr>
      </w:pPr>
      <w:r w:rsidRPr="009F1C65">
        <w:rPr>
          <w:rFonts w:cs="Times New Roman"/>
          <w:b/>
        </w:rPr>
        <w:t>z</w:t>
      </w:r>
      <w:r w:rsidRPr="009F1C65" w:rsidR="009F1C65">
        <w:rPr>
          <w:rFonts w:cs="Times New Roman"/>
          <w:b/>
        </w:rPr>
        <w:t xml:space="preserve"> 28. októbra </w:t>
      </w:r>
      <w:r w:rsidRPr="009F1C65">
        <w:rPr>
          <w:rFonts w:cs="Times New Roman"/>
          <w:b/>
        </w:rPr>
        <w:t>2004</w:t>
      </w:r>
      <w:r w:rsidR="008F5666">
        <w:rPr>
          <w:rFonts w:cs="Times New Roman"/>
          <w:b/>
        </w:rPr>
        <w:t>,</w:t>
      </w:r>
    </w:p>
    <w:p w:rsidR="00E422A7" w:rsidRPr="009F1C65" w:rsidP="00E422A7">
      <w:pPr>
        <w:ind w:left="180"/>
        <w:jc w:val="center"/>
        <w:rPr>
          <w:rFonts w:cs="Times New Roman"/>
          <w:b/>
        </w:rPr>
      </w:pPr>
    </w:p>
    <w:p w:rsidR="00E422A7" w:rsidRPr="009F1C65" w:rsidP="00E422A7">
      <w:pPr>
        <w:ind w:left="180"/>
        <w:jc w:val="both"/>
        <w:rPr>
          <w:rFonts w:cs="Times New Roman"/>
          <w:b/>
        </w:rPr>
      </w:pPr>
    </w:p>
    <w:p w:rsidR="00E422A7" w:rsidRPr="009F1C65" w:rsidP="00E422A7">
      <w:pPr>
        <w:jc w:val="both"/>
        <w:rPr>
          <w:rFonts w:cs="Times New Roman"/>
          <w:b/>
        </w:rPr>
      </w:pPr>
      <w:r w:rsidRPr="009F1C65">
        <w:rPr>
          <w:rFonts w:cs="Times New Roman"/>
          <w:b/>
        </w:rPr>
        <w:t>ktorým sa mení a dopĺňa zákon Slovenskej národnej rady č. 369/1990 Zb. o obecnom zriadení v znení neskorších predpisov a </w:t>
      </w:r>
      <w:r w:rsidR="009F1C65">
        <w:rPr>
          <w:rFonts w:cs="Times New Roman"/>
          <w:b/>
        </w:rPr>
        <w:t xml:space="preserve"> </w:t>
      </w:r>
      <w:r w:rsidRPr="009F1C65">
        <w:rPr>
          <w:rFonts w:cs="Times New Roman"/>
          <w:b/>
        </w:rPr>
        <w:t xml:space="preserve">zákon </w:t>
      </w:r>
      <w:r w:rsidR="009F1C65">
        <w:rPr>
          <w:rFonts w:cs="Times New Roman"/>
          <w:b/>
        </w:rPr>
        <w:t xml:space="preserve">č. </w:t>
      </w:r>
      <w:r w:rsidRPr="009F1C65">
        <w:rPr>
          <w:rFonts w:cs="Times New Roman"/>
          <w:b/>
        </w:rPr>
        <w:t xml:space="preserve">302/2001 </w:t>
      </w:r>
      <w:r w:rsidRPr="009F1C65" w:rsidR="00E65964">
        <w:rPr>
          <w:rFonts w:cs="Times New Roman"/>
          <w:b/>
        </w:rPr>
        <w:t>Z.</w:t>
      </w:r>
      <w:r w:rsidR="00E65964">
        <w:rPr>
          <w:rFonts w:cs="Times New Roman"/>
          <w:b/>
        </w:rPr>
        <w:t xml:space="preserve"> </w:t>
      </w:r>
      <w:r w:rsidRPr="009F1C65" w:rsidR="00E65964">
        <w:rPr>
          <w:rFonts w:cs="Times New Roman"/>
          <w:b/>
        </w:rPr>
        <w:t>z</w:t>
      </w:r>
      <w:r w:rsidRPr="009F1C65">
        <w:rPr>
          <w:rFonts w:cs="Times New Roman"/>
          <w:b/>
        </w:rPr>
        <w:t>. o samospráve vyšších územných celkov</w:t>
      </w:r>
      <w:r w:rsidRPr="009F1C65" w:rsidR="009F1C65">
        <w:rPr>
          <w:rFonts w:cs="Times New Roman"/>
          <w:b/>
        </w:rPr>
        <w:t xml:space="preserve"> (zákon o samosprávnych krajoch)</w:t>
      </w:r>
      <w:r w:rsidRPr="009F1C65">
        <w:rPr>
          <w:rFonts w:cs="Times New Roman"/>
          <w:b/>
        </w:rPr>
        <w:t xml:space="preserve"> v</w:t>
      </w:r>
      <w:r w:rsidRPr="009F1C65">
        <w:rPr>
          <w:rFonts w:cs="Times New Roman"/>
          <w:b/>
        </w:rPr>
        <w:t> znení neskorších predpisov</w:t>
      </w:r>
    </w:p>
    <w:p w:rsidR="00E422A7" w:rsidRPr="009F1C65" w:rsidP="00E422A7">
      <w:pPr>
        <w:jc w:val="both"/>
        <w:rPr>
          <w:rFonts w:cs="Times New Roman"/>
          <w:b/>
        </w:rPr>
      </w:pPr>
    </w:p>
    <w:p w:rsidR="00E422A7" w:rsidRPr="009F1C65" w:rsidP="00E422A7">
      <w:pPr>
        <w:jc w:val="both"/>
        <w:rPr>
          <w:rFonts w:cs="Times New Roman"/>
          <w:b/>
        </w:rPr>
      </w:pPr>
    </w:p>
    <w:p w:rsidR="00E422A7" w:rsidRPr="009F1C65" w:rsidP="00E422A7">
      <w:pPr>
        <w:jc w:val="both"/>
        <w:rPr>
          <w:rFonts w:cs="Times New Roman"/>
          <w:b/>
        </w:rPr>
      </w:pPr>
    </w:p>
    <w:p w:rsidR="00E422A7" w:rsidRPr="009F1C65" w:rsidP="00E422A7">
      <w:pPr>
        <w:ind w:left="360"/>
        <w:jc w:val="both"/>
        <w:rPr>
          <w:rFonts w:cs="Times New Roman"/>
        </w:rPr>
      </w:pPr>
      <w:r w:rsidRPr="009F1C65">
        <w:rPr>
          <w:rFonts w:cs="Times New Roman"/>
        </w:rPr>
        <w:t>Národná rada Slovenskej republiky sa uzniesla na tomto zákone:</w:t>
      </w:r>
    </w:p>
    <w:p w:rsidR="00E422A7" w:rsidRPr="009F1C65" w:rsidP="00E422A7">
      <w:pPr>
        <w:jc w:val="both"/>
        <w:rPr>
          <w:rFonts w:cs="Times New Roman"/>
        </w:rPr>
      </w:pPr>
    </w:p>
    <w:p w:rsidR="00E422A7" w:rsidRPr="009F1C65" w:rsidP="00E422A7">
      <w:pPr>
        <w:ind w:left="360"/>
        <w:jc w:val="center"/>
        <w:rPr>
          <w:rFonts w:cs="Times New Roman"/>
          <w:b/>
        </w:rPr>
      </w:pPr>
      <w:r w:rsidRPr="009F1C65">
        <w:rPr>
          <w:rFonts w:cs="Times New Roman"/>
          <w:b/>
        </w:rPr>
        <w:t>Čl. I</w:t>
      </w:r>
    </w:p>
    <w:p w:rsidR="00E422A7" w:rsidRPr="009F1C65" w:rsidP="00E422A7">
      <w:pPr>
        <w:jc w:val="both"/>
        <w:rPr>
          <w:rFonts w:cs="Times New Roman"/>
          <w:b/>
        </w:rPr>
      </w:pPr>
    </w:p>
    <w:p w:rsidR="00E422A7" w:rsidRPr="009F1C65" w:rsidP="00E422A7">
      <w:pPr>
        <w:ind w:firstLine="708"/>
        <w:jc w:val="both"/>
        <w:rPr>
          <w:rFonts w:cs="Times New Roman"/>
        </w:rPr>
      </w:pPr>
      <w:r w:rsidRPr="009F1C65">
        <w:rPr>
          <w:rFonts w:cs="Times New Roman"/>
        </w:rPr>
        <w:t xml:space="preserve">Zákon Slovenskej národnej rady č. 369/1990 Zb. o 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 xml:space="preserve">., zákona Národnej rady Slovenskej republiky č. 252/1994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 xml:space="preserve">., zákona Národnej rady Slovenskej republiky č. 287/1994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 xml:space="preserve">., zákona č. 229/1997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 xml:space="preserve">., zákona č. 225/1998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>., zákona č. 233/199</w:t>
      </w:r>
      <w:r w:rsidRPr="009F1C65">
        <w:rPr>
          <w:rFonts w:cs="Times New Roman"/>
        </w:rPr>
        <w:t xml:space="preserve">8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 xml:space="preserve">., nálezu Ústavného súdu Slovenskej republiky č. 185/1999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 xml:space="preserve">., zákona č. 389/1999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 xml:space="preserve">., zákona č. 6/2001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 xml:space="preserve">., zákona č. 453/2001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 xml:space="preserve">., zákona č. 205/2002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>.,</w:t>
      </w:r>
    </w:p>
    <w:p w:rsidR="00E422A7" w:rsidRPr="009F1C65" w:rsidP="00E422A7">
      <w:pPr>
        <w:jc w:val="both"/>
        <w:rPr>
          <w:rFonts w:cs="Times New Roman"/>
        </w:rPr>
      </w:pPr>
      <w:r w:rsidRPr="009F1C65">
        <w:rPr>
          <w:rFonts w:cs="Times New Roman"/>
        </w:rPr>
        <w:t xml:space="preserve">zákona č. 515/2003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 xml:space="preserve">.,  zákona </w:t>
      </w:r>
      <w:r w:rsidRPr="009F1C65" w:rsidR="009F1C65">
        <w:rPr>
          <w:rFonts w:cs="Times New Roman"/>
        </w:rPr>
        <w:t xml:space="preserve">č. </w:t>
      </w:r>
      <w:r w:rsidRPr="009F1C65">
        <w:rPr>
          <w:rFonts w:cs="Times New Roman"/>
        </w:rPr>
        <w:t xml:space="preserve">369/2004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>.</w:t>
      </w:r>
      <w:r w:rsidRPr="009F1C65" w:rsidR="009F1C65">
        <w:rPr>
          <w:rFonts w:cs="Times New Roman"/>
        </w:rPr>
        <w:t xml:space="preserve"> a</w:t>
      </w:r>
      <w:r w:rsidR="009F1C65">
        <w:rPr>
          <w:rFonts w:cs="Times New Roman"/>
        </w:rPr>
        <w:t> </w:t>
      </w:r>
      <w:r w:rsidRPr="009F1C65" w:rsidR="009F1C65">
        <w:rPr>
          <w:rFonts w:cs="Times New Roman"/>
        </w:rPr>
        <w:t>zákona</w:t>
      </w:r>
      <w:r w:rsidR="009F1C65">
        <w:rPr>
          <w:rFonts w:cs="Times New Roman"/>
        </w:rPr>
        <w:t xml:space="preserve"> </w:t>
      </w:r>
      <w:r w:rsidRPr="009F1C65" w:rsidR="009F1C65">
        <w:rPr>
          <w:rFonts w:cs="Times New Roman"/>
        </w:rPr>
        <w:t xml:space="preserve">č. 535/2004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 w:rsidR="009F1C65">
        <w:rPr>
          <w:rFonts w:cs="Times New Roman"/>
        </w:rPr>
        <w:t>.</w:t>
      </w:r>
      <w:r w:rsidRPr="009F1C65">
        <w:rPr>
          <w:rFonts w:cs="Times New Roman"/>
        </w:rPr>
        <w:t xml:space="preserve">  sa mení a dopĺňa takto:</w:t>
      </w:r>
    </w:p>
    <w:p w:rsidR="00E422A7" w:rsidRPr="009F1C65" w:rsidP="00E422A7">
      <w:pPr>
        <w:ind w:left="180"/>
        <w:jc w:val="both"/>
        <w:rPr>
          <w:rFonts w:cs="Times New Roman"/>
        </w:rPr>
      </w:pPr>
    </w:p>
    <w:p w:rsidR="00E422A7" w:rsidRPr="009F1C65" w:rsidP="00E422A7">
      <w:pPr>
        <w:numPr>
          <w:ilvl w:val="0"/>
          <w:numId w:val="2"/>
        </w:numPr>
        <w:tabs>
          <w:tab w:val="left" w:pos="720"/>
        </w:tabs>
        <w:jc w:val="both"/>
        <w:rPr>
          <w:rFonts w:cs="Times New Roman"/>
        </w:rPr>
      </w:pPr>
      <w:r w:rsidRPr="009F1C65">
        <w:rPr>
          <w:rFonts w:cs="Times New Roman"/>
        </w:rPr>
        <w:t>V § 1</w:t>
      </w:r>
      <w:r w:rsidRPr="009F1C65" w:rsidR="009F1C65">
        <w:rPr>
          <w:rFonts w:cs="Times New Roman"/>
        </w:rPr>
        <w:t>3 sa za odsek 6 vkladá nový odsek 7, ktorý znie:</w:t>
      </w:r>
    </w:p>
    <w:p w:rsidR="009F1C65" w:rsidP="009F1C65">
      <w:pPr>
        <w:ind w:left="720"/>
        <w:jc w:val="both"/>
        <w:rPr>
          <w:rFonts w:cs="Times New Roman"/>
        </w:rPr>
      </w:pPr>
      <w:r w:rsidRPr="009F1C65">
        <w:rPr>
          <w:rFonts w:cs="Times New Roman"/>
        </w:rPr>
        <w:t xml:space="preserve">„(7) Ustanovenie odseku 6 sa nevzťahuje na uznesenie o voľbe </w:t>
      </w:r>
      <w:r w:rsidR="008F5666">
        <w:rPr>
          <w:rFonts w:cs="Times New Roman"/>
        </w:rPr>
        <w:t>a</w:t>
      </w:r>
      <w:r w:rsidRPr="009F1C65">
        <w:rPr>
          <w:rFonts w:cs="Times New Roman"/>
        </w:rPr>
        <w:t> odvolaní hlavného kontrolóra.“</w:t>
      </w:r>
    </w:p>
    <w:p w:rsidR="00435A08" w:rsidRPr="009F1C65" w:rsidP="009F1C65">
      <w:pPr>
        <w:ind w:left="720"/>
        <w:jc w:val="both"/>
        <w:rPr>
          <w:rFonts w:cs="Times New Roman"/>
        </w:rPr>
      </w:pPr>
    </w:p>
    <w:p w:rsidR="009F1C65" w:rsidRPr="009F1C65" w:rsidP="009F1C65">
      <w:pPr>
        <w:ind w:left="720"/>
        <w:jc w:val="both"/>
        <w:rPr>
          <w:rFonts w:cs="Times New Roman"/>
        </w:rPr>
      </w:pPr>
      <w:r w:rsidRPr="009F1C65">
        <w:rPr>
          <w:rFonts w:cs="Times New Roman"/>
        </w:rPr>
        <w:t>Doterajšie odseky 7 až 10 sa označujú ako odseky 8 až 11.</w:t>
      </w:r>
    </w:p>
    <w:p w:rsidR="009F1C65" w:rsidRPr="009F1C65" w:rsidP="009F1C65">
      <w:pPr>
        <w:ind w:left="720"/>
        <w:jc w:val="both"/>
        <w:rPr>
          <w:rFonts w:cs="Times New Roman"/>
        </w:rPr>
      </w:pPr>
    </w:p>
    <w:p w:rsidR="00E422A7" w:rsidRPr="009F1C65" w:rsidP="00E422A7">
      <w:pPr>
        <w:ind w:left="360"/>
        <w:jc w:val="both"/>
        <w:rPr>
          <w:rFonts w:cs="Times New Roman"/>
        </w:rPr>
      </w:pPr>
    </w:p>
    <w:p w:rsidR="00E422A7" w:rsidRPr="009F1C65" w:rsidP="009F1C65">
      <w:pPr>
        <w:numPr>
          <w:ilvl w:val="0"/>
          <w:numId w:val="2"/>
        </w:numPr>
        <w:tabs>
          <w:tab w:val="left" w:pos="720"/>
        </w:tabs>
        <w:jc w:val="both"/>
        <w:rPr>
          <w:rFonts w:cs="Times New Roman"/>
          <w:b/>
        </w:rPr>
      </w:pPr>
      <w:r w:rsidRPr="009F1C65">
        <w:rPr>
          <w:rFonts w:cs="Times New Roman"/>
        </w:rPr>
        <w:t>V § 18</w:t>
      </w:r>
      <w:r w:rsidR="00435A08">
        <w:rPr>
          <w:rFonts w:cs="Times New Roman"/>
        </w:rPr>
        <w:t xml:space="preserve"> ods. 1 </w:t>
      </w:r>
      <w:r w:rsidRPr="009F1C65">
        <w:rPr>
          <w:rFonts w:cs="Times New Roman"/>
        </w:rPr>
        <w:t xml:space="preserve"> sa</w:t>
      </w:r>
      <w:r w:rsidRPr="009F1C65" w:rsidR="009F1C65">
        <w:rPr>
          <w:rFonts w:cs="Times New Roman"/>
        </w:rPr>
        <w:t xml:space="preserve"> vypúšťa druhá a tretia veta.</w:t>
      </w:r>
    </w:p>
    <w:p w:rsidR="009F1C65" w:rsidRPr="009F1C65" w:rsidP="009F1C65">
      <w:pPr>
        <w:ind w:left="360"/>
        <w:jc w:val="both"/>
        <w:rPr>
          <w:rFonts w:cs="Times New Roman"/>
          <w:b/>
        </w:rPr>
      </w:pPr>
    </w:p>
    <w:p w:rsidR="009F1C65" w:rsidRPr="009F1C65" w:rsidP="009F1C65">
      <w:pPr>
        <w:numPr>
          <w:ilvl w:val="0"/>
          <w:numId w:val="2"/>
        </w:numPr>
        <w:tabs>
          <w:tab w:val="left" w:pos="720"/>
        </w:tabs>
        <w:jc w:val="both"/>
        <w:rPr>
          <w:rFonts w:cs="Times New Roman"/>
        </w:rPr>
      </w:pPr>
      <w:r w:rsidRPr="009F1C65">
        <w:rPr>
          <w:rFonts w:cs="Times New Roman"/>
        </w:rPr>
        <w:t>V § 18 ods. 1 sa v tretej vete za slovo „nesmie“ vkladajú slová „bez súhlasu obecného zastupiteľstva“.</w:t>
      </w:r>
    </w:p>
    <w:p w:rsidR="009F1C65" w:rsidRPr="009F1C65" w:rsidP="009F1C65">
      <w:pPr>
        <w:jc w:val="both"/>
        <w:rPr>
          <w:rFonts w:cs="Times New Roman"/>
        </w:rPr>
      </w:pPr>
    </w:p>
    <w:p w:rsidR="009F1C65" w:rsidRPr="009F1C65" w:rsidP="009F1C65">
      <w:pPr>
        <w:numPr>
          <w:ilvl w:val="0"/>
          <w:numId w:val="2"/>
        </w:numPr>
        <w:tabs>
          <w:tab w:val="left" w:pos="720"/>
        </w:tabs>
        <w:jc w:val="both"/>
        <w:rPr>
          <w:rFonts w:cs="Times New Roman"/>
        </w:rPr>
      </w:pPr>
      <w:r w:rsidRPr="009F1C65">
        <w:rPr>
          <w:rFonts w:cs="Times New Roman"/>
        </w:rPr>
        <w:t xml:space="preserve">V § 30a sa vypúšťa </w:t>
      </w:r>
      <w:r w:rsidRPr="009F1C65" w:rsidR="00E65964">
        <w:rPr>
          <w:rFonts w:cs="Times New Roman"/>
        </w:rPr>
        <w:t>odsek</w:t>
      </w:r>
      <w:r w:rsidRPr="009F1C65">
        <w:rPr>
          <w:rFonts w:cs="Times New Roman"/>
        </w:rPr>
        <w:t xml:space="preserve"> 6.</w:t>
      </w:r>
    </w:p>
    <w:p w:rsidR="009F1C65" w:rsidRPr="009F1C65" w:rsidP="009F1C65">
      <w:pPr>
        <w:jc w:val="both"/>
        <w:rPr>
          <w:rFonts w:cs="Times New Roman"/>
        </w:rPr>
      </w:pPr>
    </w:p>
    <w:p w:rsidR="009F1C65" w:rsidRPr="009F1C65" w:rsidP="009F1C65">
      <w:pPr>
        <w:numPr>
          <w:ilvl w:val="0"/>
          <w:numId w:val="2"/>
        </w:numPr>
        <w:tabs>
          <w:tab w:val="left" w:pos="720"/>
        </w:tabs>
        <w:jc w:val="both"/>
        <w:rPr>
          <w:rFonts w:cs="Times New Roman"/>
        </w:rPr>
      </w:pPr>
      <w:r w:rsidRPr="009F1C65">
        <w:rPr>
          <w:rFonts w:cs="Times New Roman"/>
        </w:rPr>
        <w:t>Za § 30b sa vkladá § 30c, ktorý znie:</w:t>
      </w:r>
    </w:p>
    <w:p w:rsidR="009F1C65" w:rsidRPr="009F1C65" w:rsidP="009F1C65">
      <w:pPr>
        <w:jc w:val="both"/>
        <w:rPr>
          <w:rFonts w:cs="Times New Roman"/>
        </w:rPr>
      </w:pPr>
    </w:p>
    <w:p w:rsidR="009F1C65" w:rsidRPr="009F1C65" w:rsidP="009F1C65">
      <w:pPr>
        <w:ind w:left="360"/>
        <w:jc w:val="center"/>
        <w:rPr>
          <w:rFonts w:cs="Times New Roman"/>
        </w:rPr>
      </w:pPr>
      <w:r w:rsidRPr="009F1C65">
        <w:rPr>
          <w:rFonts w:cs="Times New Roman"/>
        </w:rPr>
        <w:t>„</w:t>
      </w:r>
      <w:r w:rsidR="00876CB8">
        <w:rPr>
          <w:rFonts w:cs="Times New Roman"/>
        </w:rPr>
        <w:t xml:space="preserve">§ </w:t>
      </w:r>
      <w:r w:rsidRPr="009F1C65">
        <w:rPr>
          <w:rFonts w:cs="Times New Roman"/>
        </w:rPr>
        <w:t>30c</w:t>
      </w:r>
    </w:p>
    <w:p w:rsidR="009F1C65" w:rsidRPr="009F1C65" w:rsidP="009F1C65">
      <w:pPr>
        <w:ind w:left="360"/>
        <w:jc w:val="center"/>
        <w:rPr>
          <w:rFonts w:cs="Times New Roman"/>
        </w:rPr>
      </w:pPr>
    </w:p>
    <w:p w:rsidR="009F1C65" w:rsidRPr="009F1C65" w:rsidP="009F1C65">
      <w:pPr>
        <w:ind w:left="360"/>
        <w:rPr>
          <w:rFonts w:cs="Times New Roman"/>
        </w:rPr>
      </w:pPr>
      <w:r w:rsidRPr="009F1C65">
        <w:rPr>
          <w:rFonts w:cs="Times New Roman"/>
        </w:rPr>
        <w:t xml:space="preserve">     Hlavný  kontrolór, ktorý je zvolený podľa </w:t>
      </w:r>
      <w:r w:rsidRPr="009F1C65" w:rsidR="00E65964">
        <w:rPr>
          <w:rFonts w:cs="Times New Roman"/>
        </w:rPr>
        <w:t>predpisov</w:t>
      </w:r>
      <w:r w:rsidRPr="009F1C65">
        <w:rPr>
          <w:rFonts w:cs="Times New Roman"/>
        </w:rPr>
        <w:t xml:space="preserve"> platných do 30. júna 2004 a nespĺňa podmienku podľa § 18 ods. 1 tretej vety, je povinný ju splniť do 1. marca 2005, inak sa má za to, že sa v tento deň svojej funkcie vzdal.“</w:t>
      </w:r>
    </w:p>
    <w:p w:rsidR="009F1C65" w:rsidRPr="009F1C65" w:rsidP="009F1C65">
      <w:pPr>
        <w:jc w:val="center"/>
        <w:rPr>
          <w:rFonts w:cs="Times New Roman"/>
        </w:rPr>
      </w:pPr>
    </w:p>
    <w:p w:rsidR="00E422A7" w:rsidRPr="009F1C65" w:rsidP="00E422A7">
      <w:pPr>
        <w:ind w:left="360"/>
        <w:jc w:val="center"/>
        <w:rPr>
          <w:rFonts w:cs="Times New Roman"/>
          <w:b/>
        </w:rPr>
      </w:pPr>
    </w:p>
    <w:p w:rsidR="00E422A7" w:rsidRPr="009F1C65" w:rsidP="00E422A7">
      <w:pPr>
        <w:ind w:left="360"/>
        <w:jc w:val="center"/>
        <w:rPr>
          <w:rFonts w:cs="Times New Roman"/>
          <w:b/>
        </w:rPr>
      </w:pPr>
    </w:p>
    <w:p w:rsidR="00E422A7" w:rsidRPr="009F1C65" w:rsidP="00E422A7">
      <w:pPr>
        <w:ind w:left="360"/>
        <w:jc w:val="center"/>
        <w:rPr>
          <w:rFonts w:cs="Times New Roman"/>
          <w:b/>
        </w:rPr>
      </w:pPr>
      <w:r w:rsidRPr="009F1C65">
        <w:rPr>
          <w:rFonts w:cs="Times New Roman"/>
          <w:b/>
        </w:rPr>
        <w:t>Čl. II</w:t>
      </w:r>
    </w:p>
    <w:p w:rsidR="00E422A7" w:rsidRPr="009F1C65" w:rsidP="00E422A7">
      <w:pPr>
        <w:rPr>
          <w:rFonts w:cs="Times New Roman"/>
        </w:rPr>
      </w:pPr>
    </w:p>
    <w:p w:rsidR="00E422A7" w:rsidRPr="009F1C65" w:rsidP="00E422A7">
      <w:pPr>
        <w:ind w:firstLine="708"/>
        <w:jc w:val="both"/>
        <w:rPr>
          <w:rFonts w:cs="Times New Roman"/>
        </w:rPr>
      </w:pPr>
      <w:r w:rsidRPr="009F1C65">
        <w:rPr>
          <w:rFonts w:cs="Times New Roman"/>
        </w:rPr>
        <w:t xml:space="preserve">Zákon č. 302/2001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 xml:space="preserve">. o samospráve vyšších územných celkov (zákon o samosprávnych krajoch) v znení zákona č. 445/2001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 xml:space="preserve">., zákona č. 553/2003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 xml:space="preserve">. a zákona č. 369/2004 </w:t>
      </w:r>
      <w:r w:rsidRPr="009F1C65" w:rsidR="00E65964">
        <w:rPr>
          <w:rFonts w:cs="Times New Roman"/>
        </w:rPr>
        <w:t>Z.</w:t>
      </w:r>
      <w:r w:rsidR="00E65964">
        <w:rPr>
          <w:rFonts w:cs="Times New Roman"/>
        </w:rPr>
        <w:t xml:space="preserve"> </w:t>
      </w:r>
      <w:r w:rsidRPr="009F1C65" w:rsidR="00E65964">
        <w:rPr>
          <w:rFonts w:cs="Times New Roman"/>
        </w:rPr>
        <w:t>z</w:t>
      </w:r>
      <w:r w:rsidRPr="009F1C65">
        <w:rPr>
          <w:rFonts w:cs="Times New Roman"/>
        </w:rPr>
        <w:t>.  sa mení a  dopĺňa takto:</w:t>
      </w:r>
    </w:p>
    <w:p w:rsidR="00E422A7" w:rsidRPr="009F1C65" w:rsidP="00E422A7">
      <w:pPr>
        <w:pStyle w:val="BodyTextIndent3"/>
        <w:ind w:firstLine="567"/>
        <w:rPr>
          <w:rFonts w:cs="Times New Roman"/>
          <w:b/>
        </w:rPr>
      </w:pPr>
    </w:p>
    <w:p w:rsidR="00E422A7" w:rsidRPr="009F1C65" w:rsidP="00E422A7">
      <w:pPr>
        <w:numPr>
          <w:ilvl w:val="0"/>
          <w:numId w:val="1"/>
        </w:numPr>
        <w:tabs>
          <w:tab w:val="left" w:pos="540"/>
        </w:tabs>
        <w:jc w:val="both"/>
        <w:rPr>
          <w:rFonts w:cs="Times New Roman"/>
        </w:rPr>
      </w:pPr>
      <w:r w:rsidRPr="009F1C65">
        <w:rPr>
          <w:rFonts w:cs="Times New Roman"/>
        </w:rPr>
        <w:t>V § 1</w:t>
      </w:r>
      <w:r w:rsidRPr="009F1C65" w:rsidR="009F1C65">
        <w:rPr>
          <w:rFonts w:cs="Times New Roman"/>
        </w:rPr>
        <w:t xml:space="preserve">6 sa za </w:t>
      </w:r>
      <w:r w:rsidRPr="009F1C65">
        <w:rPr>
          <w:rFonts w:cs="Times New Roman"/>
        </w:rPr>
        <w:t xml:space="preserve"> odsek </w:t>
      </w:r>
      <w:r w:rsidRPr="009F1C65" w:rsidR="009F1C65">
        <w:rPr>
          <w:rFonts w:cs="Times New Roman"/>
        </w:rPr>
        <w:t>4 vkladá nový odsek 5, ktorý znie:</w:t>
      </w:r>
    </w:p>
    <w:p w:rsidR="009F1C65" w:rsidRPr="009F1C65" w:rsidP="009F1C65">
      <w:pPr>
        <w:ind w:left="540"/>
        <w:jc w:val="both"/>
        <w:rPr>
          <w:rFonts w:cs="Times New Roman"/>
        </w:rPr>
      </w:pPr>
      <w:r w:rsidRPr="009F1C65">
        <w:rPr>
          <w:rFonts w:cs="Times New Roman"/>
        </w:rPr>
        <w:t>„(5) Ustanovenie odseku 4 sa nevzťahuje na uznesenie o voľbe a odvolaní hlavného kontrolóra.“</w:t>
      </w:r>
    </w:p>
    <w:p w:rsidR="009F1C65" w:rsidRPr="009F1C65" w:rsidP="009F1C65">
      <w:pPr>
        <w:ind w:left="540"/>
        <w:jc w:val="both"/>
        <w:rPr>
          <w:rFonts w:cs="Times New Roman"/>
        </w:rPr>
      </w:pPr>
    </w:p>
    <w:p w:rsidR="009F1C65" w:rsidRPr="009F1C65" w:rsidP="009F1C65">
      <w:pPr>
        <w:ind w:left="540"/>
        <w:jc w:val="both"/>
        <w:rPr>
          <w:rFonts w:cs="Times New Roman"/>
        </w:rPr>
      </w:pPr>
      <w:r w:rsidRPr="009F1C65">
        <w:rPr>
          <w:rFonts w:cs="Times New Roman"/>
        </w:rPr>
        <w:t>Doterajšie odseky 5 až 10 sa označujú ako odseky 6 až 11.</w:t>
      </w:r>
    </w:p>
    <w:p w:rsidR="009F1C65" w:rsidRPr="009F1C65" w:rsidP="009F1C65">
      <w:pPr>
        <w:ind w:left="540"/>
        <w:jc w:val="both"/>
        <w:rPr>
          <w:rFonts w:cs="Times New Roman"/>
        </w:rPr>
      </w:pPr>
    </w:p>
    <w:p w:rsidR="009F1C65" w:rsidRPr="009F1C65" w:rsidP="00435A08">
      <w:pPr>
        <w:ind w:left="540" w:hanging="360"/>
        <w:jc w:val="both"/>
        <w:rPr>
          <w:rFonts w:cs="Times New Roman"/>
          <w:b/>
        </w:rPr>
      </w:pPr>
      <w:r w:rsidR="00435A08">
        <w:rPr>
          <w:rFonts w:cs="Times New Roman"/>
        </w:rPr>
        <w:t xml:space="preserve">2. </w:t>
      </w:r>
      <w:r w:rsidRPr="009F1C65" w:rsidR="00E422A7">
        <w:rPr>
          <w:rFonts w:cs="Times New Roman"/>
        </w:rPr>
        <w:t>V § 19a ods</w:t>
      </w:r>
      <w:r w:rsidRPr="009F1C65">
        <w:rPr>
          <w:rFonts w:cs="Times New Roman"/>
        </w:rPr>
        <w:t>.</w:t>
      </w:r>
      <w:r w:rsidRPr="009F1C65" w:rsidR="00E422A7">
        <w:rPr>
          <w:rFonts w:cs="Times New Roman"/>
        </w:rPr>
        <w:t xml:space="preserve"> 3 </w:t>
      </w:r>
      <w:r w:rsidRPr="009F1C65">
        <w:rPr>
          <w:rFonts w:cs="Times New Roman"/>
        </w:rPr>
        <w:t>sa slová „</w:t>
      </w:r>
      <w:r w:rsidRPr="009F1C65" w:rsidR="00E65964">
        <w:rPr>
          <w:rFonts w:cs="Times New Roman"/>
        </w:rPr>
        <w:t>platných</w:t>
      </w:r>
      <w:r w:rsidRPr="009F1C65">
        <w:rPr>
          <w:rFonts w:cs="Times New Roman"/>
        </w:rPr>
        <w:t xml:space="preserve"> hlasov prítomných“ nahrádzajú slovom „všetkých“.</w:t>
      </w:r>
    </w:p>
    <w:p w:rsidR="00E422A7" w:rsidP="009F1C65">
      <w:pPr>
        <w:ind w:left="180"/>
        <w:jc w:val="both"/>
        <w:rPr>
          <w:rFonts w:cs="Times New Roman"/>
          <w:b/>
        </w:rPr>
      </w:pPr>
      <w:r w:rsidRPr="009F1C65" w:rsidR="009F1C65">
        <w:rPr>
          <w:rFonts w:cs="Times New Roman"/>
          <w:b/>
        </w:rPr>
        <w:t xml:space="preserve"> </w:t>
      </w: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P="009F1C65">
      <w:pPr>
        <w:ind w:left="180"/>
        <w:jc w:val="both"/>
        <w:rPr>
          <w:rFonts w:cs="Times New Roman"/>
          <w:b/>
        </w:rPr>
      </w:pPr>
    </w:p>
    <w:p w:rsidR="00435A08" w:rsidRPr="009F1C65" w:rsidP="009F1C65">
      <w:pPr>
        <w:ind w:left="180"/>
        <w:jc w:val="both"/>
        <w:rPr>
          <w:rFonts w:cs="Times New Roman"/>
          <w:b/>
        </w:rPr>
      </w:pPr>
    </w:p>
    <w:p w:rsidR="00E422A7" w:rsidRPr="009F1C65" w:rsidP="00E422A7">
      <w:pPr>
        <w:pStyle w:val="BodyText2"/>
        <w:spacing w:line="240" w:lineRule="auto"/>
        <w:jc w:val="center"/>
        <w:rPr>
          <w:rFonts w:cs="Times New Roman"/>
          <w:b/>
        </w:rPr>
      </w:pPr>
      <w:r w:rsidRPr="009F1C65">
        <w:rPr>
          <w:rFonts w:cs="Times New Roman"/>
          <w:b/>
        </w:rPr>
        <w:t>Čl. III</w:t>
      </w:r>
    </w:p>
    <w:p w:rsidR="00E422A7" w:rsidRPr="009F1C65" w:rsidP="00E422A7">
      <w:pPr>
        <w:pStyle w:val="BodyText2"/>
        <w:spacing w:line="240" w:lineRule="auto"/>
        <w:jc w:val="center"/>
        <w:rPr>
          <w:rFonts w:cs="Times New Roman"/>
          <w:b/>
        </w:rPr>
      </w:pPr>
    </w:p>
    <w:p w:rsidR="00E422A7" w:rsidRPr="009F1C65" w:rsidP="00E422A7">
      <w:pPr>
        <w:pStyle w:val="BodyText2"/>
        <w:spacing w:line="240" w:lineRule="auto"/>
        <w:ind w:firstLine="708"/>
        <w:rPr>
          <w:rFonts w:cs="Times New Roman"/>
          <w:b/>
        </w:rPr>
      </w:pPr>
      <w:r w:rsidRPr="009F1C65">
        <w:rPr>
          <w:rFonts w:cs="Times New Roman"/>
        </w:rPr>
        <w:t>Tento zákon nadobúda účinnosť dňom vyhlásenia.</w:t>
      </w:r>
    </w:p>
    <w:p w:rsidR="00E422A7" w:rsidRPr="009F1C65" w:rsidP="00E422A7">
      <w:pPr>
        <w:rPr>
          <w:rFonts w:cs="Times New Roman"/>
          <w:b/>
        </w:rPr>
      </w:pPr>
    </w:p>
    <w:p w:rsidR="00E422A7" w:rsidRPr="009F1C65" w:rsidP="00E422A7">
      <w:pPr>
        <w:rPr>
          <w:rFonts w:cs="Times New Roman"/>
          <w:b/>
        </w:rPr>
      </w:pPr>
    </w:p>
    <w:p w:rsidR="00E422A7">
      <w:pPr>
        <w:rPr>
          <w:rFonts w:cs="Times New Roman"/>
        </w:rPr>
      </w:pPr>
    </w:p>
    <w:p w:rsidR="00435A08">
      <w:pPr>
        <w:rPr>
          <w:rFonts w:cs="Times New Roman"/>
        </w:rPr>
      </w:pPr>
    </w:p>
    <w:p w:rsidR="00435A08">
      <w:pPr>
        <w:rPr>
          <w:rFonts w:cs="Times New Roman"/>
        </w:rPr>
      </w:pPr>
    </w:p>
    <w:p w:rsidR="00435A08">
      <w:pPr>
        <w:rPr>
          <w:rFonts w:cs="Times New Roman"/>
        </w:rPr>
      </w:pPr>
    </w:p>
    <w:p w:rsidR="00435A08">
      <w:pPr>
        <w:rPr>
          <w:rFonts w:cs="Times New Roman"/>
        </w:rPr>
      </w:pPr>
    </w:p>
    <w:p w:rsidR="00435A08">
      <w:pPr>
        <w:rPr>
          <w:rFonts w:cs="Times New Roman"/>
        </w:rPr>
      </w:pPr>
    </w:p>
    <w:p w:rsidR="00435A08">
      <w:pPr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  <w:r>
        <w:rPr>
          <w:rFonts w:cs="Times New Roman"/>
        </w:rPr>
        <w:t>prezident Slovenskej republiky</w:t>
      </w:r>
    </w:p>
    <w:p w:rsidR="00435A08" w:rsidP="00435A08">
      <w:pPr>
        <w:jc w:val="center"/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  <w:r>
        <w:rPr>
          <w:rFonts w:cs="Times New Roman"/>
        </w:rPr>
        <w:t>predseda Národnej rady Slovenskej republiky</w:t>
      </w:r>
    </w:p>
    <w:p w:rsidR="00435A08" w:rsidP="00435A08">
      <w:pPr>
        <w:jc w:val="center"/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</w:p>
    <w:p w:rsidR="00435A08" w:rsidP="00435A08">
      <w:pPr>
        <w:jc w:val="center"/>
        <w:rPr>
          <w:rFonts w:cs="Times New Roman"/>
        </w:rPr>
      </w:pPr>
      <w:r>
        <w:rPr>
          <w:rFonts w:cs="Times New Roman"/>
        </w:rPr>
        <w:t>predseda vlády Slovenskej republiky</w:t>
      </w:r>
    </w:p>
    <w:p w:rsidR="00DC6F99" w:rsidP="00435A08">
      <w:pPr>
        <w:jc w:val="center"/>
        <w:rPr>
          <w:rFonts w:cs="Times New Roman"/>
        </w:rPr>
      </w:pPr>
    </w:p>
    <w:p w:rsidR="00DC6F99" w:rsidP="00435A08">
      <w:pPr>
        <w:jc w:val="center"/>
        <w:rPr>
          <w:rFonts w:cs="Times New Roman"/>
        </w:rPr>
      </w:pPr>
    </w:p>
    <w:p w:rsidR="00DC6F99" w:rsidP="00435A08">
      <w:pPr>
        <w:jc w:val="center"/>
        <w:rPr>
          <w:rFonts w:cs="Times New Roman"/>
        </w:rPr>
      </w:pPr>
    </w:p>
    <w:p w:rsidR="00DC6F99" w:rsidP="00435A08">
      <w:pPr>
        <w:jc w:val="center"/>
        <w:rPr>
          <w:rFonts w:cs="Times New Roman"/>
        </w:rPr>
      </w:pPr>
    </w:p>
    <w:p w:rsidR="00DC6F99" w:rsidP="00435A08">
      <w:pPr>
        <w:jc w:val="center"/>
        <w:rPr>
          <w:rFonts w:cs="Times New Roman"/>
        </w:rPr>
      </w:pPr>
    </w:p>
    <w:p w:rsidR="00DC6F99" w:rsidP="00435A08">
      <w:pPr>
        <w:jc w:val="center"/>
        <w:rPr>
          <w:rFonts w:cs="Times New Roman"/>
        </w:rPr>
      </w:pPr>
    </w:p>
    <w:p w:rsidR="00DC6F99" w:rsidP="00435A08">
      <w:pPr>
        <w:jc w:val="center"/>
        <w:rPr>
          <w:rFonts w:cs="Times New Roman"/>
        </w:rPr>
      </w:pPr>
    </w:p>
    <w:p w:rsidR="00DC6F99" w:rsidP="00435A08">
      <w:pPr>
        <w:jc w:val="center"/>
        <w:rPr>
          <w:rFonts w:cs="Times New Roman"/>
        </w:rPr>
      </w:pPr>
    </w:p>
    <w:p w:rsidR="00DC6F99" w:rsidP="00435A08">
      <w:pPr>
        <w:jc w:val="center"/>
        <w:rPr>
          <w:rFonts w:cs="Times New Roman"/>
        </w:rPr>
      </w:pPr>
    </w:p>
    <w:p w:rsidR="00DC6F99" w:rsidP="00435A08">
      <w:pPr>
        <w:jc w:val="center"/>
        <w:rPr>
          <w:rFonts w:cs="Times New Roman"/>
        </w:rPr>
      </w:pPr>
    </w:p>
    <w:p w:rsidR="00DC6F99" w:rsidP="00435A08">
      <w:pPr>
        <w:jc w:val="center"/>
        <w:rPr>
          <w:rFonts w:cs="Times New Roman"/>
        </w:rPr>
      </w:pPr>
    </w:p>
    <w:p w:rsidR="00DC6F99" w:rsidP="00435A08">
      <w:pPr>
        <w:jc w:val="center"/>
        <w:rPr>
          <w:rFonts w:cs="Times New Roman"/>
        </w:rPr>
      </w:pPr>
    </w:p>
    <w:p w:rsidR="00DC6F99" w:rsidP="00435A08">
      <w:pPr>
        <w:jc w:val="center"/>
        <w:rPr>
          <w:rFonts w:cs="Times New Roman"/>
        </w:rPr>
      </w:pPr>
    </w:p>
    <w:p w:rsidR="00DC6F99" w:rsidP="00435A08">
      <w:pPr>
        <w:jc w:val="center"/>
        <w:rPr>
          <w:rFonts w:cs="Times New Roman"/>
        </w:rPr>
      </w:pPr>
    </w:p>
    <w:p w:rsidR="00DC6F99" w:rsidP="00435A08">
      <w:pPr>
        <w:jc w:val="center"/>
        <w:rPr>
          <w:rFonts w:cs="Times New Roman"/>
        </w:rPr>
      </w:pPr>
    </w:p>
    <w:p w:rsidR="00DC6F99" w:rsidP="00435A08">
      <w:pPr>
        <w:jc w:val="center"/>
        <w:rPr>
          <w:rFonts w:cs="Times New Roman"/>
        </w:rPr>
      </w:pPr>
    </w:p>
    <w:sectPr>
      <w:footerReference w:type="even" r:id="rId4"/>
      <w:footerReference w:type="default" r:id="rId5"/>
      <w:pgSz w:w="11906" w:h="16838"/>
      <w:pgMar w:top="1418" w:right="1247" w:bottom="1418" w:left="124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66" w:rsidP="008F5666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8F5666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66" w:rsidP="008F5666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876CB8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8F5666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A2B"/>
    <w:multiLevelType w:val="hybridMultilevel"/>
    <w:tmpl w:val="014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B1CD3"/>
    <w:multiLevelType w:val="hybridMultilevel"/>
    <w:tmpl w:val="78E0BD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35A08"/>
    <w:rsid w:val="00876CB8"/>
    <w:rsid w:val="008F5666"/>
    <w:rsid w:val="009F1C65"/>
    <w:rsid w:val="00DC6F99"/>
    <w:rsid w:val="00E422A7"/>
    <w:rsid w:val="00E6596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A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Indent3">
    <w:name w:val="Body Text Indent 3"/>
    <w:basedOn w:val="Normal"/>
    <w:rsid w:val="00E422A7"/>
    <w:pPr>
      <w:ind w:left="180"/>
      <w:jc w:val="both"/>
    </w:pPr>
  </w:style>
  <w:style w:type="paragraph" w:styleId="BodyText2">
    <w:name w:val="Body Text 2"/>
    <w:basedOn w:val="Normal"/>
    <w:rsid w:val="00E422A7"/>
    <w:pPr>
      <w:spacing w:after="120" w:line="480" w:lineRule="auto"/>
      <w:jc w:val="left"/>
    </w:pPr>
  </w:style>
  <w:style w:type="paragraph" w:styleId="Footer">
    <w:name w:val="footer"/>
    <w:basedOn w:val="Normal"/>
    <w:rsid w:val="008F566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F56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404</Words>
  <Characters>2307</Characters>
  <Application>Microsoft Office Word</Application>
  <DocSecurity>0</DocSecurity>
  <Lines>0</Lines>
  <Paragraphs>0</Paragraphs>
  <ScaleCrop>false</ScaleCrop>
  <Company>Kancelaria NRSR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 RADA   SLOVENSKEJ   REPUBLIKY</dc:title>
  <dc:creator>Ružena Hircová</dc:creator>
  <cp:lastModifiedBy>Ružena Hircová</cp:lastModifiedBy>
  <cp:revision>6</cp:revision>
  <cp:lastPrinted>2004-10-28T12:50:00Z</cp:lastPrinted>
  <dcterms:created xsi:type="dcterms:W3CDTF">2004-10-28T12:14:00Z</dcterms:created>
  <dcterms:modified xsi:type="dcterms:W3CDTF">2004-10-28T13:44:00Z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-673274944</vt:i4>
  </property>
  <property fmtid="{D5CDD505-2E9C-101B-9397-08002B2CF9AE}" pid="3" name="_AuthorEmail">
    <vt:lpwstr>HircRuze@nrsr.sk</vt:lpwstr>
  </property>
  <property fmtid="{D5CDD505-2E9C-101B-9397-08002B2CF9AE}" pid="4" name="_AuthorEmailDisplayName">
    <vt:lpwstr>Hircová Ružena</vt:lpwstr>
  </property>
  <property fmtid="{D5CDD505-2E9C-101B-9397-08002B2CF9AE}" pid="5" name="_EmailSubject">
    <vt:lpwstr>NRSR851, NRSR849, NRSR802, NRSR834, NRSR786, NRSR848, NRSR815, NRSR814, NRSR854</vt:lpwstr>
  </property>
</Properties>
</file>