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872/2002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2077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zo 14. mája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>
        <w:rPr>
          <w:rFonts w:ascii="Arial" w:hAnsi="Arial" w:cs="Arial"/>
          <w:noProof/>
        </w:rPr>
        <w:t xml:space="preserve">vládnemu návrhu zákona o burze cenných papierov </w:t>
      </w:r>
      <w:r>
        <w:rPr>
          <w:rFonts w:ascii="Arial" w:hAnsi="Arial" w:cs="Arial"/>
        </w:rPr>
        <w:t>(tlač 1466)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 xml:space="preserve">po prerokovaní </w:t>
      </w:r>
      <w:r>
        <w:rPr>
          <w:rFonts w:ascii="Arial" w:hAnsi="Arial" w:cs="Arial"/>
          <w:noProof/>
        </w:rPr>
        <w:t xml:space="preserve">vládneho návrhu zákona o burze cenných papierov </w:t>
      </w:r>
      <w:r>
        <w:rPr>
          <w:rFonts w:ascii="Arial" w:hAnsi="Arial" w:cs="Arial"/>
        </w:rPr>
        <w:t>(tlač 1466)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</w:t>
      </w:r>
      <w:r>
        <w:rPr>
          <w:rFonts w:cs="Arial"/>
        </w:rPr>
        <w:t xml:space="preserve">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  <w:noProof/>
          <w:sz w:val="22"/>
        </w:rPr>
        <w:t xml:space="preserve">        </w:t>
      </w:r>
      <w:r>
        <w:rPr>
          <w:rFonts w:cs="Arial"/>
          <w:noProof/>
        </w:rPr>
        <w:t xml:space="preserve">vládny návrh zákona o burze cenných papierov </w:t>
      </w:r>
      <w:r>
        <w:rPr>
          <w:rFonts w:cs="Arial"/>
        </w:rPr>
        <w:t>(tlač 1466)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</w:t>
      </w:r>
      <w:r>
        <w:rPr>
          <w:rFonts w:cs="Arial"/>
          <w:b/>
          <w:bCs/>
          <w:sz w:val="28"/>
        </w:rPr>
        <w:t>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080"/>
        </w:tabs>
        <w:jc w:val="both"/>
        <w:rPr>
          <w:rFonts w:cs="Arial"/>
        </w:rPr>
      </w:pPr>
      <w:r>
        <w:rPr>
          <w:rFonts w:cs="Arial"/>
        </w:rPr>
        <w:tab/>
        <w:t xml:space="preserve">  Ústavnoprávnemu výboru Národnej rady Slovenskej republiky a</w:t>
      </w:r>
    </w:p>
    <w:p>
      <w:pPr>
        <w:pStyle w:val="BodyTextIndent2"/>
      </w:pPr>
      <w:r>
        <w:t>Výboru Národnej rady Slovenskej republiky pre financie, rozpočet a menu;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</w:t>
      </w:r>
      <w:r>
        <w:rPr>
          <w:rFonts w:cs="Arial"/>
        </w:rPr>
        <w:t>Národnej rady Slovenskej republiky pre financie, rozpočet a menu,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do 26. júna 2002 a v gestorskom výbore do 28. júna 2002.</w:t>
      </w: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</w:t>
      </w:r>
      <w:r>
        <w:rPr>
          <w:rFonts w:cs="Arial"/>
        </w:rPr>
        <w:t xml:space="preserve">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Marian  M e s i a r i k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Ľudmila  M u š k o v á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260"/>
      </w:tabs>
      <w:ind w:left="1260"/>
      <w:jc w:val="both"/>
    </w:pPr>
    <w:rPr>
      <w:rFonts w:cs="Arial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200</Words>
  <Characters>1141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cp:lastPrinted>2002-05-15T09:28:00Z</cp:lastPrinted>
  <dcterms:created xsi:type="dcterms:W3CDTF">2002-05-15T09:28:00Z</dcterms:created>
  <dcterms:modified xsi:type="dcterms:W3CDTF">2002-05-15T09:28:00Z</dcterms:modified>
</cp:coreProperties>
</file>