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2280/2001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1901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februára 2002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upravia podmienky držania psov (tlač 1288)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 skupiny poslancov Národnej rady Slovenskej republiky na vydanie zákona, ktorým sa upravia podmienky držania psov (tlač 1288)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2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</w:t>
        <w:br/>
        <w:t>na vydanie zákona, ktorým sa upravia podmienky držania psov (tlač 1288)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</w:t>
      </w:r>
      <w:r>
        <w:rPr>
          <w:rFonts w:cs="Times New Roman"/>
        </w:rPr>
        <w:t>boru Národnej rady Slovenskej republiky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financie, rozpočet a menu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pôdohospodárstvo a Výboru Národnej rady Slovenskej republiky pre verejnú správu;</w:t>
      </w:r>
    </w:p>
    <w:p>
      <w:pPr>
        <w:tabs>
          <w:tab w:val="left" w:pos="1080"/>
        </w:tabs>
        <w:rPr>
          <w:rFonts w:cs="Times New Roman"/>
          <w:bCs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verejnú správu,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2002 a v gestorskom výbore do 15</w:t>
      </w:r>
      <w:r>
        <w:rPr>
          <w:rFonts w:cs="Arial"/>
        </w:rPr>
        <w:t>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440"/>
      </w:tabs>
      <w:ind w:firstLine="1260"/>
      <w:jc w:val="both"/>
    </w:pPr>
  </w:style>
  <w:style w:type="paragraph" w:styleId="BodyTextIndent3">
    <w:name w:val="Body Text Indent 3"/>
    <w:basedOn w:val="Normal"/>
    <w:pPr>
      <w:tabs>
        <w:tab w:val="left" w:pos="1440"/>
      </w:tabs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245</Words>
  <Characters>1400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2002-02-25T14:49:00Z</cp:lastPrinted>
  <dcterms:created xsi:type="dcterms:W3CDTF">2002-02-25T14:11:00Z</dcterms:created>
  <dcterms:modified xsi:type="dcterms:W3CDTF">2002-02-27T09:33:00Z</dcterms:modified>
</cp:coreProperties>
</file>