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1184/2001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1639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októbra 2001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vládnemu návrhu zákona, ktorým sa mení a dopĺňa zákon č. 231/1999 Z. z. o štátnej pomoci (tlač 1026)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>Národn</w:t>
      </w:r>
      <w:r>
        <w:rPr>
          <w:rFonts w:cs="Times New Roman"/>
        </w:rPr>
        <w:t>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vládneho návrhu zákona, ktorým sa mení a dopĺňa zákon </w:t>
        <w:br/>
        <w:t>č. 231/1999 Z. z. o štátnej pomoci (tlač 1026),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zákona, ktorým sa mení a dopĺňa zákon č. 231/1999 Z. z. o štátnej pomoci, v znení schválených pozmeňujúcich a doplňujúcich návrhov zo spoločnej správy výborov (tlač 1026a).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113</Words>
  <Characters>649</Characters>
  <Application>Microsoft Office Word</Application>
  <DocSecurity>0</DocSecurity>
  <Lines>0</Lines>
  <Paragraphs>0</Paragraphs>
  <ScaleCrop>false</ScaleCrop>
  <Company>Kancelária NR SR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2001-10-08T10:03:00Z</cp:lastPrinted>
  <dcterms:created xsi:type="dcterms:W3CDTF">2001-10-08T08:02:00Z</dcterms:created>
  <dcterms:modified xsi:type="dcterms:W3CDTF">2001-10-08T10:04:00Z</dcterms:modified>
</cp:coreProperties>
</file>