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579/2001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1345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apríla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Colného zákona (tlač 911) - prvé čítanie</w:t>
      </w:r>
    </w:p>
    <w:p>
      <w:pPr>
        <w:jc w:val="both"/>
        <w:rPr>
          <w:rFonts w:cs="Arial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vládneho návrhu Colného zákona (tlač 911),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</w:t>
      </w:r>
      <w:r>
        <w:rPr>
          <w:rFonts w:cs="Arial"/>
        </w:rPr>
        <w:t xml:space="preserve">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vládny návrh Colného zákona (tlač 911)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</w:t>
      </w:r>
      <w:r>
        <w:rPr>
          <w:rFonts w:cs="Times New Roman"/>
        </w:rPr>
        <w:t>odnej rady Slovenskej republiky</w:t>
      </w:r>
    </w:p>
    <w:p>
      <w:pPr>
        <w:ind w:left="708" w:firstLine="492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hospodárstvo, privatizáciu a podnikanie </w:t>
      </w:r>
    </w:p>
    <w:p>
      <w:pPr>
        <w:ind w:left="708" w:firstLine="492"/>
        <w:jc w:val="both"/>
        <w:rPr>
          <w:rFonts w:cs="Times New Roman"/>
        </w:rPr>
      </w:pPr>
      <w:r>
        <w:rPr>
          <w:rFonts w:cs="Times New Roman"/>
        </w:rPr>
        <w:t>Výboru Národnej rady Slovenskej republiky pre pôdohospodárstvo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</w:t>
      </w:r>
      <w:r>
        <w:rPr>
          <w:rFonts w:cs="Times New Roman"/>
        </w:rPr>
        <w:t>boru Národnej rady Slovenskej republiky pre verejnú správu a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 bezpečnosť;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 menu,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7. mája 2001 a v gestorskom výbore do 9. mája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Milan  I š t v á n  v. r.</w:t>
      </w:r>
    </w:p>
    <w:p>
      <w:pPr>
        <w:jc w:val="both"/>
        <w:rPr>
          <w:rFonts w:cs="Arial"/>
        </w:rPr>
      </w:pPr>
      <w:r>
        <w:rPr>
          <w:rFonts w:cs="Arial"/>
        </w:rPr>
        <w:t>Pavol  K a č i c  v. r.</w:t>
      </w: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229</Words>
  <Characters>1309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2001-04-10T07:04:00Z</cp:lastPrinted>
  <dcterms:created xsi:type="dcterms:W3CDTF">2001-04-09T09:20:00Z</dcterms:created>
  <dcterms:modified xsi:type="dcterms:W3CDTF">2001-04-10T07:10:00Z</dcterms:modified>
</cp:coreProperties>
</file>