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391/2001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1306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21. marca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skupiny poslancov Národnej rady Slovenskej republiky na vydanie zákona, ktorým sa mení a dopĺňa zákon č. 100/1988 Zb. o sociálnom zabezpečení v znení neskorších predpisov (tlač 903)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návrhu skupiny poslancov Národnej rady Slovenskej republiky na vydanie zákona, ktorým sa mení a dopĺňa zákon č. 100/1988 Zb. o sociálnom zabezpečení v znení neskorších predpisov (tlač 903),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</w:t>
      </w:r>
      <w:r>
        <w:rPr>
          <w:rFonts w:cs="Arial"/>
        </w:rPr>
        <w:t xml:space="preserve">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 návrh skupiny poslancov Národnej rady Slovenskej republiky na vydanie zákona, ktorým sa mení a dopĺňa zákon č. 100/1988 Zb. o sociálnom zabezpečení v znení neskorších predpisov (tlač 903)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</w:t>
      </w:r>
      <w:r>
        <w:rPr>
          <w:rFonts w:cs="Arial"/>
        </w:rPr>
        <w:t>pre sociálne veci a bývanie</w:t>
      </w: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pre hospodárstvo, privatizáciu a podnikanie a </w:t>
      </w: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financie, rozpočet a menu;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</w:t>
      </w:r>
      <w:r>
        <w:rPr>
          <w:rFonts w:cs="Arial"/>
        </w:rPr>
        <w:t>ko gestorský Výbor Národnej rady Slovenskej republiky pre sociálne veci a bývanie,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2. mája 2001 a v gestorskom výbore do 4. mája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</w:t>
      </w:r>
      <w:r>
        <w:rPr>
          <w:rFonts w:cs="Arial"/>
        </w:rPr>
        <w:t>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ind w:left="4248" w:hanging="424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Milan  I š t v á n  v. r.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Pavol  K a č i c  v. r.</w:t>
      </w:r>
    </w:p>
    <w:p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275</Words>
  <Characters>1570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cp:lastPrinted>2001-03-22T07:33:00Z</cp:lastPrinted>
  <dcterms:created xsi:type="dcterms:W3CDTF">2001-03-22T07:57:00Z</dcterms:created>
  <dcterms:modified xsi:type="dcterms:W3CDTF">2001-03-22T07:57:00Z</dcterms:modified>
</cp:coreProperties>
</file>