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774/2000-sekr.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907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15. júna 2000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 xml:space="preserve">k zákonu z 12.mája 2000, ktorým sa mení a dopĺňa zákon Národnej rady Slovenskej republiky č. 38/1993 Z. z. o  organizácii Ústavného súdu Slovenskej republiky, </w:t>
        <w:br/>
        <w:t>o konaní pred ním a o postavení jeho sudcov v znení neskorších predpisov, vrátený prezidentom Slovenskej republiky na opätovné prerokovanie Národnou radou Slovenskej republiky (tlač 657)</w:t>
      </w: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ab/>
        <w:t>Národná  rada  Slo</w:t>
      </w:r>
      <w:r>
        <w:rPr>
          <w:rFonts w:cs="Times New Roman"/>
          <w:b/>
          <w:sz w:val="32"/>
        </w:rPr>
        <w:t>venskej  republiky</w:t>
      </w: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  <w:r>
        <w:rPr>
          <w:rFonts w:cs="Times New Roman"/>
        </w:rPr>
        <w:tab/>
        <w:t>podľa čl. 87 ods. 3 Ústavy Slovenskej republiky po opätovnom prerokovaní v druhom a treťom čítaní</w:t>
      </w: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ab/>
        <w:t>s c h v a ľ u j e</w:t>
      </w:r>
    </w:p>
    <w:p>
      <w:pPr>
        <w:jc w:val="left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zákon z 12.mája 2000, ktorým sa mení a dopĺňa zákon Národnej rady Slovenskej republiky č. 38/1993 Z. z. o  organizácii Ústavného súdu Slovenskej republiky, o konaní pred ním a o postavení jeho sudcov v znení neskorších predpisov, vrátený prezidentom Slovenskej republiky, so schválenými pripomienkami prezidenta uvedenými v jeho rozhodnutí.</w:t>
      </w: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>pre</w:t>
      </w:r>
      <w:r>
        <w:rPr>
          <w:rFonts w:cs="Times New Roman"/>
        </w:rPr>
        <w:t xml:space="preserve">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Jaroslav  S l a n ý  v. r.</w:t>
      </w: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 š t v á n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164</Words>
  <Characters>937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2000-07-03T06:15:00Z</cp:lastPrinted>
  <dcterms:created xsi:type="dcterms:W3CDTF">2000-06-20T06:12:00Z</dcterms:created>
  <dcterms:modified xsi:type="dcterms:W3CDTF">2000-07-03T06:16:00Z</dcterms:modified>
</cp:coreProperties>
</file>