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  <w:lang w:val="cs-CZ"/>
        </w:rPr>
        <w:t>Číslo: 1176/1999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727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  <w:lang w:val="cs-CZ"/>
        </w:rPr>
        <w:t>zo 16. februára 2000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 Národnej rady Slovenskej republiky č. 350/1996 Z. z. o rokovacom poriadku Národnej rady Slovenskej republiky v znení nálezu Ústavného súdu Slovenskej republiky č. 77/1998 Z. z. (tlač 336)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Národnej rady Slovenskej republiky č. 350/1996 Z. z. o rokovacom poriadku Národnej rady Slovenskej republiky v znení nálezu Ústavného súdu Slovenskej republiky č. 77/1998 Z. z. (tlač 336)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  <w:lang w:val="cs-CZ"/>
        </w:rPr>
        <w:t>návrh skupiny poslancov Národnej rady Slovenskej republiky na vydanie zákona, ktorým sa mení a dopĺňa zákon Národnej rady Slovenskej republiky č. 350/1996 Z. z. o rokovacom poriadku Národnej rady Slovenskej republiky v znení nálezu Úst</w:t>
      </w:r>
      <w:r>
        <w:rPr>
          <w:rFonts w:cs="Times New Roman"/>
          <w:lang w:val="cs-CZ"/>
        </w:rPr>
        <w:t>avného súdu Slovenskej republiky č. 77/1998 Z. z., v znení schválených pozmeňujúcich a doplňujúcich návrhov zo spoločnej správy výborov (tlač 336a) a poslancov z rozpravy.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2000-11-22T13:54:00Z</dcterms:created>
  <dcterms:modified xsi:type="dcterms:W3CDTF">2000-11-22T13:55:00Z</dcterms:modified>
</cp:coreProperties>
</file>