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3DC4">
      <w:pPr>
        <w:pStyle w:val="Heading1"/>
        <w:rPr>
          <w:rFonts w:cs="Times New Roman"/>
        </w:rPr>
      </w:pPr>
      <w:r>
        <w:rPr>
          <w:rFonts w:cs="Times New Roman"/>
        </w:rPr>
        <w:t>II. volebné obdobie</w:t>
      </w:r>
    </w:p>
    <w:p w:rsidR="00453DC4">
      <w:pPr>
        <w:pStyle w:val="slojednacie"/>
        <w:rPr>
          <w:rFonts w:cs="Times New Roman"/>
        </w:rPr>
      </w:pPr>
      <w:r>
        <w:rPr>
          <w:rFonts w:cs="Times New Roman"/>
        </w:rPr>
        <w:t>Číslo: 1</w:t>
      </w:r>
      <w:r w:rsidR="00E7667B">
        <w:rPr>
          <w:rFonts w:cs="Times New Roman"/>
        </w:rPr>
        <w:t>176</w:t>
      </w:r>
      <w:r>
        <w:rPr>
          <w:rFonts w:cs="Times New Roman"/>
        </w:rPr>
        <w:t>/199</w:t>
      </w:r>
      <w:r w:rsidR="00E7667B">
        <w:rPr>
          <w:rFonts w:cs="Times New Roman"/>
        </w:rPr>
        <w:t>9</w:t>
      </w:r>
    </w:p>
    <w:p w:rsidR="00453DC4">
      <w:pPr>
        <w:pStyle w:val="ZnakNRSR"/>
        <w:rPr>
          <w:rFonts w:cs="Times New Roman"/>
        </w:rPr>
      </w:pPr>
      <w:r>
        <w:rPr>
          <w:rFonts w:cs="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453DC4">
      <w:pPr>
        <w:pStyle w:val="slouznesenia"/>
        <w:rPr>
          <w:rFonts w:cs="Times New Roman"/>
        </w:rPr>
      </w:pPr>
      <w:r>
        <w:rPr>
          <w:rFonts w:cs="Times New Roman"/>
        </w:rPr>
        <w:t>4</w:t>
      </w:r>
      <w:r w:rsidR="00E7667B">
        <w:rPr>
          <w:rFonts w:cs="Times New Roman"/>
        </w:rPr>
        <w:t>59</w:t>
      </w:r>
    </w:p>
    <w:p w:rsidR="00453DC4">
      <w:pPr>
        <w:pStyle w:val="Heading1"/>
        <w:rPr>
          <w:rFonts w:cs="Times New Roman"/>
        </w:rPr>
      </w:pPr>
      <w:r>
        <w:rPr>
          <w:rFonts w:cs="Times New Roman"/>
        </w:rPr>
        <w:t>UZNESENIE</w:t>
        <w:br/>
        <w:t>NÁRODNEJ RADY SLOVENSKEJ REPUBLIKY</w:t>
      </w:r>
    </w:p>
    <w:p w:rsidR="00453DC4">
      <w:pPr>
        <w:pStyle w:val="De"/>
        <w:rPr>
          <w:rFonts w:cs="Times New Roman"/>
        </w:rPr>
      </w:pPr>
      <w:r>
        <w:rPr>
          <w:rFonts w:cs="Times New Roman"/>
        </w:rPr>
        <w:t xml:space="preserve">z </w:t>
      </w:r>
      <w:r w:rsidR="00E7667B">
        <w:rPr>
          <w:rFonts w:cs="Times New Roman"/>
        </w:rPr>
        <w:t>29</w:t>
      </w:r>
      <w:r>
        <w:rPr>
          <w:rFonts w:cs="Times New Roman"/>
        </w:rPr>
        <w:t>. septembra 1999</w:t>
      </w:r>
    </w:p>
    <w:p w:rsidR="00453DC4">
      <w:pPr>
        <w:rPr>
          <w:rFonts w:cs="Times New Roman"/>
        </w:rPr>
      </w:pPr>
      <w:r w:rsidR="00E7667B">
        <w:rPr>
          <w:rFonts w:cs="Times New Roman"/>
        </w:rPr>
        <w:t xml:space="preserve">k návrhu skupiny poslancov Národnej rady Slovenskej republiky na vydanie zákona, ktorým sa mení a dopĺňa zákon Národnej rady Slovenskej republiky č. 350/1996 Z. z. o rokovacom poriadku Národnej rady Slovenskej republiky v znení nálezu Ústavného súdu Slovenskej republiky č. 77/1998 Z. z. (tlač 336) </w:t>
      </w:r>
      <w:r w:rsidR="00E7667B">
        <w:rPr>
          <w:rFonts w:cs="Times New Roman"/>
          <w:i/>
        </w:rPr>
        <w:t>- prvé čítanie</w:t>
      </w:r>
    </w:p>
    <w:p w:rsidR="00453DC4">
      <w:pPr>
        <w:pStyle w:val="Heading4"/>
        <w:rPr>
          <w:rFonts w:cs="Times New Roman"/>
        </w:rPr>
      </w:pPr>
      <w:r>
        <w:rPr>
          <w:rFonts w:cs="Times New Roman"/>
        </w:rPr>
        <w:t>Národná rada Slovenskej republiky</w:t>
      </w:r>
    </w:p>
    <w:p w:rsidR="00453DC4">
      <w:pPr>
        <w:pStyle w:val="NormlnyOdsaden"/>
        <w:rPr>
          <w:rFonts w:cs="Times New Roman"/>
        </w:rPr>
      </w:pPr>
      <w:r w:rsidR="00E7667B">
        <w:rPr>
          <w:rFonts w:cs="Times New Roman"/>
        </w:rPr>
        <w:t>po prerokovaní návrhu skupiny poslancov Národnej rady Slovenskej republiky na vydanie zákona, ktorým sa mení a dopĺňa zákon Národnej rady Slovenskej republiky č. 350/1996 Z. z. o rokovacom poriadku Národnej rady Slovenskej republiky v znení nálezu Ústavného súdu Slovenskej republiky č. 77/1998 Z. z. (tlač 336), v prvom čítaní</w:t>
      </w:r>
    </w:p>
    <w:p w:rsidR="00453DC4">
      <w:pPr>
        <w:pStyle w:val="RozhodnutieNRSR"/>
        <w:rPr>
          <w:rFonts w:cs="Times New Roman"/>
        </w:rPr>
      </w:pPr>
      <w:r>
        <w:rPr>
          <w:rFonts w:cs="Times New Roman"/>
        </w:rPr>
        <w:t>A. rozhodla, že</w:t>
      </w:r>
    </w:p>
    <w:p w:rsidR="00453DC4">
      <w:pPr>
        <w:pStyle w:val="NormlnyOdsaden"/>
        <w:rPr>
          <w:rFonts w:cs="Times New Roman"/>
        </w:rPr>
      </w:pPr>
      <w:r>
        <w:rPr>
          <w:rFonts w:cs="Times New Roman"/>
        </w:rPr>
        <w:t>podľa § 73 ods. 3 písm. c) zákona Národnej rady Slovenskej republiky č. 350/1996 Z. z. o rokovacom poriadku Národnej rady Slovenskej republiky</w:t>
      </w:r>
    </w:p>
    <w:p w:rsidR="00453DC4">
      <w:pPr>
        <w:pStyle w:val="NormlnyOdsaden"/>
        <w:rPr>
          <w:rFonts w:cs="Times New Roman"/>
          <w:i/>
          <w:iCs/>
        </w:rPr>
      </w:pPr>
      <w:r>
        <w:rPr>
          <w:rFonts w:cs="Times New Roman"/>
          <w:i/>
          <w:iCs/>
        </w:rPr>
        <w:t>prerokuje uvedený vládny návrh zákona v druhom čítaní;</w:t>
      </w:r>
    </w:p>
    <w:p w:rsidR="00453DC4">
      <w:pPr>
        <w:pStyle w:val="RozhodnutieNRSR"/>
        <w:ind w:left="794" w:firstLine="0"/>
        <w:rPr>
          <w:rFonts w:cs="Times New Roman"/>
        </w:rPr>
      </w:pPr>
      <w:r>
        <w:rPr>
          <w:rFonts w:cs="Times New Roman"/>
        </w:rPr>
        <w:t>B. prideľuje</w:t>
      </w:r>
    </w:p>
    <w:p w:rsidR="00453DC4">
      <w:pPr>
        <w:pStyle w:val="NormlnyOdsaden"/>
        <w:rPr>
          <w:rFonts w:cs="Times New Roman"/>
        </w:rPr>
      </w:pPr>
      <w:r>
        <w:rPr>
          <w:rFonts w:cs="Times New Roman"/>
        </w:rPr>
        <w:t>podľa § 74 ods. 1 citovaného zákona</w:t>
      </w:r>
    </w:p>
    <w:p w:rsidR="00453DC4">
      <w:pPr>
        <w:pStyle w:val="NormlnyOdsaden"/>
        <w:rPr>
          <w:rFonts w:cs="Times New Roman"/>
        </w:rPr>
      </w:pPr>
      <w:r w:rsidR="00E7667B">
        <w:rPr>
          <w:rFonts w:cs="Times New Roman"/>
        </w:rPr>
        <w:t>návrh skupiny poslancov Národnej rady Slovenskej republiky na vydanie zákona, ktorým sa mení a dopĺňa zákon Národnej rady Slovenskej republiky č. 350/1996 Z. z. o rokovacom poriadku Národnej rady Slovenskej r</w:t>
      </w:r>
      <w:r w:rsidR="00E7667B">
        <w:rPr>
          <w:rFonts w:cs="Times New Roman"/>
        </w:rPr>
        <w:t>epubliky v znení nálezu Ústavného súdu Slovenskej republiky č. 77/1998 Z. z. (tlač 336),</w:t>
      </w:r>
    </w:p>
    <w:p w:rsidR="00453DC4">
      <w:pPr>
        <w:pStyle w:val="NormlnyOdsaden"/>
        <w:rPr>
          <w:rFonts w:cs="Times New Roman"/>
        </w:rPr>
      </w:pPr>
      <w:r>
        <w:rPr>
          <w:rFonts w:cs="Times New Roman"/>
          <w:u w:val="single"/>
        </w:rPr>
        <w:t>na prerokovanie</w:t>
      </w:r>
    </w:p>
    <w:p w:rsidR="00453DC4" w:rsidP="00E7667B">
      <w:pPr>
        <w:pStyle w:val="NormlnyOdsaden"/>
        <w:rPr>
          <w:rFonts w:cs="Times New Roman"/>
        </w:rPr>
      </w:pPr>
      <w:r w:rsidR="00E7667B">
        <w:rPr>
          <w:rFonts w:cs="Times New Roman"/>
        </w:rPr>
        <w:t>všetkým výborom Národnej rady Slovenskej republiky</w:t>
      </w:r>
    </w:p>
    <w:p w:rsidR="00E7667B">
      <w:pPr>
        <w:autoSpaceDE/>
        <w:autoSpaceDN/>
        <w:rPr>
          <w:rFonts w:cs="Times New Roman"/>
        </w:rPr>
      </w:pPr>
    </w:p>
    <w:p w:rsidR="00E7667B" w:rsidP="00E7667B">
      <w:pPr>
        <w:pStyle w:val="NormlnyOdsaden"/>
        <w:rPr>
          <w:rFonts w:cs="Times New Roman"/>
        </w:rPr>
      </w:pPr>
      <w:r>
        <w:rPr>
          <w:rFonts w:cs="Times New Roman"/>
        </w:rPr>
        <w:t>(okrem Mandátového a imunitného výboru Národnej rady Slovenskej republiky, Výboru Národnej rady Slovenskej republiky pre nezlučiteľnosť funkcií štátnych funkcionárov, Výboru Národnej rady Slovenskej republiky pre európsku integráciu, Osobitného kontrolného výboru Národnej rady Slovenskej republiky na kontrolu činnosti Vojenského spravodajstva a Osobitného kontrolného výboru Národnej rady Slovenskej republiky na kontrolu činnosti Slovenskej informačnej služby);</w:t>
      </w:r>
    </w:p>
    <w:p w:rsidR="00453DC4">
      <w:pPr>
        <w:autoSpaceDE/>
        <w:autoSpaceDN/>
        <w:rPr>
          <w:rFonts w:cs="Times New Roman"/>
        </w:rPr>
      </w:pPr>
    </w:p>
    <w:p w:rsidR="00453DC4">
      <w:pPr>
        <w:pStyle w:val="RozhodnutieNRSR"/>
        <w:rPr>
          <w:rFonts w:cs="Times New Roman"/>
        </w:rPr>
      </w:pPr>
      <w:r>
        <w:rPr>
          <w:rFonts w:cs="Times New Roman"/>
        </w:rPr>
        <w:t>C. určuje</w:t>
      </w:r>
    </w:p>
    <w:p w:rsidR="00453DC4">
      <w:pPr>
        <w:pStyle w:val="NormlnyOdsaden"/>
        <w:rPr>
          <w:rFonts w:cs="Times New Roman"/>
        </w:rPr>
      </w:pPr>
      <w:r>
        <w:rPr>
          <w:rFonts w:cs="Times New Roman"/>
        </w:rPr>
        <w:t>podľa § 74 ods. 1 a 2 citovaného zákona</w:t>
      </w:r>
    </w:p>
    <w:p w:rsidR="00453DC4">
      <w:pPr>
        <w:autoSpaceDE/>
        <w:autoSpaceDN/>
        <w:rPr>
          <w:rFonts w:cs="Times New Roman"/>
        </w:rPr>
      </w:pPr>
      <w:r w:rsidR="00E7667B">
        <w:rPr>
          <w:rFonts w:cs="Times New Roman"/>
        </w:rPr>
        <w:t>1. ako gestorský Ústavnoprávny výbor Národnej rady Slovenskej republiky;</w:t>
      </w:r>
    </w:p>
    <w:p w:rsidR="00453DC4">
      <w:pPr>
        <w:autoSpaceDE/>
        <w:autoSpaceDN/>
        <w:rPr>
          <w:rFonts w:cs="Times New Roman"/>
        </w:rPr>
      </w:pPr>
      <w:r w:rsidR="00E7667B">
        <w:rPr>
          <w:rFonts w:cs="Times New Roman"/>
        </w:rPr>
        <w:t>2. lehotu na prerokovanie uvedeného návrhu zákona v druhom čítaní vo výboroch do 24. novembra 1999 a v gestorskom výbore do 26. novembra 1999.</w:t>
      </w:r>
    </w:p>
    <w:p w:rsidR="00E7667B">
      <w:pPr>
        <w:autoSpaceDE/>
        <w:autoSpaceDN/>
        <w:rPr>
          <w:rFonts w:cs="Times New Roman"/>
        </w:rPr>
      </w:pPr>
    </w:p>
    <w:tbl>
      <w:tblPr>
        <w:tblW w:w="5000" w:type="pct"/>
        <w:tblCellMar>
          <w:top w:w="0" w:type="dxa"/>
          <w:left w:w="70" w:type="dxa"/>
          <w:bottom w:w="0" w:type="dxa"/>
          <w:right w:w="70" w:type="dxa"/>
        </w:tblCellMar>
      </w:tblPr>
      <w:tblGrid>
        <w:gridCol w:w="4605"/>
        <w:gridCol w:w="4605"/>
      </w:tblGrid>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rsidR="00453DC4">
            <w:pPr>
              <w:rPr>
                <w:rFonts w:cs="Times New Roman"/>
              </w:rPr>
            </w:pPr>
          </w:p>
        </w:tc>
        <w:tc>
          <w:tcPr>
            <w:tcW w:w="2500" w:type="pct"/>
            <w:tcBorders>
              <w:top w:val="nil"/>
              <w:left w:val="nil"/>
              <w:bottom w:val="nil"/>
              <w:right w:val="nil"/>
              <w:tl2br w:val="nil"/>
              <w:tr2bl w:val="nil"/>
            </w:tcBorders>
            <w:textDirection w:val="lrTb"/>
            <w:vAlign w:val="top"/>
          </w:tcPr>
          <w:p w:rsidR="00453DC4">
            <w:pPr>
              <w:pStyle w:val="Predseda"/>
              <w:spacing w:before="480"/>
              <w:rPr>
                <w:rFonts w:cs="Times New Roman"/>
              </w:rPr>
            </w:pPr>
            <w:r w:rsidR="00E7667B">
              <w:rPr>
                <w:rFonts w:cs="Times New Roman"/>
              </w:rPr>
              <w:t>v z. Pavol H r u š o v s k ý v. r.</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rsidR="00453DC4">
            <w:pPr>
              <w:rPr>
                <w:rFonts w:cs="Times New Roman"/>
              </w:rPr>
            </w:pPr>
          </w:p>
        </w:tc>
        <w:tc>
          <w:tcPr>
            <w:tcW w:w="2500" w:type="pct"/>
            <w:tcBorders>
              <w:top w:val="nil"/>
              <w:left w:val="nil"/>
              <w:bottom w:val="nil"/>
              <w:right w:val="nil"/>
              <w:tl2br w:val="nil"/>
              <w:tr2bl w:val="nil"/>
            </w:tcBorders>
            <w:textDirection w:val="lrTb"/>
            <w:vAlign w:val="top"/>
          </w:tcPr>
          <w:p w:rsidR="00453DC4">
            <w:pPr>
              <w:pStyle w:val="Predseda"/>
              <w:rPr>
                <w:rFonts w:cs="Times New Roman"/>
              </w:rPr>
            </w:pPr>
            <w:r>
              <w:rPr>
                <w:rFonts w:cs="Times New Roman"/>
              </w:rPr>
              <w:t>predseda</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rsidR="00453DC4">
            <w:pPr>
              <w:rPr>
                <w:rFonts w:cs="Times New Roman"/>
              </w:rPr>
            </w:pPr>
          </w:p>
        </w:tc>
        <w:tc>
          <w:tcPr>
            <w:tcW w:w="2500" w:type="pct"/>
            <w:tcBorders>
              <w:top w:val="nil"/>
              <w:left w:val="nil"/>
              <w:bottom w:val="nil"/>
              <w:right w:val="nil"/>
              <w:tl2br w:val="nil"/>
              <w:tr2bl w:val="nil"/>
            </w:tcBorders>
            <w:textDirection w:val="lrTb"/>
            <w:vAlign w:val="top"/>
          </w:tcPr>
          <w:p w:rsidR="00453DC4">
            <w:pPr>
              <w:pStyle w:val="Predseda"/>
              <w:spacing w:after="600"/>
              <w:rPr>
                <w:rFonts w:cs="Times New Roman"/>
              </w:rPr>
            </w:pPr>
            <w:r>
              <w:rPr>
                <w:rFonts w:cs="Times New Roman"/>
              </w:rPr>
              <w:t>Národnej rady Slovenskej republiky</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rsidR="00453DC4">
            <w:pPr>
              <w:pStyle w:val="Footer"/>
              <w:tabs>
                <w:tab w:val="clear" w:pos="4536"/>
                <w:tab w:val="clear" w:pos="9072"/>
              </w:tabs>
              <w:spacing w:after="240"/>
              <w:rPr>
                <w:rFonts w:cs="Times New Roman"/>
              </w:rPr>
            </w:pPr>
            <w:r>
              <w:rPr>
                <w:rFonts w:cs="Times New Roman"/>
              </w:rPr>
              <w:t>Overovatelia:</w:t>
            </w:r>
          </w:p>
        </w:tc>
        <w:tc>
          <w:tcPr>
            <w:tcW w:w="2500" w:type="pct"/>
            <w:tcBorders>
              <w:top w:val="nil"/>
              <w:left w:val="nil"/>
              <w:bottom w:val="nil"/>
              <w:right w:val="nil"/>
              <w:tl2br w:val="nil"/>
              <w:tr2bl w:val="nil"/>
            </w:tcBorders>
            <w:textDirection w:val="lrTb"/>
            <w:vAlign w:val="top"/>
          </w:tcPr>
          <w:p w:rsidR="00453DC4">
            <w:pPr>
              <w:pStyle w:val="Predseda"/>
              <w:rPr>
                <w:rFonts w:cs="Times New Roman"/>
              </w:rPr>
            </w:pP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rsidR="00453DC4">
            <w:pPr>
              <w:rPr>
                <w:rFonts w:cs="Times New Roman"/>
              </w:rPr>
            </w:pPr>
            <w:r w:rsidR="00E7667B">
              <w:rPr>
                <w:rFonts w:cs="Times New Roman"/>
              </w:rPr>
              <w:t>Ladislav A m b r ó š v. r.</w:t>
            </w:r>
          </w:p>
        </w:tc>
        <w:tc>
          <w:tcPr>
            <w:tcW w:w="2500" w:type="pct"/>
            <w:tcBorders>
              <w:top w:val="nil"/>
              <w:left w:val="nil"/>
              <w:bottom w:val="nil"/>
              <w:right w:val="nil"/>
              <w:tl2br w:val="nil"/>
              <w:tr2bl w:val="nil"/>
            </w:tcBorders>
            <w:textDirection w:val="lrTb"/>
            <w:vAlign w:val="top"/>
          </w:tcPr>
          <w:p w:rsidR="00453DC4">
            <w:pPr>
              <w:pStyle w:val="Predseda"/>
              <w:rPr>
                <w:rFonts w:cs="Times New Roman"/>
              </w:rPr>
            </w:pP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rsidR="00453DC4">
            <w:pPr>
              <w:rPr>
                <w:rFonts w:cs="Times New Roman"/>
              </w:rPr>
            </w:pPr>
            <w:r w:rsidR="00E7667B">
              <w:rPr>
                <w:rFonts w:cs="Times New Roman"/>
              </w:rPr>
              <w:t>Ľudmila M u š k o v á v. r.</w:t>
            </w:r>
          </w:p>
        </w:tc>
        <w:tc>
          <w:tcPr>
            <w:tcW w:w="2500" w:type="pct"/>
            <w:tcBorders>
              <w:top w:val="nil"/>
              <w:left w:val="nil"/>
              <w:bottom w:val="nil"/>
              <w:right w:val="nil"/>
              <w:tl2br w:val="nil"/>
              <w:tr2bl w:val="nil"/>
            </w:tcBorders>
            <w:textDirection w:val="lrTb"/>
            <w:vAlign w:val="top"/>
          </w:tcPr>
          <w:p w:rsidR="00453DC4">
            <w:pPr>
              <w:pStyle w:val="Predseda"/>
              <w:rPr>
                <w:rFonts w:cs="Times New Roman"/>
              </w:rPr>
            </w:pPr>
          </w:p>
        </w:tc>
      </w:tr>
    </w:tbl>
    <w:p w:rsidR="00453DC4">
      <w:pPr>
        <w:rPr>
          <w:rFonts w:cs="Times New Roman"/>
        </w:rPr>
      </w:pPr>
    </w:p>
    <w:sectPr>
      <w:headerReference w:type="default" r:id="rId5"/>
      <w:pgSz w:w="11906" w:h="16838" w:code="9"/>
      <w:pgMar w:top="1418" w:right="1418" w:bottom="1418" w:left="1418" w:header="1418"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7B">
    <w:pPr>
      <w:pStyle w:val="Header"/>
      <w:spacing w:after="0"/>
      <w:rPr>
        <w:rFonts w:cs="Times New Roman"/>
        <w:spacing w:val="20"/>
      </w:rPr>
    </w:pPr>
    <w:r>
      <w:rPr>
        <w:rFonts w:cs="Times New Roman"/>
        <w:spacing w:val="20"/>
      </w:rPr>
      <w:t>NÁRODNÁ RADA SLOVENSKEJ REPUBLIKY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00D110"/>
    <w:lvl w:ilvl="0">
      <w:start w:val="1"/>
      <w:numFmt w:val="decimal"/>
      <w:lvlText w:val="%1."/>
      <w:lvlJc w:val="left"/>
      <w:pPr>
        <w:tabs>
          <w:tab w:val="num" w:pos="1492"/>
        </w:tabs>
        <w:ind w:left="1492" w:hanging="360"/>
      </w:pPr>
    </w:lvl>
  </w:abstractNum>
  <w:abstractNum w:abstractNumId="1">
    <w:nsid w:val="FFFFFF7D"/>
    <w:multiLevelType w:val="singleLevel"/>
    <w:tmpl w:val="3C3C3B64"/>
    <w:lvl w:ilvl="0">
      <w:start w:val="1"/>
      <w:numFmt w:val="decimal"/>
      <w:lvlText w:val="%1."/>
      <w:lvlJc w:val="left"/>
      <w:pPr>
        <w:tabs>
          <w:tab w:val="num" w:pos="1209"/>
        </w:tabs>
        <w:ind w:left="1209" w:hanging="360"/>
      </w:pPr>
    </w:lvl>
  </w:abstractNum>
  <w:abstractNum w:abstractNumId="2">
    <w:nsid w:val="FFFFFF7E"/>
    <w:multiLevelType w:val="singleLevel"/>
    <w:tmpl w:val="412C9F42"/>
    <w:lvl w:ilvl="0">
      <w:start w:val="1"/>
      <w:numFmt w:val="decimal"/>
      <w:lvlText w:val="%1."/>
      <w:lvlJc w:val="left"/>
      <w:pPr>
        <w:tabs>
          <w:tab w:val="num" w:pos="926"/>
        </w:tabs>
        <w:ind w:left="926" w:hanging="360"/>
      </w:pPr>
    </w:lvl>
  </w:abstractNum>
  <w:abstractNum w:abstractNumId="3">
    <w:nsid w:val="FFFFFF7F"/>
    <w:multiLevelType w:val="singleLevel"/>
    <w:tmpl w:val="B2B8E7A4"/>
    <w:lvl w:ilvl="0">
      <w:start w:val="1"/>
      <w:numFmt w:val="decimal"/>
      <w:lvlText w:val="%1."/>
      <w:lvlJc w:val="left"/>
      <w:pPr>
        <w:tabs>
          <w:tab w:val="num" w:pos="643"/>
        </w:tabs>
        <w:ind w:left="643" w:hanging="360"/>
      </w:pPr>
    </w:lvl>
  </w:abstractNum>
  <w:abstractNum w:abstractNumId="4">
    <w:nsid w:val="FFFFFF80"/>
    <w:multiLevelType w:val="singleLevel"/>
    <w:tmpl w:val="EDD83326"/>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D54ECFA"/>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B83ED43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2CB2159E"/>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9718015E"/>
    <w:lvl w:ilvl="0">
      <w:start w:val="1"/>
      <w:numFmt w:val="decimal"/>
      <w:lvlText w:val="%1."/>
      <w:lvlJc w:val="left"/>
      <w:pPr>
        <w:tabs>
          <w:tab w:val="num" w:pos="360"/>
        </w:tabs>
        <w:ind w:left="360" w:hanging="360"/>
      </w:pPr>
    </w:lvl>
  </w:abstractNum>
  <w:abstractNum w:abstractNumId="9">
    <w:nsid w:val="FFFFFF89"/>
    <w:multiLevelType w:val="singleLevel"/>
    <w:tmpl w:val="BBB6AE66"/>
    <w:lvl w:ilvl="0">
      <w:start w:val="1"/>
      <w:numFmt w:val="bullet"/>
      <w:lvlText w:val=""/>
      <w:lvlJc w:val="left"/>
      <w:pPr>
        <w:tabs>
          <w:tab w:val="num" w:pos="360"/>
        </w:tabs>
        <w:ind w:left="360" w:hanging="360"/>
      </w:pPr>
      <w:rPr>
        <w:rFonts w:ascii="Symbol" w:hAnsi="Symbol"/>
        <w:rtl w:val="0"/>
      </w:rPr>
    </w:lvl>
  </w:abstractNum>
  <w:abstractNum w:abstractNumId="10">
    <w:nsid w:val="1F8B5BC8"/>
    <w:multiLevelType w:val="hybridMultilevel"/>
    <w:tmpl w:val="47B68D54"/>
    <w:lvl w:ilvl="0">
      <w:start w:val="1"/>
      <w:numFmt w:val="upperLetter"/>
      <w:lvlText w:val="%1."/>
      <w:lvlJc w:val="left"/>
      <w:pPr>
        <w:tabs>
          <w:tab w:val="num" w:pos="1319"/>
        </w:tabs>
        <w:ind w:left="1319" w:hanging="525"/>
      </w:pPr>
    </w:lvl>
    <w:lvl w:ilvl="1">
      <w:start w:val="1"/>
      <w:numFmt w:val="lowerLetter"/>
      <w:lvlText w:val="%2."/>
      <w:lvlJc w:val="left"/>
      <w:pPr>
        <w:tabs>
          <w:tab w:val="num" w:pos="1874"/>
        </w:tabs>
        <w:ind w:left="1874" w:hanging="360"/>
      </w:pPr>
    </w:lvl>
    <w:lvl w:ilvl="2">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start w:val="1"/>
      <w:numFmt w:val="decimal"/>
      <w:lvlText w:val="%7."/>
      <w:lvlJc w:val="left"/>
      <w:pPr>
        <w:tabs>
          <w:tab w:val="num" w:pos="5474"/>
        </w:tabs>
        <w:ind w:left="5474" w:hanging="360"/>
      </w:pPr>
    </w:lvl>
    <w:lvl w:ilvl="7">
      <w:start w:val="1"/>
      <w:numFmt w:val="lowerLetter"/>
      <w:lvlText w:val="%8."/>
      <w:lvlJc w:val="left"/>
      <w:pPr>
        <w:tabs>
          <w:tab w:val="num" w:pos="6194"/>
        </w:tabs>
        <w:ind w:left="6194" w:hanging="360"/>
      </w:pPr>
    </w:lvl>
    <w:lvl w:ilvl="8">
      <w:start w:val="1"/>
      <w:numFmt w:val="lowerRoman"/>
      <w:lvlText w:val="%9."/>
      <w:lvlJc w:val="right"/>
      <w:pPr>
        <w:tabs>
          <w:tab w:val="num" w:pos="6914"/>
        </w:tabs>
        <w:ind w:left="6914" w:hanging="180"/>
      </w:pPr>
    </w:lvl>
  </w:abstractNum>
  <w:abstractNum w:abstractNumId="11">
    <w:nsid w:val="231D3725"/>
    <w:multiLevelType w:val="hybridMultilevel"/>
    <w:tmpl w:val="4922F976"/>
    <w:lvl w:ilvl="0">
      <w:start w:val="2"/>
      <w:numFmt w:val="upperLetter"/>
      <w:lvlText w:val="%1."/>
      <w:lvlJc w:val="left"/>
      <w:pPr>
        <w:tabs>
          <w:tab w:val="num" w:pos="1199"/>
        </w:tabs>
        <w:ind w:left="1199" w:hanging="405"/>
      </w:pPr>
    </w:lvl>
    <w:lvl w:ilvl="1">
      <w:start w:val="1"/>
      <w:numFmt w:val="lowerLetter"/>
      <w:lvlText w:val="%2."/>
      <w:lvlJc w:val="left"/>
      <w:pPr>
        <w:tabs>
          <w:tab w:val="num" w:pos="1874"/>
        </w:tabs>
        <w:ind w:left="1874" w:hanging="360"/>
      </w:pPr>
    </w:lvl>
    <w:lvl w:ilvl="2">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start w:val="1"/>
      <w:numFmt w:val="decimal"/>
      <w:lvlText w:val="%7."/>
      <w:lvlJc w:val="left"/>
      <w:pPr>
        <w:tabs>
          <w:tab w:val="num" w:pos="5474"/>
        </w:tabs>
        <w:ind w:left="5474" w:hanging="360"/>
      </w:pPr>
    </w:lvl>
    <w:lvl w:ilvl="7">
      <w:start w:val="1"/>
      <w:numFmt w:val="lowerLetter"/>
      <w:lvlText w:val="%8."/>
      <w:lvlJc w:val="left"/>
      <w:pPr>
        <w:tabs>
          <w:tab w:val="num" w:pos="6194"/>
        </w:tabs>
        <w:ind w:left="6194" w:hanging="360"/>
      </w:pPr>
    </w:lvl>
    <w:lvl w:ilvl="8">
      <w:start w:val="1"/>
      <w:numFmt w:val="lowerRoman"/>
      <w:lvlText w:val="%9."/>
      <w:lvlJc w:val="right"/>
      <w:pPr>
        <w:tabs>
          <w:tab w:val="num" w:pos="6914"/>
        </w:tabs>
        <w:ind w:left="691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53DC4"/>
    <w:rsid w:val="00E7667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widowControl w:val="0"/>
      <w:autoSpaceDE w:val="0"/>
      <w:autoSpaceDN w:val="0"/>
      <w:bidi w:val="0"/>
      <w:adjustRightInd w:val="0"/>
      <w:ind w:left="0" w:right="0"/>
      <w:jc w:val="both"/>
      <w:textAlignment w:val="auto"/>
    </w:pPr>
    <w:rPr>
      <w:rFonts w:ascii="Arial" w:hAnsi="Arial"/>
      <w:sz w:val="24"/>
      <w:szCs w:val="20"/>
      <w:rtl w:val="0"/>
      <w:lang w:val="sk-SK" w:bidi="ar-SA"/>
    </w:rPr>
  </w:style>
  <w:style w:type="paragraph" w:styleId="Heading1">
    <w:name w:val="heading 1"/>
    <w:basedOn w:val="Normal"/>
    <w:next w:val="Normal"/>
    <w:autoRedefine/>
    <w:uiPriority w:val="9"/>
    <w:qFormat/>
    <w:pPr>
      <w:keepNext/>
      <w:jc w:val="center"/>
      <w:outlineLvl w:val="0"/>
    </w:pPr>
    <w:rPr>
      <w:spacing w:val="20"/>
      <w:kern w:val="32"/>
      <w:sz w:val="32"/>
    </w:rPr>
  </w:style>
  <w:style w:type="paragraph" w:styleId="Heading2">
    <w:name w:val="heading 2"/>
    <w:basedOn w:val="Normal"/>
    <w:next w:val="Normal"/>
    <w:uiPriority w:val="9"/>
    <w:qFormat/>
    <w:pPr>
      <w:keepNext/>
      <w:spacing w:before="240" w:after="60"/>
      <w:jc w:val="both"/>
      <w:outlineLvl w:val="1"/>
    </w:pPr>
    <w:rPr>
      <w:b/>
      <w:i/>
    </w:rPr>
  </w:style>
  <w:style w:type="paragraph" w:styleId="Heading3">
    <w:name w:val="heading 3"/>
    <w:basedOn w:val="Normal"/>
    <w:next w:val="Normal"/>
    <w:uiPriority w:val="9"/>
    <w:qFormat/>
    <w:pPr>
      <w:keepNext/>
      <w:spacing w:before="240" w:after="60"/>
      <w:jc w:val="both"/>
      <w:outlineLvl w:val="2"/>
    </w:pPr>
  </w:style>
  <w:style w:type="paragraph" w:styleId="Heading4">
    <w:name w:val="heading 4"/>
    <w:basedOn w:val="Normal"/>
    <w:next w:val="Normal"/>
    <w:uiPriority w:val="9"/>
    <w:qFormat/>
    <w:pPr>
      <w:keepNext/>
      <w:spacing w:before="360" w:after="240"/>
      <w:ind w:firstLine="794"/>
      <w:jc w:val="left"/>
      <w:outlineLvl w:val="3"/>
    </w:pPr>
    <w:rPr>
      <w:b/>
      <w:bCs/>
      <w:sz w:val="28"/>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pPr>
      <w:tabs>
        <w:tab w:val="center" w:pos="4536"/>
        <w:tab w:val="right" w:pos="9072"/>
      </w:tabs>
      <w:spacing w:after="240"/>
      <w:jc w:val="center"/>
    </w:pPr>
    <w:rPr>
      <w:spacing w:val="40"/>
      <w:sz w:val="32"/>
    </w:rPr>
  </w:style>
  <w:style w:type="paragraph" w:styleId="Footer">
    <w:name w:val="footer"/>
    <w:basedOn w:val="Normal"/>
    <w:pPr>
      <w:tabs>
        <w:tab w:val="center" w:pos="4536"/>
        <w:tab w:val="right" w:pos="9072"/>
      </w:tabs>
      <w:jc w:val="both"/>
    </w:pPr>
  </w:style>
  <w:style w:type="paragraph" w:customStyle="1" w:styleId="Protokolnslo">
    <w:name w:val="Protokolné číslo"/>
    <w:basedOn w:val="Normal"/>
    <w:pPr>
      <w:spacing w:before="360"/>
      <w:jc w:val="left"/>
    </w:pPr>
    <w:rPr>
      <w:spacing w:val="20"/>
    </w:rPr>
  </w:style>
  <w:style w:type="paragraph" w:customStyle="1" w:styleId="slouznesenia">
    <w:name w:val="Číslo uznesenia"/>
    <w:basedOn w:val="Normal"/>
    <w:pPr>
      <w:spacing w:before="240" w:after="120"/>
      <w:jc w:val="center"/>
      <w:outlineLvl w:val="0"/>
    </w:pPr>
    <w:rPr>
      <w:b/>
      <w:kern w:val="28"/>
      <w:sz w:val="40"/>
    </w:rPr>
  </w:style>
  <w:style w:type="character" w:styleId="Strong">
    <w:name w:val="Strong"/>
    <w:basedOn w:val="DefaultParagraphFont"/>
    <w:uiPriority w:val="22"/>
    <w:qFormat/>
    <w:rPr>
      <w:b/>
      <w:bCs/>
      <w:rtl w:val="0"/>
    </w:rPr>
  </w:style>
  <w:style w:type="paragraph" w:customStyle="1" w:styleId="Text1">
    <w:name w:val="Text1"/>
    <w:basedOn w:val="Normal"/>
    <w:autoRedefine/>
    <w:pPr>
      <w:spacing w:before="120" w:after="120"/>
      <w:jc w:val="left"/>
    </w:pPr>
  </w:style>
  <w:style w:type="paragraph" w:customStyle="1" w:styleId="Text2">
    <w:name w:val="Text2"/>
    <w:basedOn w:val="Header"/>
    <w:autoRedefine/>
    <w:pPr>
      <w:tabs>
        <w:tab w:val="clear" w:pos="4536"/>
        <w:tab w:val="clear" w:pos="9072"/>
      </w:tabs>
      <w:spacing w:before="120" w:after="120"/>
      <w:ind w:firstLine="794"/>
      <w:jc w:val="left"/>
    </w:pPr>
  </w:style>
  <w:style w:type="paragraph" w:customStyle="1" w:styleId="Predseda">
    <w:name w:val="Predseda"/>
    <w:basedOn w:val="Normal"/>
    <w:pPr>
      <w:keepNext/>
      <w:jc w:val="center"/>
    </w:pPr>
  </w:style>
  <w:style w:type="paragraph" w:customStyle="1" w:styleId="De">
    <w:name w:val="Deň"/>
    <w:basedOn w:val="Normal"/>
    <w:pPr>
      <w:spacing w:before="240" w:after="240"/>
      <w:jc w:val="center"/>
    </w:pPr>
  </w:style>
  <w:style w:type="paragraph" w:customStyle="1" w:styleId="ZnakNRSR">
    <w:name w:val="Znak NR SR"/>
    <w:basedOn w:val="Normal"/>
    <w:autoRedefine/>
    <w:pPr>
      <w:jc w:val="center"/>
    </w:pPr>
  </w:style>
  <w:style w:type="paragraph" w:customStyle="1" w:styleId="NormlnyOdsaden">
    <w:name w:val="Normálny Odsadený"/>
    <w:basedOn w:val="Normal"/>
    <w:autoRedefine/>
    <w:pPr>
      <w:ind w:firstLine="794"/>
      <w:jc w:val="both"/>
    </w:pPr>
  </w:style>
  <w:style w:type="paragraph" w:customStyle="1" w:styleId="RozhodnutieNRSR">
    <w:name w:val="Rozhodnutie NR SR"/>
    <w:basedOn w:val="Normal"/>
    <w:pPr>
      <w:keepNext/>
      <w:spacing w:before="240" w:after="240"/>
      <w:ind w:firstLine="794"/>
      <w:jc w:val="both"/>
    </w:pPr>
    <w:rPr>
      <w:b/>
      <w:spacing w:val="60"/>
      <w:sz w:val="28"/>
    </w:rPr>
  </w:style>
  <w:style w:type="paragraph" w:customStyle="1" w:styleId="slojednacie">
    <w:name w:val="Číslo jednacie"/>
    <w:basedOn w:val="Normal"/>
    <w:pPr>
      <w:spacing w:before="240" w:after="120"/>
      <w:jc w:val="both"/>
    </w:pPr>
  </w:style>
  <w:style w:type="paragraph" w:customStyle="1" w:styleId="NormalBold">
    <w:name w:val="Normal Bold"/>
    <w:basedOn w:val="Normal"/>
    <w:autoRedefine/>
    <w:pPr>
      <w:jc w:val="both"/>
    </w:pPr>
    <w:rPr>
      <w:b/>
    </w:rPr>
  </w:style>
  <w:style w:type="paragraph" w:customStyle="1" w:styleId="NormalItalic">
    <w:name w:val="Normal Italic"/>
    <w:basedOn w:val="Normal"/>
    <w:autoRedefine/>
    <w:pPr>
      <w:spacing w:before="120" w:after="120"/>
      <w:jc w:val="both"/>
    </w:pPr>
    <w:rPr>
      <w:i/>
    </w:rPr>
  </w:style>
  <w:style w:type="paragraph" w:customStyle="1" w:styleId="NormalUnderline">
    <w:name w:val="Normal Underline"/>
    <w:basedOn w:val="Normal"/>
    <w:autoRedefine/>
    <w:pPr>
      <w:spacing w:before="120" w:after="120"/>
      <w:jc w:val="both"/>
    </w:pPr>
    <w:rPr>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344</Words>
  <Characters>1963</Characters>
  <Application>Microsoft Office Word</Application>
  <DocSecurity>0</DocSecurity>
  <Lines>0</Lines>
  <Paragraphs>0</Paragraphs>
  <ScaleCrop>false</ScaleCrop>
  <Company>Kancelária NR SR</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PREDSEDA NÁRODNEJ RADY SLOVENSKEJ REPUBLIKY</dc:title>
  <dc:creator>PC</dc:creator>
  <cp:lastModifiedBy>Gasparikova Jarmila</cp:lastModifiedBy>
  <cp:revision>3</cp:revision>
  <cp:lastPrinted>2000-11-20T14:06:00Z</cp:lastPrinted>
  <dcterms:created xsi:type="dcterms:W3CDTF">2003-12-09T09:49:00Z</dcterms:created>
  <dcterms:modified xsi:type="dcterms:W3CDTF">2003-12-09T09:53:00Z</dcterms:modified>
</cp:coreProperties>
</file>