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>
      <w:pPr>
        <w:pStyle w:val="Heading1"/>
        <w:rPr>
          <w:rFonts w:cs="Times New Roman"/>
        </w:rPr>
      </w:pPr>
      <w:r>
        <w:rPr>
          <w:rFonts w:cs="Times New Roman"/>
        </w:rPr>
        <w:t>II. volebné obdobie</w:t>
      </w:r>
    </w:p>
    <w:p>
      <w:pPr>
        <w:pStyle w:val="slojednacie"/>
        <w:rPr>
          <w:rFonts w:cs="Times New Roman"/>
        </w:rPr>
      </w:pPr>
      <w:r>
        <w:rPr>
          <w:rFonts w:cs="Times New Roman"/>
        </w:rPr>
        <w:t>Číslo: 876/1999</w:t>
      </w:r>
    </w:p>
    <w:p>
      <w:pPr>
        <w:pStyle w:val="ZnakNRSR"/>
        <w:rPr>
          <w:rFonts w:cs="Times New Roman"/>
        </w:rPr>
      </w:pPr>
      <w:r>
        <w:rPr>
          <w:rFonts w:cs="Times New Roman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D:\data_old\LOGO\ZNAK.BMP"/>
          </v:shape>
        </w:pict>
      </w:r>
    </w:p>
    <w:p>
      <w:pPr>
        <w:pStyle w:val="slouznesenia"/>
        <w:rPr>
          <w:rFonts w:cs="Times New Roman"/>
        </w:rPr>
      </w:pPr>
      <w:r>
        <w:rPr>
          <w:rFonts w:cs="Times New Roman"/>
        </w:rPr>
        <w:t>362</w:t>
      </w:r>
    </w:p>
    <w:p>
      <w:pPr>
        <w:pStyle w:val="Heading1"/>
        <w:rPr>
          <w:rFonts w:cs="Times New Roman"/>
        </w:rPr>
      </w:pPr>
      <w:r>
        <w:rPr>
          <w:rFonts w:cs="Times New Roman"/>
        </w:rPr>
        <w:t>UZNESENIE</w:t>
        <w:br/>
        <w:t>NÁRODNEJ RADY SLOVENSKEJ REPUBLIKY</w:t>
      </w:r>
    </w:p>
    <w:p>
      <w:pPr>
        <w:pStyle w:val="De"/>
        <w:rPr>
          <w:rFonts w:cs="Times New Roman"/>
        </w:rPr>
      </w:pPr>
      <w:r>
        <w:rPr>
          <w:rFonts w:cs="Times New Roman"/>
        </w:rPr>
        <w:t>zo 6. júla 1999</w:t>
      </w:r>
    </w:p>
    <w:p>
      <w:pPr>
        <w:rPr>
          <w:rFonts w:cs="Times New Roman"/>
        </w:rPr>
      </w:pPr>
      <w:r>
        <w:rPr>
          <w:rFonts w:cs="Times New Roman"/>
        </w:rPr>
        <w:t>k vládnemu návrhu zákona o používaní jazykov národnostných menšín (tlač 275)</w:t>
      </w:r>
      <w:r>
        <w:rPr>
          <w:rFonts w:cs="Times New Roman"/>
          <w:i/>
          <w:iCs/>
        </w:rPr>
        <w:t xml:space="preserve"> - prvé čítanie</w:t>
      </w:r>
    </w:p>
    <w:p>
      <w:pPr>
        <w:pStyle w:val="Heading4"/>
        <w:rPr>
          <w:rFonts w:cs="Times New Roman"/>
        </w:rPr>
      </w:pPr>
      <w:r>
        <w:rPr>
          <w:rFonts w:cs="Times New Roman"/>
        </w:rPr>
        <w:t>Národná rada Slovenskej republiky</w:t>
      </w:r>
    </w:p>
    <w:p>
      <w:pPr>
        <w:pStyle w:val="NormlnyOdsaden"/>
        <w:rPr>
          <w:rFonts w:cs="Times New Roman"/>
        </w:rPr>
      </w:pPr>
      <w:r>
        <w:rPr>
          <w:rFonts w:cs="Times New Roman"/>
        </w:rPr>
        <w:t>po prerokovaní vládneho náv</w:t>
      </w:r>
      <w:r>
        <w:rPr>
          <w:rFonts w:cs="Times New Roman"/>
        </w:rPr>
        <w:t>rhu zákona o používaní jazykov národnostných menšín v prvom čítaní</w:t>
      </w:r>
    </w:p>
    <w:p>
      <w:pPr>
        <w:pStyle w:val="RozhodnutieNRSR"/>
        <w:rPr>
          <w:rFonts w:cs="Times New Roman"/>
        </w:rPr>
      </w:pPr>
      <w:r>
        <w:rPr>
          <w:rFonts w:cs="Times New Roman"/>
        </w:rPr>
        <w:t>A. rozhodla, že</w:t>
      </w:r>
    </w:p>
    <w:p>
      <w:pPr>
        <w:pStyle w:val="NormlnyOdsaden"/>
        <w:rPr>
          <w:rFonts w:cs="Times New Roman"/>
        </w:rPr>
      </w:pPr>
      <w:r>
        <w:rPr>
          <w:rFonts w:cs="Times New Roman"/>
        </w:rPr>
        <w:t>podľa § 73 ods. 3 písm. c) zákona Národnej rady Slovenskej republiky č. 350/1996 Z. z. o rokovacom poriadku Národnej rady Slovenskej republiky</w:t>
      </w:r>
    </w:p>
    <w:p>
      <w:pPr>
        <w:pStyle w:val="NormlnyOdsaden"/>
        <w:rPr>
          <w:rFonts w:cs="Times New Roman"/>
          <w:i/>
          <w:iCs/>
        </w:rPr>
      </w:pPr>
      <w:r>
        <w:rPr>
          <w:rFonts w:cs="Times New Roman"/>
          <w:i/>
          <w:iCs/>
        </w:rPr>
        <w:t>prerokuje uvedený vládny návrh zákona v druhom čítaní;</w:t>
      </w:r>
    </w:p>
    <w:p>
      <w:pPr>
        <w:pStyle w:val="RozhodnutieNRSR"/>
        <w:ind w:left="794" w:firstLine="0"/>
        <w:rPr>
          <w:rFonts w:cs="Times New Roman"/>
        </w:rPr>
      </w:pPr>
      <w:r>
        <w:rPr>
          <w:rFonts w:cs="Times New Roman"/>
        </w:rPr>
        <w:t>B. prideľuje</w:t>
      </w:r>
    </w:p>
    <w:p>
      <w:pPr>
        <w:pStyle w:val="NormlnyOdsaden"/>
        <w:rPr>
          <w:rFonts w:cs="Times New Roman"/>
        </w:rPr>
      </w:pPr>
      <w:r>
        <w:rPr>
          <w:rFonts w:cs="Times New Roman"/>
        </w:rPr>
        <w:t>podľa § 74 ods. 1 citovaného zákona</w:t>
      </w:r>
    </w:p>
    <w:p>
      <w:pPr>
        <w:pStyle w:val="NormlnyOdsaden"/>
        <w:rPr>
          <w:rFonts w:cs="Times New Roman"/>
        </w:rPr>
      </w:pPr>
      <w:r>
        <w:rPr>
          <w:rFonts w:cs="Times New Roman"/>
        </w:rPr>
        <w:t>vládny návrh zákona o používaní jazykov národnostných menšín (tlač 275)</w:t>
      </w:r>
    </w:p>
    <w:p>
      <w:pPr>
        <w:pStyle w:val="NormlnyOdsaden"/>
        <w:rPr>
          <w:rFonts w:cs="Times New Roman"/>
        </w:rPr>
      </w:pPr>
      <w:r>
        <w:rPr>
          <w:rFonts w:cs="Times New Roman"/>
          <w:u w:val="single"/>
        </w:rPr>
        <w:t>na prerokovanie</w:t>
      </w:r>
    </w:p>
    <w:p>
      <w:pPr>
        <w:autoSpaceDE/>
        <w:autoSpaceDN/>
        <w:rPr>
          <w:rFonts w:cs="Times New Roman"/>
        </w:rPr>
      </w:pPr>
      <w:r>
        <w:rPr>
          <w:rFonts w:cs="Times New Roman"/>
        </w:rPr>
        <w:t>Ústavnoprávnemu výboru Národnej rady Slovenskej republiky</w:t>
      </w:r>
    </w:p>
    <w:p>
      <w:pPr>
        <w:autoSpaceDE/>
        <w:autoSpaceDN/>
        <w:rPr>
          <w:rFonts w:cs="Times New Roman"/>
        </w:rPr>
      </w:pPr>
      <w:r>
        <w:rPr>
          <w:rFonts w:cs="Times New Roman"/>
        </w:rPr>
        <w:t>Výboru Národnej rady Slovenskej repu</w:t>
      </w:r>
      <w:r>
        <w:rPr>
          <w:rFonts w:cs="Times New Roman"/>
        </w:rPr>
        <w:t>bliky pre verejnú správu</w:t>
      </w:r>
    </w:p>
    <w:p>
      <w:pPr>
        <w:autoSpaceDE/>
        <w:autoSpaceDN/>
        <w:rPr>
          <w:rFonts w:cs="Times New Roman"/>
        </w:rPr>
      </w:pPr>
      <w:r>
        <w:rPr>
          <w:rFonts w:cs="Times New Roman"/>
        </w:rPr>
        <w:t>Zahraničnému výboru Národnej rady Slovenskej republiky</w:t>
      </w:r>
    </w:p>
    <w:p>
      <w:pPr>
        <w:autoSpaceDE/>
        <w:autoSpaceDN/>
        <w:rPr>
          <w:rFonts w:cs="Times New Roman"/>
        </w:rPr>
      </w:pPr>
      <w:r>
        <w:rPr>
          <w:rFonts w:cs="Times New Roman"/>
        </w:rPr>
        <w:t>Výboru Národnej rady Slovenskej republiky pre vzdelanie, vedu, mládež a šport</w:t>
      </w:r>
    </w:p>
    <w:p>
      <w:pPr>
        <w:autoSpaceDE/>
        <w:autoSpaceDN/>
        <w:rPr>
          <w:rFonts w:cs="Times New Roman"/>
        </w:rPr>
      </w:pPr>
      <w:r>
        <w:rPr>
          <w:rFonts w:cs="Times New Roman"/>
        </w:rPr>
        <w:t>Výboru Národnej rady Slovenskej republiky pre kultúru a médiá</w:t>
      </w:r>
    </w:p>
    <w:p>
      <w:pPr>
        <w:autoSpaceDE/>
        <w:autoSpaceDN/>
        <w:rPr>
          <w:rFonts w:cs="Times New Roman"/>
        </w:rPr>
      </w:pPr>
      <w:r>
        <w:rPr>
          <w:rFonts w:cs="Times New Roman"/>
        </w:rPr>
        <w:t>Výboru Národnej rady Slovenskej republiky pre ľudské práva a národnosti a</w:t>
      </w:r>
    </w:p>
    <w:p>
      <w:pPr>
        <w:autoSpaceDE/>
        <w:autoSpaceDN/>
        <w:rPr>
          <w:rFonts w:cs="Times New Roman"/>
        </w:rPr>
      </w:pPr>
      <w:r>
        <w:rPr>
          <w:rFonts w:cs="Times New Roman"/>
        </w:rPr>
        <w:t>Výboru Národnej rady Slovenskej republiky pre európsku integráciu;</w:t>
      </w:r>
    </w:p>
    <w:p>
      <w:pPr>
        <w:pStyle w:val="RozhodnutieNRSR"/>
        <w:rPr>
          <w:rFonts w:cs="Times New Roman"/>
        </w:rPr>
      </w:pPr>
      <w:r>
        <w:rPr>
          <w:rFonts w:cs="Times New Roman"/>
        </w:rPr>
        <w:t>C. určuje</w:t>
      </w:r>
    </w:p>
    <w:p>
      <w:pPr>
        <w:pStyle w:val="NormlnyOdsaden"/>
        <w:rPr>
          <w:rFonts w:cs="Times New Roman"/>
        </w:rPr>
      </w:pPr>
      <w:r>
        <w:rPr>
          <w:rFonts w:cs="Times New Roman"/>
        </w:rPr>
        <w:t>podľa § 74 ods. 1 a 2 citovaného zákona</w:t>
      </w:r>
    </w:p>
    <w:p>
      <w:pPr>
        <w:autoSpaceDE/>
        <w:autoSpaceDN/>
        <w:rPr>
          <w:rFonts w:cs="Times New Roman"/>
        </w:rPr>
      </w:pPr>
      <w:r>
        <w:rPr>
          <w:rFonts w:cs="Times New Roman"/>
        </w:rPr>
        <w:t>1. ako gestorský Výbor Národnej rady Slovenskej republiky pre ľudské práva a národnosti,</w:t>
      </w:r>
    </w:p>
    <w:p>
      <w:pPr>
        <w:autoSpaceDE/>
        <w:autoSpaceDN/>
        <w:rPr>
          <w:rFonts w:cs="Times New Roman"/>
        </w:rPr>
      </w:pPr>
      <w:r>
        <w:rPr>
          <w:rFonts w:cs="Times New Roman"/>
        </w:rPr>
        <w:t>2. lehotu na prerokovanie uvedeného návrhu zákona v druhom čítaní vo výboroch a v gestorskom výbore s termínom ihneď.</w:t>
      </w:r>
    </w:p>
    <w:tbl>
      <w:tblPr>
        <w:tblW w:w="5000" w:type="pct"/>
        <w:tblCellMar>
          <w:top w:w="0" w:type="dxa"/>
          <w:left w:w="70" w:type="dxa"/>
          <w:bottom w:w="0" w:type="dxa"/>
          <w:right w:w="70" w:type="dxa"/>
        </w:tblCellMar>
      </w:tblPr>
      <w:tblGrid>
        <w:gridCol w:w="4605"/>
        <w:gridCol w:w="4605"/>
      </w:tblGrid>
      <w:tr>
        <w:tblPrEx>
          <w:tblW w:w="5000" w:type="pct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extDirection w:val="lrTb"/>
            <w:vAlign w:val="top"/>
          </w:tcPr>
          <w:p>
            <w:pPr>
              <w:rPr>
                <w:rFonts w:cs="Times New Roman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extDirection w:val="lrTb"/>
            <w:vAlign w:val="top"/>
          </w:tcPr>
          <w:p>
            <w:pPr>
              <w:pStyle w:val="Predseda"/>
              <w:spacing w:before="480"/>
              <w:rPr>
                <w:rFonts w:cs="Times New Roman"/>
              </w:rPr>
            </w:pPr>
            <w:r>
              <w:rPr>
                <w:rFonts w:cs="Times New Roman"/>
              </w:rPr>
              <w:t>*Jozef Migaš v. r.</w:t>
            </w:r>
          </w:p>
        </w:tc>
      </w:tr>
      <w:tr>
        <w:tblPrEx>
          <w:tblW w:w="5000" w:type="pct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extDirection w:val="lrTb"/>
            <w:vAlign w:val="top"/>
          </w:tcPr>
          <w:p>
            <w:pPr>
              <w:rPr>
                <w:rFonts w:cs="Times New Roman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extDirection w:val="lrTb"/>
            <w:vAlign w:val="top"/>
          </w:tcPr>
          <w:p>
            <w:pPr>
              <w:pStyle w:val="Predseda"/>
              <w:rPr>
                <w:rFonts w:cs="Times New Roman"/>
              </w:rPr>
            </w:pPr>
            <w:r>
              <w:rPr>
                <w:rFonts w:cs="Times New Roman"/>
              </w:rPr>
              <w:t>predseda</w:t>
            </w:r>
          </w:p>
        </w:tc>
      </w:tr>
      <w:tr>
        <w:tblPrEx>
          <w:tblW w:w="5000" w:type="pct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extDirection w:val="lrTb"/>
            <w:vAlign w:val="top"/>
          </w:tcPr>
          <w:p>
            <w:pPr>
              <w:rPr>
                <w:rFonts w:cs="Times New Roman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extDirection w:val="lrTb"/>
            <w:vAlign w:val="top"/>
          </w:tcPr>
          <w:p>
            <w:pPr>
              <w:pStyle w:val="Predseda"/>
              <w:spacing w:after="600"/>
              <w:rPr>
                <w:rFonts w:cs="Times New Roman"/>
              </w:rPr>
            </w:pPr>
            <w:r>
              <w:rPr>
                <w:rFonts w:cs="Times New Roman"/>
              </w:rPr>
              <w:t>Národnej rady Slovenskej republiky</w:t>
            </w:r>
          </w:p>
        </w:tc>
      </w:tr>
      <w:tr>
        <w:tblPrEx>
          <w:tblW w:w="5000" w:type="pct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extDirection w:val="lrTb"/>
            <w:vAlign w:val="top"/>
          </w:tcPr>
          <w:p>
            <w:pPr>
              <w:pStyle w:val="Footer"/>
              <w:tabs>
                <w:tab w:val="clear" w:pos="4536"/>
                <w:tab w:val="clear" w:pos="9072"/>
              </w:tabs>
              <w:spacing w:after="240"/>
              <w:rPr>
                <w:rFonts w:cs="Times New Roman"/>
              </w:rPr>
            </w:pPr>
            <w:r>
              <w:rPr>
                <w:rFonts w:cs="Times New Roman"/>
              </w:rPr>
              <w:t>Overovatelia: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extDirection w:val="lrTb"/>
            <w:vAlign w:val="top"/>
          </w:tcPr>
          <w:p>
            <w:pPr>
              <w:pStyle w:val="Predseda"/>
              <w:rPr>
                <w:rFonts w:cs="Times New Roman"/>
              </w:rPr>
            </w:pPr>
          </w:p>
        </w:tc>
      </w:tr>
      <w:tr>
        <w:tblPrEx>
          <w:tblW w:w="5000" w:type="pct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extDirection w:val="lrTb"/>
            <w:vAlign w:val="top"/>
          </w:tcPr>
          <w:p>
            <w:pPr>
              <w:rPr>
                <w:rFonts w:cs="Times New Roman"/>
              </w:rPr>
            </w:pPr>
            <w:r>
              <w:rPr>
                <w:rFonts w:cs="Times New Roman"/>
              </w:rPr>
              <w:t>*Marián</w:t>
            </w:r>
            <w:r>
              <w:rPr>
                <w:rFonts w:cs="Times New Roman"/>
                <w:spacing w:val="40"/>
              </w:rPr>
              <w:t xml:space="preserve"> Antecký </w:t>
            </w:r>
            <w:r>
              <w:rPr>
                <w:rFonts w:cs="Times New Roman"/>
              </w:rPr>
              <w:t>v. r.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extDirection w:val="lrTb"/>
            <w:vAlign w:val="top"/>
          </w:tcPr>
          <w:p>
            <w:pPr>
              <w:pStyle w:val="Predseda"/>
              <w:rPr>
                <w:rFonts w:cs="Times New Roman"/>
              </w:rPr>
            </w:pPr>
          </w:p>
        </w:tc>
      </w:tr>
      <w:tr>
        <w:tblPrEx>
          <w:tblW w:w="5000" w:type="pct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extDirection w:val="lrTb"/>
            <w:vAlign w:val="top"/>
          </w:tcPr>
          <w:p>
            <w:pPr>
              <w:rPr>
                <w:rFonts w:cs="Times New Roman"/>
              </w:rPr>
            </w:pPr>
            <w:r>
              <w:rPr>
                <w:rFonts w:cs="Times New Roman"/>
              </w:rPr>
              <w:t>*Ján</w:t>
            </w:r>
            <w:r>
              <w:rPr>
                <w:rFonts w:cs="Times New Roman"/>
                <w:spacing w:val="40"/>
              </w:rPr>
              <w:t xml:space="preserve"> Danko </w:t>
            </w:r>
            <w:r>
              <w:rPr>
                <w:rFonts w:cs="Times New Roman"/>
              </w:rPr>
              <w:t>v. r.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extDirection w:val="lrTb"/>
            <w:vAlign w:val="top"/>
          </w:tcPr>
          <w:p>
            <w:pPr>
              <w:pStyle w:val="Predseda"/>
              <w:rPr>
                <w:rFonts w:cs="Times New Roman"/>
              </w:rPr>
            </w:pPr>
          </w:p>
        </w:tc>
      </w:tr>
    </w:tbl>
    <w:p>
      <w:pPr>
        <w:rPr>
          <w:rFonts w:cs="Times New Roman"/>
        </w:rPr>
      </w:pPr>
    </w:p>
    <w:sectPr>
      <w:headerReference w:type="default" r:id="rId5"/>
      <w:pgSz w:w="11906" w:h="16838" w:code="9"/>
      <w:pgMar w:top="1418" w:right="1418" w:bottom="1418" w:left="1418" w:header="1418" w:footer="709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Header"/>
      <w:spacing w:after="0"/>
      <w:rPr>
        <w:rFonts w:cs="Times New Roman"/>
        <w:spacing w:val="20"/>
      </w:rPr>
    </w:pPr>
    <w:r>
      <w:rPr>
        <w:rFonts w:cs="Times New Roman"/>
        <w:spacing w:val="20"/>
      </w:rPr>
      <w:t>NÁRODNÁ RADA SLOVENSK</w:t>
    </w:r>
    <w:r>
      <w:rPr>
        <w:rFonts w:cs="Times New Roman"/>
        <w:spacing w:val="20"/>
      </w:rPr>
      <w:t>EJ REPUBLIKY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DD00D11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3C3C3B6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412C9F4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B2B8E7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EDD8332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/>
        <w:rtl w:val="0"/>
      </w:rPr>
    </w:lvl>
  </w:abstractNum>
  <w:abstractNum w:abstractNumId="5">
    <w:nsid w:val="FFFFFF81"/>
    <w:multiLevelType w:val="singleLevel"/>
    <w:tmpl w:val="BD54ECF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/>
        <w:rtl w:val="0"/>
      </w:rPr>
    </w:lvl>
  </w:abstractNum>
  <w:abstractNum w:abstractNumId="6">
    <w:nsid w:val="FFFFFF82"/>
    <w:multiLevelType w:val="singleLevel"/>
    <w:tmpl w:val="B83ED43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/>
        <w:rtl w:val="0"/>
      </w:rPr>
    </w:lvl>
  </w:abstractNum>
  <w:abstractNum w:abstractNumId="7">
    <w:nsid w:val="FFFFFF83"/>
    <w:multiLevelType w:val="singleLevel"/>
    <w:tmpl w:val="2CB215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/>
        <w:rtl w:val="0"/>
      </w:rPr>
    </w:lvl>
  </w:abstractNum>
  <w:abstractNum w:abstractNumId="8">
    <w:nsid w:val="FFFFFF88"/>
    <w:multiLevelType w:val="singleLevel"/>
    <w:tmpl w:val="971801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BBB6AE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rtl w:val="0"/>
      </w:rPr>
    </w:lvl>
  </w:abstractNum>
  <w:abstractNum w:abstractNumId="10">
    <w:nsid w:val="1F8B5BC8"/>
    <w:multiLevelType w:val="hybridMultilevel"/>
    <w:tmpl w:val="47B68D54"/>
    <w:lvl w:ilvl="0">
      <w:start w:val="1"/>
      <w:numFmt w:val="upperLetter"/>
      <w:lvlText w:val="%1."/>
      <w:lvlJc w:val="left"/>
      <w:pPr>
        <w:tabs>
          <w:tab w:val="num" w:pos="1319"/>
        </w:tabs>
        <w:ind w:left="1319" w:hanging="525"/>
      </w:pPr>
    </w:lvl>
    <w:lvl w:ilvl="1">
      <w:start w:val="1"/>
      <w:numFmt w:val="lowerLetter"/>
      <w:lvlText w:val="%2."/>
      <w:lvlJc w:val="left"/>
      <w:pPr>
        <w:tabs>
          <w:tab w:val="num" w:pos="1874"/>
        </w:tabs>
        <w:ind w:left="1874" w:hanging="360"/>
      </w:pPr>
    </w:lvl>
    <w:lvl w:ilvl="2">
      <w:start w:val="1"/>
      <w:numFmt w:val="lowerRoman"/>
      <w:lvlText w:val="%3."/>
      <w:lvlJc w:val="right"/>
      <w:pPr>
        <w:tabs>
          <w:tab w:val="num" w:pos="2594"/>
        </w:tabs>
        <w:ind w:left="2594" w:hanging="180"/>
      </w:pPr>
    </w:lvl>
    <w:lvl w:ilvl="3">
      <w:start w:val="1"/>
      <w:numFmt w:val="decimal"/>
      <w:lvlText w:val="%4."/>
      <w:lvlJc w:val="left"/>
      <w:pPr>
        <w:tabs>
          <w:tab w:val="num" w:pos="3314"/>
        </w:tabs>
        <w:ind w:left="3314" w:hanging="360"/>
      </w:pPr>
    </w:lvl>
    <w:lvl w:ilvl="4">
      <w:start w:val="1"/>
      <w:numFmt w:val="lowerLetter"/>
      <w:lvlText w:val="%5."/>
      <w:lvlJc w:val="left"/>
      <w:pPr>
        <w:tabs>
          <w:tab w:val="num" w:pos="4034"/>
        </w:tabs>
        <w:ind w:left="4034" w:hanging="360"/>
      </w:pPr>
    </w:lvl>
    <w:lvl w:ilvl="5">
      <w:start w:val="1"/>
      <w:numFmt w:val="lowerRoman"/>
      <w:lvlText w:val="%6."/>
      <w:lvlJc w:val="right"/>
      <w:pPr>
        <w:tabs>
          <w:tab w:val="num" w:pos="4754"/>
        </w:tabs>
        <w:ind w:left="4754" w:hanging="180"/>
      </w:pPr>
    </w:lvl>
    <w:lvl w:ilvl="6">
      <w:start w:val="1"/>
      <w:numFmt w:val="decimal"/>
      <w:lvlText w:val="%7."/>
      <w:lvlJc w:val="left"/>
      <w:pPr>
        <w:tabs>
          <w:tab w:val="num" w:pos="5474"/>
        </w:tabs>
        <w:ind w:left="5474" w:hanging="360"/>
      </w:pPr>
    </w:lvl>
    <w:lvl w:ilvl="7">
      <w:start w:val="1"/>
      <w:numFmt w:val="lowerLetter"/>
      <w:lvlText w:val="%8."/>
      <w:lvlJc w:val="left"/>
      <w:pPr>
        <w:tabs>
          <w:tab w:val="num" w:pos="6194"/>
        </w:tabs>
        <w:ind w:left="6194" w:hanging="360"/>
      </w:pPr>
    </w:lvl>
    <w:lvl w:ilvl="8">
      <w:start w:val="1"/>
      <w:numFmt w:val="lowerRoman"/>
      <w:lvlText w:val="%9."/>
      <w:lvlJc w:val="right"/>
      <w:pPr>
        <w:tabs>
          <w:tab w:val="num" w:pos="6914"/>
        </w:tabs>
        <w:ind w:left="6914" w:hanging="180"/>
      </w:pPr>
    </w:lvl>
  </w:abstractNum>
  <w:abstractNum w:abstractNumId="11">
    <w:nsid w:val="231D3725"/>
    <w:multiLevelType w:val="hybridMultilevel"/>
    <w:tmpl w:val="4922F976"/>
    <w:lvl w:ilvl="0">
      <w:start w:val="2"/>
      <w:numFmt w:val="upperLetter"/>
      <w:lvlText w:val="%1."/>
      <w:lvlJc w:val="left"/>
      <w:pPr>
        <w:tabs>
          <w:tab w:val="num" w:pos="1199"/>
        </w:tabs>
        <w:ind w:left="1199" w:hanging="405"/>
      </w:pPr>
    </w:lvl>
    <w:lvl w:ilvl="1">
      <w:start w:val="1"/>
      <w:numFmt w:val="lowerLetter"/>
      <w:lvlText w:val="%2."/>
      <w:lvlJc w:val="left"/>
      <w:pPr>
        <w:tabs>
          <w:tab w:val="num" w:pos="1874"/>
        </w:tabs>
        <w:ind w:left="1874" w:hanging="360"/>
      </w:pPr>
    </w:lvl>
    <w:lvl w:ilvl="2">
      <w:start w:val="1"/>
      <w:numFmt w:val="lowerRoman"/>
      <w:lvlText w:val="%3."/>
      <w:lvlJc w:val="right"/>
      <w:pPr>
        <w:tabs>
          <w:tab w:val="num" w:pos="2594"/>
        </w:tabs>
        <w:ind w:left="2594" w:hanging="180"/>
      </w:pPr>
    </w:lvl>
    <w:lvl w:ilvl="3">
      <w:start w:val="1"/>
      <w:numFmt w:val="decimal"/>
      <w:lvlText w:val="%4."/>
      <w:lvlJc w:val="left"/>
      <w:pPr>
        <w:tabs>
          <w:tab w:val="num" w:pos="3314"/>
        </w:tabs>
        <w:ind w:left="3314" w:hanging="360"/>
      </w:pPr>
    </w:lvl>
    <w:lvl w:ilvl="4">
      <w:start w:val="1"/>
      <w:numFmt w:val="lowerLetter"/>
      <w:lvlText w:val="%5."/>
      <w:lvlJc w:val="left"/>
      <w:pPr>
        <w:tabs>
          <w:tab w:val="num" w:pos="4034"/>
        </w:tabs>
        <w:ind w:left="4034" w:hanging="360"/>
      </w:pPr>
    </w:lvl>
    <w:lvl w:ilvl="5">
      <w:start w:val="1"/>
      <w:numFmt w:val="lowerRoman"/>
      <w:lvlText w:val="%6."/>
      <w:lvlJc w:val="right"/>
      <w:pPr>
        <w:tabs>
          <w:tab w:val="num" w:pos="4754"/>
        </w:tabs>
        <w:ind w:left="4754" w:hanging="180"/>
      </w:pPr>
    </w:lvl>
    <w:lvl w:ilvl="6">
      <w:start w:val="1"/>
      <w:numFmt w:val="decimal"/>
      <w:lvlText w:val="%7."/>
      <w:lvlJc w:val="left"/>
      <w:pPr>
        <w:tabs>
          <w:tab w:val="num" w:pos="5474"/>
        </w:tabs>
        <w:ind w:left="5474" w:hanging="360"/>
      </w:pPr>
    </w:lvl>
    <w:lvl w:ilvl="7">
      <w:start w:val="1"/>
      <w:numFmt w:val="lowerLetter"/>
      <w:lvlText w:val="%8."/>
      <w:lvlJc w:val="left"/>
      <w:pPr>
        <w:tabs>
          <w:tab w:val="num" w:pos="6194"/>
        </w:tabs>
        <w:ind w:left="6194" w:hanging="360"/>
      </w:pPr>
    </w:lvl>
    <w:lvl w:ilvl="8">
      <w:start w:val="1"/>
      <w:numFmt w:val="lowerRoman"/>
      <w:lvlText w:val="%9."/>
      <w:lvlJc w:val="right"/>
      <w:pPr>
        <w:tabs>
          <w:tab w:val="num" w:pos="6914"/>
        </w:tabs>
        <w:ind w:left="6914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utoRedefine/>
    <w:qFormat/>
    <w:pPr>
      <w:widowControl w:val="0"/>
      <w:autoSpaceDE w:val="0"/>
      <w:autoSpaceDN w:val="0"/>
      <w:bidi w:val="0"/>
      <w:adjustRightInd w:val="0"/>
      <w:ind w:left="0" w:right="0"/>
      <w:jc w:val="both"/>
      <w:textAlignment w:val="auto"/>
    </w:pPr>
    <w:rPr>
      <w:rFonts w:ascii="Arial" w:hAnsi="Arial"/>
      <w:sz w:val="24"/>
      <w:szCs w:val="20"/>
      <w:rtl w:val="0"/>
      <w:lang w:val="sk-SK" w:bidi="ar-SA"/>
    </w:rPr>
  </w:style>
  <w:style w:type="paragraph" w:styleId="Heading1">
    <w:name w:val="heading 1"/>
    <w:basedOn w:val="Normal"/>
    <w:next w:val="Normal"/>
    <w:autoRedefine/>
    <w:uiPriority w:val="9"/>
    <w:qFormat/>
    <w:pPr>
      <w:keepNext/>
      <w:jc w:val="center"/>
      <w:outlineLvl w:val="0"/>
    </w:pPr>
    <w:rPr>
      <w:spacing w:val="20"/>
      <w:kern w:val="32"/>
      <w:sz w:val="32"/>
    </w:rPr>
  </w:style>
  <w:style w:type="paragraph" w:styleId="Heading2">
    <w:name w:val="heading 2"/>
    <w:basedOn w:val="Normal"/>
    <w:next w:val="Normal"/>
    <w:uiPriority w:val="9"/>
    <w:qFormat/>
    <w:pPr>
      <w:keepNext/>
      <w:spacing w:before="240" w:after="60"/>
      <w:jc w:val="both"/>
      <w:outlineLvl w:val="1"/>
    </w:pPr>
    <w:rPr>
      <w:b/>
      <w:i/>
    </w:rPr>
  </w:style>
  <w:style w:type="paragraph" w:styleId="Heading3">
    <w:name w:val="heading 3"/>
    <w:basedOn w:val="Normal"/>
    <w:next w:val="Normal"/>
    <w:uiPriority w:val="9"/>
    <w:qFormat/>
    <w:pPr>
      <w:keepNext/>
      <w:spacing w:before="240" w:after="60"/>
      <w:jc w:val="both"/>
      <w:outlineLvl w:val="2"/>
    </w:pPr>
  </w:style>
  <w:style w:type="paragraph" w:styleId="Heading4">
    <w:name w:val="heading 4"/>
    <w:basedOn w:val="Normal"/>
    <w:next w:val="Normal"/>
    <w:uiPriority w:val="9"/>
    <w:qFormat/>
    <w:pPr>
      <w:keepNext/>
      <w:spacing w:before="360" w:after="240"/>
      <w:ind w:firstLine="794"/>
      <w:jc w:val="left"/>
      <w:outlineLvl w:val="3"/>
    </w:pPr>
    <w:rPr>
      <w:b/>
      <w:bCs/>
      <w:sz w:val="28"/>
    </w:rPr>
  </w:style>
  <w:style w:type="character" w:default="1" w:styleId="DefaultParagraphFont">
    <w:name w:val="Default Paragraph Font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pPr>
      <w:tabs>
        <w:tab w:val="center" w:pos="4536"/>
        <w:tab w:val="right" w:pos="9072"/>
      </w:tabs>
      <w:spacing w:after="240"/>
      <w:jc w:val="center"/>
    </w:pPr>
    <w:rPr>
      <w:spacing w:val="40"/>
      <w:sz w:val="32"/>
    </w:rPr>
  </w:style>
  <w:style w:type="paragraph" w:styleId="Footer">
    <w:name w:val="footer"/>
    <w:basedOn w:val="Normal"/>
    <w:pPr>
      <w:tabs>
        <w:tab w:val="center" w:pos="4536"/>
        <w:tab w:val="right" w:pos="9072"/>
      </w:tabs>
      <w:jc w:val="both"/>
    </w:pPr>
  </w:style>
  <w:style w:type="paragraph" w:customStyle="1" w:styleId="Protokolnslo">
    <w:name w:val="Protokolné číslo"/>
    <w:basedOn w:val="Normal"/>
    <w:pPr>
      <w:spacing w:before="360"/>
      <w:jc w:val="left"/>
    </w:pPr>
    <w:rPr>
      <w:spacing w:val="20"/>
    </w:rPr>
  </w:style>
  <w:style w:type="paragraph" w:customStyle="1" w:styleId="slouznesenia">
    <w:name w:val="Číslo uznesenia"/>
    <w:basedOn w:val="Normal"/>
    <w:pPr>
      <w:spacing w:before="240" w:after="120"/>
      <w:jc w:val="center"/>
      <w:outlineLvl w:val="0"/>
    </w:pPr>
    <w:rPr>
      <w:b/>
      <w:kern w:val="28"/>
      <w:sz w:val="40"/>
    </w:rPr>
  </w:style>
  <w:style w:type="character" w:styleId="Strong">
    <w:name w:val="Strong"/>
    <w:basedOn w:val="DefaultParagraphFont"/>
    <w:uiPriority w:val="22"/>
    <w:qFormat/>
    <w:rPr>
      <w:b/>
      <w:bCs/>
      <w:rtl w:val="0"/>
    </w:rPr>
  </w:style>
  <w:style w:type="paragraph" w:customStyle="1" w:styleId="Text1">
    <w:name w:val="Text1"/>
    <w:basedOn w:val="Normal"/>
    <w:autoRedefine/>
    <w:pPr>
      <w:spacing w:before="120" w:after="120"/>
      <w:jc w:val="left"/>
    </w:pPr>
  </w:style>
  <w:style w:type="paragraph" w:customStyle="1" w:styleId="Text2">
    <w:name w:val="Text2"/>
    <w:basedOn w:val="Header"/>
    <w:autoRedefine/>
    <w:pPr>
      <w:tabs>
        <w:tab w:val="clear" w:pos="4536"/>
        <w:tab w:val="clear" w:pos="9072"/>
      </w:tabs>
      <w:spacing w:before="120" w:after="120"/>
      <w:ind w:firstLine="794"/>
      <w:jc w:val="left"/>
    </w:pPr>
  </w:style>
  <w:style w:type="paragraph" w:customStyle="1" w:styleId="Predseda">
    <w:name w:val="Predseda"/>
    <w:basedOn w:val="Normal"/>
    <w:pPr>
      <w:keepNext/>
      <w:jc w:val="center"/>
    </w:pPr>
  </w:style>
  <w:style w:type="paragraph" w:customStyle="1" w:styleId="De">
    <w:name w:val="Deň"/>
    <w:basedOn w:val="Normal"/>
    <w:pPr>
      <w:spacing w:before="240" w:after="240"/>
      <w:jc w:val="center"/>
    </w:pPr>
  </w:style>
  <w:style w:type="paragraph" w:customStyle="1" w:styleId="ZnakNRSR">
    <w:name w:val="Znak NR SR"/>
    <w:basedOn w:val="Normal"/>
    <w:autoRedefine/>
    <w:pPr>
      <w:jc w:val="center"/>
    </w:pPr>
  </w:style>
  <w:style w:type="paragraph" w:customStyle="1" w:styleId="NormlnyOdsaden">
    <w:name w:val="Normálny Odsadený"/>
    <w:basedOn w:val="Normal"/>
    <w:autoRedefine/>
    <w:pPr>
      <w:ind w:firstLine="794"/>
      <w:jc w:val="both"/>
    </w:pPr>
  </w:style>
  <w:style w:type="paragraph" w:customStyle="1" w:styleId="RozhodnutieNRSR">
    <w:name w:val="Rozhodnutie NR SR"/>
    <w:basedOn w:val="Normal"/>
    <w:pPr>
      <w:keepNext/>
      <w:spacing w:before="240" w:after="240"/>
      <w:ind w:firstLine="794"/>
      <w:jc w:val="both"/>
    </w:pPr>
    <w:rPr>
      <w:b/>
      <w:spacing w:val="60"/>
      <w:sz w:val="28"/>
    </w:rPr>
  </w:style>
  <w:style w:type="paragraph" w:customStyle="1" w:styleId="slojednacie">
    <w:name w:val="Číslo jednacie"/>
    <w:basedOn w:val="Normal"/>
    <w:pPr>
      <w:spacing w:before="240" w:after="120"/>
      <w:jc w:val="both"/>
    </w:pPr>
  </w:style>
  <w:style w:type="paragraph" w:customStyle="1" w:styleId="NormalBold">
    <w:name w:val="Normal Bold"/>
    <w:basedOn w:val="Normal"/>
    <w:autoRedefine/>
    <w:pPr>
      <w:jc w:val="both"/>
    </w:pPr>
    <w:rPr>
      <w:b/>
    </w:rPr>
  </w:style>
  <w:style w:type="paragraph" w:customStyle="1" w:styleId="NormalItalic">
    <w:name w:val="Normal Italic"/>
    <w:basedOn w:val="Normal"/>
    <w:autoRedefine/>
    <w:pPr>
      <w:spacing w:before="120" w:after="120"/>
      <w:jc w:val="both"/>
    </w:pPr>
    <w:rPr>
      <w:i/>
    </w:rPr>
  </w:style>
  <w:style w:type="paragraph" w:customStyle="1" w:styleId="NormalUnderline">
    <w:name w:val="Normal Underline"/>
    <w:basedOn w:val="Normal"/>
    <w:autoRedefine/>
    <w:pPr>
      <w:spacing w:before="120" w:after="120"/>
      <w:jc w:val="both"/>
    </w:pPr>
    <w:rPr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1</Pages>
  <Words>219</Words>
  <Characters>1249</Characters>
  <Application>Microsoft Office Word</Application>
  <DocSecurity>0</DocSecurity>
  <Lines>0</Lines>
  <Paragraphs>0</Paragraphs>
  <ScaleCrop>false</ScaleCrop>
  <Company>Kancelária NR SR</Company>
  <LinksUpToDate>false</LinksUpToDate>
  <CharactersWithSpaces>1533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PREDSEDA NÁRODNEJ RADY SLOVENSKEJ REPUBLIKY</dc:title>
  <dc:creator>PC</dc:creator>
  <cp:lastModifiedBy>StanoDz</cp:lastModifiedBy>
  <cp:revision>3</cp:revision>
  <cp:lastPrinted>2000-11-20T14:06:00Z</cp:lastPrinted>
  <dcterms:created xsi:type="dcterms:W3CDTF">2000-11-28T16:07:00Z</dcterms:created>
  <dcterms:modified xsi:type="dcterms:W3CDTF">2000-11-28T16:09:00Z</dcterms:modified>
</cp:coreProperties>
</file>