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649/1999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349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29. júna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46/1993 Z. z. o Slovenskej informačnej službe v znení neskorších predpisov (tlač 218) -</w:t>
      </w:r>
      <w:r>
        <w:rPr>
          <w:rFonts w:cs="Times New Roman"/>
          <w:i/>
          <w:iCs/>
        </w:rPr>
        <w:t xml:space="preserve">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Národnej rady Slovenskej republiky č. 46/1993 Z. z. o Slovenskej informačnej službe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Národnej rady Slovenskej republiky č. 46/1993 Z. z. o Slovenskej informačnej službe v znení neskorších predpisov (tlač 218)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obranu a bezpečnosť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ľudské práva a národnosti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Osobitnému kontrolnému výboru Národnej rady Slovenskej republiky na kontrolu činnosti Slovenskej informačnej služby;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</w:t>
      </w:r>
      <w:r>
        <w:rPr>
          <w:rFonts w:cs="Times New Roman"/>
        </w:rPr>
        <w:t>nej rady Slovenskej republiky pre obranu a bezpečnosť,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31. augusta 1999 a v gestorskom výbore do 3. septembra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</w:t>
            </w:r>
            <w:r>
              <w:rPr>
                <w:rFonts w:cs="Times New Roman"/>
              </w:rPr>
              <w:t>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269</Words>
  <Characters>1535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2000-11-28T15:44:00Z</dcterms:created>
  <dcterms:modified xsi:type="dcterms:W3CDTF">2000-11-28T15:46:00Z</dcterms:modified>
</cp:coreProperties>
</file>