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637/1999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313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2. júna 1999</w:t>
      </w:r>
    </w:p>
    <w:p>
      <w:pPr>
        <w:rPr>
          <w:rFonts w:cs="Times New Roman"/>
        </w:rPr>
      </w:pPr>
      <w:r>
        <w:rPr>
          <w:rFonts w:cs="Times New Roman"/>
        </w:rPr>
        <w:t>k vládnemu návrhu zákona o niektorých opatreniach týkajúcich sa prípravy významných investícií a o doplnení niektorých zákonov (tlač 212) -</w:t>
      </w:r>
      <w:r>
        <w:rPr>
          <w:rFonts w:cs="Times New Roman"/>
          <w:i/>
          <w:iCs/>
        </w:rPr>
        <w:t xml:space="preserve">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</w:rPr>
        <w:t>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vládneho návrhu zákona o niektorých opatreniach týkajúcich sa prípravy významných investícií a o doplnení niektorých zákonov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vládny návrh zákona o niektorých opatreniach týkajúcich sa prípravy významných investícií a o doplnení niektorých zákonov (tlač 212)</w:t>
      </w:r>
    </w:p>
    <w:p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hospodárstvo, privatizáciu a podnikanie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</w:t>
      </w:r>
      <w:r>
        <w:rPr>
          <w:rFonts w:cs="Times New Roman"/>
        </w:rPr>
        <w:t>venskej republiky pre pôdohospodárstvo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verejnú správu 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životné prostredie a ochranu prírody;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1. ako gestorský Výb</w:t>
      </w:r>
      <w:r>
        <w:rPr>
          <w:rFonts w:cs="Times New Roman"/>
        </w:rPr>
        <w:t>or Národnej rady Slovenskej republiky pre hospodárstvo, privatizáciu a podnikanie,</w:t>
      </w:r>
    </w:p>
    <w:p>
      <w:pPr>
        <w:autoSpaceDE/>
        <w:autoSpaceDN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a v gestorskom výbore do 2. júla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</w:t>
            </w:r>
            <w:r>
              <w:rPr>
                <w:rFonts w:cs="Times New Roman"/>
              </w:rPr>
              <w:t>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232</Words>
  <Characters>1326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2000-12-14T10:26:00Z</dcterms:created>
  <dcterms:modified xsi:type="dcterms:W3CDTF">2000-12-14T10:27:00Z</dcterms:modified>
</cp:coreProperties>
</file>