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1150/1998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39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5.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č. 80/1997 Z. z. o Exportno-importnej banke Slovenskej republiky (tlač 34) -</w:t>
      </w:r>
      <w:r>
        <w:rPr>
          <w:rFonts w:cs="Times New Roman"/>
          <w:i/>
          <w:iCs/>
        </w:rPr>
        <w:t xml:space="preserve">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č. 80/1997 Z. z. o Exportno-importnej banke Slovenskej republiky (tlač 34)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lnyOdsaden"/>
        <w:rPr>
          <w:rFonts w:cs="Times New Roman"/>
          <w:i/>
          <w:iCs/>
        </w:rPr>
      </w:pPr>
      <w:r>
        <w:rPr>
          <w:rFonts w:cs="Times New Roman"/>
          <w:i/>
          <w:iCs/>
        </w:rPr>
        <w:t>prerokuje uvedený návrh zákona v druhom čítaní;</w:t>
      </w:r>
    </w:p>
    <w:p>
      <w:pPr>
        <w:pStyle w:val="RozhodnutieNRSR"/>
        <w:ind w:left="794" w:firstLine="0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č. 80/1997 Z. z. o Exportno-importnej banke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  <w:u w:val="single"/>
        </w:rPr>
        <w:t>na prerokovanie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Ústavnoprávnemu výboru N</w:t>
      </w:r>
      <w:r>
        <w:rPr>
          <w:rFonts w:cs="Times New Roman"/>
        </w:rPr>
        <w:t>árodnej rady Slovenskej republiky 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financie, rozpočet a menu;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1. ako gestorský Výbor Národnej rady Slovenskej republiky pre financie, rozpočet a menu,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2. lehotu na prerokovanie uvedeného návrhu zákona vo výboroch v termíne ihneď s tým, že druhé a tretie čítanie sa uskutoční na 2. schôdzi Národnej rady Slovenskej republiky.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</w:t>
            </w:r>
            <w:r>
              <w:rPr>
                <w:rFonts w:cs="Times New Roman"/>
              </w:rPr>
              <w:t>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C29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06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BE7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D84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A4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EF646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0E040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D0CA8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37F8A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F6D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1F8B5BC8"/>
    <w:multiLevelType w:val="hybridMultilevel"/>
    <w:tmpl w:val="47B68D54"/>
    <w:lvl w:ilvl="0">
      <w:start w:val="1"/>
      <w:numFmt w:val="upperLetter"/>
      <w:lvlText w:val="%1."/>
      <w:lvlJc w:val="left"/>
      <w:pPr>
        <w:tabs>
          <w:tab w:val="num" w:pos="1319"/>
        </w:tabs>
        <w:ind w:left="1319" w:hanging="52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>
    <w:nsid w:val="231D3725"/>
    <w:multiLevelType w:val="hybridMultilevel"/>
    <w:tmpl w:val="4922F976"/>
    <w:lvl w:ilvl="0">
      <w:start w:val="2"/>
      <w:numFmt w:val="upperLetter"/>
      <w:lvlText w:val="%1."/>
      <w:lvlJc w:val="left"/>
      <w:pPr>
        <w:tabs>
          <w:tab w:val="num" w:pos="1199"/>
        </w:tabs>
        <w:ind w:left="1199" w:hanging="40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227</Words>
  <Characters>1298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4</cp:revision>
  <cp:lastPrinted>2000-11-20T14:06:00Z</cp:lastPrinted>
  <dcterms:created xsi:type="dcterms:W3CDTF">2000-12-14T20:10:00Z</dcterms:created>
  <dcterms:modified xsi:type="dcterms:W3CDTF">2000-12-14T20:11:00Z</dcterms:modified>
</cp:coreProperties>
</file>