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1139/1998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28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3.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ústavného zákona o predĺžení volebného obdobia orgánov samosprávy obcí zvolených vo voľbách v roku 1994 (tlač 26)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ústavného zákona o predĺžení volebného obdobia orgánov samosprávy obcí zvolených vo voľbách v roku 1994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ústavný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ústavného zákona o predĺžení volebného obdobia orgánov samosprávy obcí zvolených vo voľbách v roku 1994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 xml:space="preserve">Ústavnoprávnemu výboru </w:t>
      </w:r>
      <w:r>
        <w:rPr>
          <w:rFonts w:cs="Times New Roman"/>
        </w:rPr>
        <w:t>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Ústavnoprávny výbor Národnej rady Slovenskej republiky,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</w:t>
      </w:r>
      <w:r>
        <w:rPr>
          <w:rFonts w:cs="Times New Roman"/>
        </w:rPr>
        <w:t>o návrhu ústavného zákona vo výboroch s termínom ihneď.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211</Words>
  <Characters>1208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2000-12-14T19:48:00Z</dcterms:created>
  <dcterms:modified xsi:type="dcterms:W3CDTF">2000-12-14T19:53:00Z</dcterms:modified>
</cp:coreProperties>
</file>