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2D" w:rsidRPr="00C23DB2" w:rsidRDefault="009F6E2D" w:rsidP="001623A8">
      <w:pPr>
        <w:keepNext/>
        <w:pBdr>
          <w:top w:val="single" w:sz="4" w:space="1" w:color="000000"/>
          <w:left w:val="single" w:sz="4" w:space="4" w:color="000000"/>
          <w:bottom w:val="single" w:sz="4" w:space="5" w:color="000000"/>
          <w:right w:val="single" w:sz="4" w:space="4" w:color="000000"/>
        </w:pBdr>
        <w:shd w:val="clear" w:color="auto" w:fill="D9D9D9"/>
        <w:spacing w:after="0" w:line="240" w:lineRule="auto"/>
        <w:jc w:val="center"/>
        <w:outlineLvl w:val="2"/>
        <w:rPr>
          <w:rFonts w:ascii="Times New Roman" w:eastAsia="Times New Roman" w:hAnsi="Times New Roman" w:cs="Times New Roman"/>
          <w:b/>
          <w:bCs/>
          <w:sz w:val="24"/>
          <w:szCs w:val="24"/>
          <w:lang w:eastAsia="sk-SK"/>
        </w:rPr>
      </w:pPr>
      <w:bookmarkStart w:id="0" w:name="_GoBack"/>
      <w:bookmarkEnd w:id="0"/>
      <w:r w:rsidRPr="00C23DB2">
        <w:rPr>
          <w:rFonts w:ascii="Times New Roman" w:eastAsia="Times New Roman" w:hAnsi="Times New Roman" w:cs="Times New Roman"/>
          <w:b/>
          <w:bCs/>
          <w:sz w:val="24"/>
          <w:szCs w:val="24"/>
          <w:lang w:eastAsia="sk-SK"/>
        </w:rPr>
        <w:t>Riadne predbežné stanovisko</w:t>
      </w:r>
    </w:p>
    <w:p w:rsidR="009F6E2D" w:rsidRPr="00C23DB2" w:rsidRDefault="009F6E2D" w:rsidP="001623A8">
      <w:pPr>
        <w:pStyle w:val="Odsekzoznamu"/>
        <w:numPr>
          <w:ilvl w:val="0"/>
          <w:numId w:val="1"/>
        </w:numPr>
        <w:spacing w:before="360" w:after="240" w:line="240" w:lineRule="auto"/>
        <w:ind w:left="426" w:hanging="426"/>
        <w:contextualSpacing w:val="0"/>
        <w:jc w:val="center"/>
        <w:rPr>
          <w:rFonts w:ascii="Times New Roman" w:eastAsia="Times New Roman" w:hAnsi="Times New Roman" w:cs="Times New Roman"/>
          <w:b/>
          <w:bCs/>
          <w:sz w:val="24"/>
          <w:szCs w:val="24"/>
          <w:u w:val="single"/>
          <w:lang w:eastAsia="sk-SK"/>
        </w:rPr>
      </w:pPr>
      <w:r w:rsidRPr="00C23DB2">
        <w:rPr>
          <w:rFonts w:ascii="Times New Roman" w:eastAsia="Times New Roman" w:hAnsi="Times New Roman" w:cs="Times New Roman"/>
          <w:b/>
          <w:bCs/>
          <w:sz w:val="24"/>
          <w:szCs w:val="24"/>
          <w:u w:val="single"/>
          <w:lang w:eastAsia="sk-SK"/>
        </w:rPr>
        <w:t>VŠEOBECNÁ ČASŤ</w:t>
      </w:r>
    </w:p>
    <w:p w:rsidR="009F6E2D" w:rsidRPr="00C23DB2" w:rsidRDefault="009F6E2D" w:rsidP="001623A8">
      <w:pPr>
        <w:pStyle w:val="Odsekzoznamu"/>
        <w:numPr>
          <w:ilvl w:val="0"/>
          <w:numId w:val="3"/>
        </w:numPr>
        <w:spacing w:before="200" w:after="120" w:line="240" w:lineRule="auto"/>
        <w:ind w:left="425" w:hanging="425"/>
        <w:contextualSpacing w:val="0"/>
        <w:jc w:val="both"/>
        <w:rPr>
          <w:rFonts w:ascii="Times New Roman" w:eastAsia="Times New Roman" w:hAnsi="Times New Roman" w:cs="Times New Roman"/>
          <w:sz w:val="24"/>
          <w:szCs w:val="24"/>
          <w:lang w:eastAsia="sk-SK"/>
        </w:rPr>
      </w:pPr>
      <w:r w:rsidRPr="00C23DB2">
        <w:rPr>
          <w:rFonts w:ascii="Times New Roman" w:eastAsia="Times New Roman" w:hAnsi="Times New Roman" w:cs="Times New Roman"/>
          <w:b/>
          <w:bCs/>
          <w:sz w:val="24"/>
          <w:szCs w:val="24"/>
          <w:lang w:eastAsia="sk-SK"/>
        </w:rPr>
        <w:t>Názov</w:t>
      </w:r>
    </w:p>
    <w:p w:rsidR="00770C78" w:rsidRPr="00770C78" w:rsidRDefault="00770C78" w:rsidP="00770C78">
      <w:pPr>
        <w:jc w:val="both"/>
        <w:rPr>
          <w:rFonts w:ascii="Times New Roman" w:hAnsi="Times New Roman"/>
          <w:szCs w:val="24"/>
        </w:rPr>
      </w:pPr>
      <w:r w:rsidRPr="00770C78">
        <w:rPr>
          <w:rFonts w:ascii="Times New Roman" w:hAnsi="Times New Roman"/>
          <w:szCs w:val="24"/>
        </w:rPr>
        <w:t xml:space="preserve">Návrh nariadenia o Európskom námornom a rybárskom </w:t>
      </w:r>
      <w:r>
        <w:rPr>
          <w:rFonts w:ascii="Times New Roman" w:hAnsi="Times New Roman"/>
          <w:szCs w:val="24"/>
        </w:rPr>
        <w:t>fonde a o zrušení nariadenia</w:t>
      </w:r>
      <w:r w:rsidRPr="00770C78">
        <w:rPr>
          <w:rFonts w:ascii="Times New Roman" w:hAnsi="Times New Roman"/>
          <w:szCs w:val="24"/>
        </w:rPr>
        <w:t xml:space="preserve"> Európskeho parlamentu a Rady (EÚ) č. 508/2014</w:t>
      </w:r>
    </w:p>
    <w:p w:rsidR="009F6E2D" w:rsidRPr="00C23DB2" w:rsidRDefault="009F6E2D" w:rsidP="001623A8">
      <w:pPr>
        <w:pStyle w:val="Odsekzoznamu"/>
        <w:numPr>
          <w:ilvl w:val="0"/>
          <w:numId w:val="3"/>
        </w:numPr>
        <w:spacing w:before="200" w:after="120" w:line="240" w:lineRule="auto"/>
        <w:ind w:left="425" w:hanging="425"/>
        <w:contextualSpacing w:val="0"/>
        <w:jc w:val="both"/>
        <w:rPr>
          <w:rFonts w:ascii="Times New Roman" w:eastAsia="Times New Roman" w:hAnsi="Times New Roman" w:cs="Times New Roman"/>
          <w:sz w:val="24"/>
          <w:szCs w:val="24"/>
          <w:lang w:eastAsia="sk-SK"/>
        </w:rPr>
      </w:pPr>
      <w:r w:rsidRPr="00C23DB2">
        <w:rPr>
          <w:rFonts w:ascii="Times New Roman" w:eastAsia="Times New Roman" w:hAnsi="Times New Roman" w:cs="Times New Roman"/>
          <w:b/>
          <w:bCs/>
          <w:sz w:val="24"/>
          <w:szCs w:val="24"/>
          <w:lang w:eastAsia="sk-SK"/>
        </w:rPr>
        <w:t>Číslo a dátum zverejnenia dokumentu EK, (prípadne číslo a dátum zverejnenia dokumentu Rady EÚ)</w:t>
      </w:r>
    </w:p>
    <w:p w:rsidR="00D97749" w:rsidRPr="00C23DB2" w:rsidRDefault="00D97749" w:rsidP="001623A8">
      <w:pPr>
        <w:spacing w:after="0" w:line="240" w:lineRule="auto"/>
        <w:ind w:left="720" w:hanging="720"/>
        <w:jc w:val="both"/>
        <w:rPr>
          <w:rFonts w:ascii="Times New Roman" w:eastAsia="Times New Roman" w:hAnsi="Times New Roman" w:cs="Times New Roman"/>
          <w:b/>
          <w:bCs/>
          <w:sz w:val="24"/>
          <w:szCs w:val="24"/>
          <w:lang w:eastAsia="sk-SK"/>
        </w:rPr>
      </w:pPr>
      <w:r w:rsidRPr="00C23DB2">
        <w:rPr>
          <w:rFonts w:ascii="Times New Roman" w:eastAsia="Times New Roman" w:hAnsi="Times New Roman" w:cs="Times New Roman"/>
          <w:b/>
          <w:bCs/>
          <w:sz w:val="24"/>
          <w:szCs w:val="24"/>
          <w:lang w:eastAsia="sk-SK"/>
        </w:rPr>
        <w:t>Číslo dokumentu Európskej komisie:</w:t>
      </w:r>
    </w:p>
    <w:p w:rsidR="00F17828" w:rsidRPr="00C23DB2" w:rsidRDefault="00770C78" w:rsidP="001623A8">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COM(2018) 390</w:t>
      </w:r>
      <w:r w:rsidR="00F17828" w:rsidRPr="00C23DB2">
        <w:rPr>
          <w:rFonts w:ascii="Times New Roman" w:eastAsia="Times New Roman" w:hAnsi="Times New Roman" w:cs="Times New Roman"/>
          <w:bCs/>
          <w:sz w:val="24"/>
          <w:szCs w:val="24"/>
          <w:lang w:eastAsia="sk-SK"/>
        </w:rPr>
        <w:t xml:space="preserve"> final</w:t>
      </w:r>
    </w:p>
    <w:p w:rsidR="009F6E2D" w:rsidRPr="00C23DB2" w:rsidRDefault="00C23D9F" w:rsidP="001623A8">
      <w:pPr>
        <w:spacing w:after="0" w:line="240" w:lineRule="auto"/>
        <w:jc w:val="both"/>
        <w:rPr>
          <w:rFonts w:ascii="Times New Roman" w:eastAsia="Times New Roman" w:hAnsi="Times New Roman" w:cs="Times New Roman"/>
          <w:bCs/>
          <w:sz w:val="24"/>
          <w:szCs w:val="24"/>
          <w:lang w:eastAsia="sk-SK"/>
        </w:rPr>
      </w:pPr>
      <w:r w:rsidRPr="00C23D9F">
        <w:rPr>
          <w:rFonts w:ascii="Times New Roman" w:eastAsia="Times New Roman" w:hAnsi="Times New Roman" w:cs="Times New Roman"/>
          <w:bCs/>
          <w:sz w:val="24"/>
          <w:szCs w:val="24"/>
          <w:lang w:eastAsia="sk-SK"/>
        </w:rPr>
        <w:t>COM(2018) 390 final – ANNEXES 1 to 5</w:t>
      </w:r>
    </w:p>
    <w:p w:rsidR="00F17828" w:rsidRPr="00C23DB2" w:rsidRDefault="00D97749" w:rsidP="001623A8">
      <w:pPr>
        <w:spacing w:before="120" w:after="0" w:line="240" w:lineRule="auto"/>
        <w:ind w:left="720" w:hanging="720"/>
        <w:jc w:val="both"/>
        <w:rPr>
          <w:rFonts w:ascii="Times New Roman" w:eastAsia="Times New Roman" w:hAnsi="Times New Roman" w:cs="Times New Roman"/>
          <w:bCs/>
          <w:sz w:val="24"/>
          <w:szCs w:val="24"/>
          <w:lang w:eastAsia="sk-SK"/>
        </w:rPr>
      </w:pPr>
      <w:r w:rsidRPr="00C23DB2">
        <w:rPr>
          <w:rFonts w:ascii="Times New Roman" w:eastAsia="Times New Roman" w:hAnsi="Times New Roman" w:cs="Times New Roman"/>
          <w:b/>
          <w:bCs/>
          <w:sz w:val="24"/>
          <w:szCs w:val="24"/>
          <w:lang w:eastAsia="sk-SK"/>
        </w:rPr>
        <w:t>Číslo dokumentu Rady:</w:t>
      </w:r>
    </w:p>
    <w:p w:rsidR="00AF63C2" w:rsidRPr="00350140" w:rsidRDefault="00AF63C2" w:rsidP="00AF63C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9627/18, 13.06.2018</w:t>
      </w:r>
    </w:p>
    <w:p w:rsidR="00F17828" w:rsidRPr="00C23DB2" w:rsidRDefault="00F17828" w:rsidP="001623A8">
      <w:pPr>
        <w:spacing w:before="120" w:after="0" w:line="240" w:lineRule="auto"/>
        <w:ind w:left="720" w:hanging="720"/>
        <w:jc w:val="both"/>
        <w:rPr>
          <w:rFonts w:ascii="Times New Roman" w:eastAsia="Times New Roman" w:hAnsi="Times New Roman" w:cs="Times New Roman"/>
          <w:b/>
          <w:bCs/>
          <w:sz w:val="24"/>
          <w:szCs w:val="24"/>
          <w:lang w:eastAsia="sk-SK"/>
        </w:rPr>
      </w:pPr>
      <w:r w:rsidRPr="00C23DB2">
        <w:rPr>
          <w:rFonts w:ascii="Times New Roman" w:eastAsia="Times New Roman" w:hAnsi="Times New Roman" w:cs="Times New Roman"/>
          <w:b/>
          <w:bCs/>
          <w:sz w:val="24"/>
          <w:szCs w:val="24"/>
          <w:lang w:eastAsia="sk-SK"/>
        </w:rPr>
        <w:t>Číslo medziinštitucionálneho spisu:</w:t>
      </w:r>
    </w:p>
    <w:p w:rsidR="00F17828" w:rsidRPr="00C23DB2" w:rsidRDefault="00770C78" w:rsidP="001623A8">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2018/0210 </w:t>
      </w:r>
      <w:r w:rsidR="00F17828" w:rsidRPr="00C23DB2">
        <w:rPr>
          <w:rFonts w:ascii="Times New Roman" w:eastAsia="Times New Roman" w:hAnsi="Times New Roman" w:cs="Times New Roman"/>
          <w:bCs/>
          <w:sz w:val="24"/>
          <w:szCs w:val="24"/>
          <w:lang w:eastAsia="sk-SK"/>
        </w:rPr>
        <w:t>(COD)</w:t>
      </w:r>
    </w:p>
    <w:p w:rsidR="009F6E2D" w:rsidRPr="00C23DB2" w:rsidRDefault="009F6E2D" w:rsidP="001623A8">
      <w:pPr>
        <w:pStyle w:val="Odsekzoznamu"/>
        <w:numPr>
          <w:ilvl w:val="0"/>
          <w:numId w:val="3"/>
        </w:numPr>
        <w:spacing w:before="200" w:after="120" w:line="240" w:lineRule="auto"/>
        <w:ind w:left="425" w:hanging="425"/>
        <w:contextualSpacing w:val="0"/>
        <w:jc w:val="both"/>
        <w:rPr>
          <w:rFonts w:ascii="Times New Roman" w:eastAsia="Times New Roman" w:hAnsi="Times New Roman" w:cs="Times New Roman"/>
          <w:sz w:val="24"/>
          <w:szCs w:val="24"/>
          <w:lang w:eastAsia="sk-SK"/>
        </w:rPr>
      </w:pPr>
      <w:r w:rsidRPr="00C23DB2">
        <w:rPr>
          <w:rFonts w:ascii="Times New Roman" w:eastAsia="Times New Roman" w:hAnsi="Times New Roman" w:cs="Times New Roman"/>
          <w:b/>
          <w:bCs/>
          <w:sz w:val="24"/>
          <w:szCs w:val="24"/>
          <w:lang w:eastAsia="sk-SK"/>
        </w:rPr>
        <w:t>Označenie výboru alebo pracovnej skupiny</w:t>
      </w:r>
    </w:p>
    <w:p w:rsidR="00AF63C2" w:rsidRDefault="00AF63C2" w:rsidP="00AF63C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Rada ministrov pre poľnohospodárstvo a rybné hospodárstvo EÚ, CRP I, </w:t>
      </w:r>
      <w:r w:rsidRPr="00FD3B79">
        <w:rPr>
          <w:rFonts w:ascii="Times New Roman" w:eastAsia="Times New Roman" w:hAnsi="Times New Roman"/>
          <w:sz w:val="24"/>
          <w:szCs w:val="24"/>
          <w:lang w:eastAsia="sk-SK"/>
        </w:rPr>
        <w:t>Pracovná skupina Rady pre vnútornú a vonkajšiu rybársku politiku</w:t>
      </w:r>
      <w:r>
        <w:rPr>
          <w:rFonts w:ascii="Times New Roman" w:eastAsia="Times New Roman" w:hAnsi="Times New Roman"/>
          <w:sz w:val="24"/>
          <w:szCs w:val="24"/>
          <w:lang w:eastAsia="sk-SK"/>
        </w:rPr>
        <w:t>.</w:t>
      </w:r>
    </w:p>
    <w:p w:rsidR="009F6E2D" w:rsidRPr="00C23DB2" w:rsidRDefault="009F6E2D" w:rsidP="001623A8">
      <w:pPr>
        <w:pStyle w:val="Odsekzoznamu"/>
        <w:numPr>
          <w:ilvl w:val="0"/>
          <w:numId w:val="3"/>
        </w:numPr>
        <w:spacing w:before="200" w:after="120" w:line="240" w:lineRule="auto"/>
        <w:ind w:left="425" w:hanging="425"/>
        <w:contextualSpacing w:val="0"/>
        <w:jc w:val="both"/>
        <w:rPr>
          <w:rFonts w:ascii="Times New Roman" w:eastAsia="Times New Roman" w:hAnsi="Times New Roman" w:cs="Times New Roman"/>
          <w:sz w:val="24"/>
          <w:szCs w:val="24"/>
          <w:lang w:eastAsia="sk-SK"/>
        </w:rPr>
      </w:pPr>
      <w:r w:rsidRPr="00C23DB2">
        <w:rPr>
          <w:rFonts w:ascii="Times New Roman" w:eastAsia="Times New Roman" w:hAnsi="Times New Roman" w:cs="Times New Roman"/>
          <w:b/>
          <w:bCs/>
          <w:sz w:val="24"/>
          <w:szCs w:val="24"/>
          <w:lang w:eastAsia="sk-SK"/>
        </w:rPr>
        <w:t>Gestorský ÚOŠS</w:t>
      </w:r>
    </w:p>
    <w:p w:rsidR="009F6E2D" w:rsidRPr="00C23DB2" w:rsidRDefault="00F17828" w:rsidP="001623A8">
      <w:pPr>
        <w:spacing w:after="0" w:line="240" w:lineRule="auto"/>
        <w:jc w:val="both"/>
        <w:rPr>
          <w:rFonts w:ascii="Times New Roman" w:eastAsia="Times New Roman" w:hAnsi="Times New Roman" w:cs="Times New Roman"/>
          <w:b/>
          <w:bCs/>
          <w:sz w:val="24"/>
          <w:szCs w:val="24"/>
          <w:lang w:eastAsia="sk-SK"/>
        </w:rPr>
      </w:pPr>
      <w:r w:rsidRPr="00C23DB2">
        <w:rPr>
          <w:rFonts w:ascii="Times New Roman" w:eastAsia="Times New Roman" w:hAnsi="Times New Roman" w:cs="Times New Roman"/>
          <w:sz w:val="24"/>
          <w:szCs w:val="24"/>
        </w:rPr>
        <w:t>Ministerstvo pôdohospodárstva a rozvoja vidieka SR</w:t>
      </w:r>
    </w:p>
    <w:p w:rsidR="009F6E2D" w:rsidRPr="00C23DB2" w:rsidRDefault="009F6E2D" w:rsidP="001623A8">
      <w:pPr>
        <w:pStyle w:val="Odsekzoznamu"/>
        <w:numPr>
          <w:ilvl w:val="0"/>
          <w:numId w:val="3"/>
        </w:numPr>
        <w:spacing w:before="200" w:after="120" w:line="240" w:lineRule="auto"/>
        <w:ind w:left="425" w:hanging="425"/>
        <w:contextualSpacing w:val="0"/>
        <w:jc w:val="both"/>
        <w:rPr>
          <w:rFonts w:ascii="Times New Roman" w:eastAsia="Times New Roman" w:hAnsi="Times New Roman" w:cs="Times New Roman"/>
          <w:sz w:val="24"/>
          <w:szCs w:val="24"/>
          <w:lang w:eastAsia="sk-SK"/>
        </w:rPr>
      </w:pPr>
      <w:r w:rsidRPr="00C23DB2">
        <w:rPr>
          <w:rFonts w:ascii="Times New Roman" w:eastAsia="Times New Roman" w:hAnsi="Times New Roman" w:cs="Times New Roman"/>
          <w:b/>
          <w:bCs/>
          <w:sz w:val="24"/>
          <w:szCs w:val="24"/>
          <w:lang w:eastAsia="sk-SK"/>
        </w:rPr>
        <w:t>Charakteristika prijímaného aktu</w:t>
      </w:r>
    </w:p>
    <w:p w:rsidR="009F6E2D" w:rsidRPr="00C23DB2" w:rsidRDefault="00393A6F" w:rsidP="001623A8">
      <w:pPr>
        <w:spacing w:after="0" w:line="240" w:lineRule="auto"/>
        <w:jc w:val="both"/>
        <w:rPr>
          <w:rFonts w:ascii="Times New Roman" w:eastAsia="Times New Roman" w:hAnsi="Times New Roman" w:cs="Times New Roman"/>
          <w:sz w:val="24"/>
          <w:szCs w:val="24"/>
        </w:rPr>
      </w:pPr>
      <w:r w:rsidRPr="00C23DB2">
        <w:rPr>
          <w:rFonts w:ascii="Times New Roman" w:eastAsia="Times New Roman" w:hAnsi="Times New Roman" w:cs="Times New Roman"/>
          <w:sz w:val="24"/>
          <w:szCs w:val="24"/>
        </w:rPr>
        <w:t>Navrhovaným aktom je nariadenie</w:t>
      </w:r>
      <w:r w:rsidR="00F17828" w:rsidRPr="00C23DB2">
        <w:rPr>
          <w:rFonts w:ascii="Times New Roman" w:eastAsia="Times New Roman" w:hAnsi="Times New Roman" w:cs="Times New Roman"/>
          <w:sz w:val="24"/>
          <w:szCs w:val="24"/>
        </w:rPr>
        <w:t>.</w:t>
      </w:r>
    </w:p>
    <w:p w:rsidR="009F6E2D" w:rsidRPr="00C23DB2" w:rsidRDefault="009F6E2D" w:rsidP="001623A8">
      <w:pPr>
        <w:pStyle w:val="Odsekzoznamu"/>
        <w:numPr>
          <w:ilvl w:val="0"/>
          <w:numId w:val="3"/>
        </w:numPr>
        <w:spacing w:before="200" w:after="120" w:line="240" w:lineRule="auto"/>
        <w:ind w:left="425" w:hanging="425"/>
        <w:contextualSpacing w:val="0"/>
        <w:jc w:val="both"/>
        <w:rPr>
          <w:rFonts w:ascii="Times New Roman" w:eastAsia="Times New Roman" w:hAnsi="Times New Roman" w:cs="Times New Roman"/>
          <w:sz w:val="24"/>
          <w:szCs w:val="24"/>
          <w:lang w:eastAsia="sk-SK"/>
        </w:rPr>
      </w:pPr>
      <w:r w:rsidRPr="00C23DB2">
        <w:rPr>
          <w:rFonts w:ascii="Times New Roman" w:eastAsia="Times New Roman" w:hAnsi="Times New Roman" w:cs="Times New Roman"/>
          <w:b/>
          <w:bCs/>
          <w:sz w:val="24"/>
          <w:szCs w:val="24"/>
          <w:lang w:eastAsia="sk-SK"/>
        </w:rPr>
        <w:t>Metóda schvaľovania</w:t>
      </w:r>
    </w:p>
    <w:p w:rsidR="009F6E2D" w:rsidRPr="00C23DB2" w:rsidRDefault="00B272C6" w:rsidP="001623A8">
      <w:pPr>
        <w:spacing w:after="0" w:line="240" w:lineRule="auto"/>
        <w:jc w:val="both"/>
        <w:rPr>
          <w:rFonts w:ascii="Times New Roman" w:eastAsia="Times New Roman" w:hAnsi="Times New Roman" w:cs="Times New Roman"/>
          <w:bCs/>
          <w:sz w:val="24"/>
          <w:szCs w:val="24"/>
          <w:lang w:eastAsia="sk-SK"/>
        </w:rPr>
      </w:pPr>
      <w:r w:rsidRPr="00C23DB2">
        <w:rPr>
          <w:rFonts w:ascii="Times New Roman" w:eastAsia="Times New Roman" w:hAnsi="Times New Roman" w:cs="Times New Roman"/>
          <w:bCs/>
          <w:sz w:val="24"/>
          <w:szCs w:val="24"/>
          <w:lang w:eastAsia="sk-SK"/>
        </w:rPr>
        <w:t>K</w:t>
      </w:r>
      <w:r w:rsidR="00F17828" w:rsidRPr="00C23DB2">
        <w:rPr>
          <w:rFonts w:ascii="Times New Roman" w:eastAsia="Times New Roman" w:hAnsi="Times New Roman" w:cs="Times New Roman"/>
          <w:bCs/>
          <w:sz w:val="24"/>
          <w:szCs w:val="24"/>
          <w:lang w:eastAsia="sk-SK"/>
        </w:rPr>
        <w:t>valifikovaná väčšina</w:t>
      </w:r>
      <w:r w:rsidRPr="00C23DB2">
        <w:rPr>
          <w:rFonts w:ascii="Times New Roman" w:eastAsia="Times New Roman" w:hAnsi="Times New Roman" w:cs="Times New Roman"/>
          <w:bCs/>
          <w:sz w:val="24"/>
          <w:szCs w:val="24"/>
          <w:lang w:eastAsia="sk-SK"/>
        </w:rPr>
        <w:t>, riadny legislatívny postup</w:t>
      </w:r>
      <w:r w:rsidR="00B66F75">
        <w:rPr>
          <w:rFonts w:ascii="Times New Roman" w:eastAsia="Times New Roman" w:hAnsi="Times New Roman" w:cs="Times New Roman"/>
          <w:bCs/>
          <w:sz w:val="24"/>
          <w:szCs w:val="24"/>
          <w:lang w:eastAsia="sk-SK"/>
        </w:rPr>
        <w:t>.</w:t>
      </w:r>
    </w:p>
    <w:p w:rsidR="009F6E2D" w:rsidRPr="008C4BD1" w:rsidRDefault="009F6E2D" w:rsidP="001623A8">
      <w:pPr>
        <w:pStyle w:val="Odsekzoznamu"/>
        <w:numPr>
          <w:ilvl w:val="0"/>
          <w:numId w:val="3"/>
        </w:numPr>
        <w:spacing w:before="200" w:after="120" w:line="240" w:lineRule="auto"/>
        <w:ind w:left="425" w:hanging="425"/>
        <w:contextualSpacing w:val="0"/>
        <w:jc w:val="both"/>
        <w:rPr>
          <w:rFonts w:ascii="Times New Roman" w:eastAsia="Times New Roman" w:hAnsi="Times New Roman" w:cs="Times New Roman"/>
          <w:sz w:val="24"/>
          <w:szCs w:val="24"/>
          <w:lang w:eastAsia="sk-SK"/>
        </w:rPr>
      </w:pPr>
      <w:r w:rsidRPr="00C23DB2">
        <w:rPr>
          <w:rFonts w:ascii="Times New Roman" w:eastAsia="Times New Roman" w:hAnsi="Times New Roman" w:cs="Times New Roman"/>
          <w:b/>
          <w:bCs/>
          <w:sz w:val="24"/>
          <w:szCs w:val="24"/>
          <w:lang w:eastAsia="sk-SK"/>
        </w:rPr>
        <w:t>Zhrnutie obsahu a cieľa návrhu</w:t>
      </w:r>
    </w:p>
    <w:p w:rsidR="004C6547" w:rsidRPr="004C6547" w:rsidRDefault="00D67AEC" w:rsidP="00D67AEC">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Účelom návrhu </w:t>
      </w:r>
      <w:r w:rsidR="004C6547" w:rsidRPr="004C6547">
        <w:rPr>
          <w:rFonts w:ascii="Times New Roman" w:eastAsia="Times New Roman" w:hAnsi="Times New Roman" w:cs="Times New Roman"/>
          <w:sz w:val="24"/>
          <w:szCs w:val="24"/>
        </w:rPr>
        <w:t xml:space="preserve">nariadenia je vytvorenie Európskeho námorného a rybárskeho fondu (ďalej len „ENRF“) na obdobie rokov 2021 – 2027. Cieľom návrhu nariadenia o ENRF je podpora pri dosahovaní cieľov </w:t>
      </w:r>
      <w:r w:rsidR="004C6547">
        <w:rPr>
          <w:rFonts w:ascii="Times New Roman" w:eastAsia="Times New Roman" w:hAnsi="Times New Roman" w:cs="Times New Roman"/>
          <w:sz w:val="24"/>
          <w:szCs w:val="24"/>
        </w:rPr>
        <w:t xml:space="preserve">spoločnej rybárskej politiky Únie </w:t>
      </w:r>
      <w:r w:rsidR="00D3107E">
        <w:rPr>
          <w:rFonts w:ascii="Times New Roman" w:eastAsia="Times New Roman" w:hAnsi="Times New Roman" w:cs="Times New Roman"/>
          <w:sz w:val="24"/>
          <w:szCs w:val="24"/>
        </w:rPr>
        <w:t xml:space="preserve">(ďalej len „SRP“) </w:t>
      </w:r>
      <w:r w:rsidR="004C6547" w:rsidRPr="004C6547">
        <w:rPr>
          <w:rFonts w:ascii="Times New Roman" w:eastAsia="Times New Roman" w:hAnsi="Times New Roman" w:cs="Times New Roman"/>
          <w:sz w:val="24"/>
          <w:szCs w:val="24"/>
        </w:rPr>
        <w:t>v environmentálnej, hospodárskej a sociálnej oblasti, ako aj v oblasti zamestnanosti, podpora vykonávania námornej politiky Únie a podpora plnenia medzinárodných záväzkov Únie v oblasti správy oceánov.</w:t>
      </w:r>
      <w:r w:rsidR="004C6547">
        <w:rPr>
          <w:sz w:val="23"/>
          <w:szCs w:val="23"/>
        </w:rPr>
        <w:t xml:space="preserve"> </w:t>
      </w:r>
      <w:r w:rsidR="00B66F75">
        <w:rPr>
          <w:rFonts w:ascii="Times New Roman" w:eastAsia="Times New Roman" w:hAnsi="Times New Roman" w:cs="Times New Roman"/>
          <w:sz w:val="24"/>
          <w:szCs w:val="24"/>
        </w:rPr>
        <w:t>Nový ENRF je</w:t>
      </w:r>
      <w:r w:rsidR="004C6547" w:rsidRPr="004C6547">
        <w:rPr>
          <w:rFonts w:ascii="Times New Roman" w:eastAsia="Times New Roman" w:hAnsi="Times New Roman" w:cs="Times New Roman"/>
          <w:sz w:val="24"/>
          <w:szCs w:val="24"/>
        </w:rPr>
        <w:t xml:space="preserve"> založený na štyroch prioritách, ktoré zodpovedajú relevantným cieľom politiky stanoveným </w:t>
      </w:r>
      <w:r w:rsidR="00B66F75">
        <w:rPr>
          <w:rFonts w:ascii="Times New Roman" w:eastAsia="Times New Roman" w:hAnsi="Times New Roman" w:cs="Times New Roman"/>
          <w:sz w:val="24"/>
          <w:szCs w:val="24"/>
        </w:rPr>
        <w:t xml:space="preserve">v </w:t>
      </w:r>
      <w:r w:rsidR="00B66F75" w:rsidRPr="00B66F75">
        <w:rPr>
          <w:rFonts w:ascii="Times New Roman" w:eastAsia="Times New Roman" w:hAnsi="Times New Roman" w:cs="Times New Roman"/>
          <w:sz w:val="24"/>
          <w:szCs w:val="24"/>
        </w:rPr>
        <w:t>návrh</w:t>
      </w:r>
      <w:r w:rsidR="00B66F75">
        <w:rPr>
          <w:rFonts w:ascii="Times New Roman" w:eastAsia="Times New Roman" w:hAnsi="Times New Roman" w:cs="Times New Roman"/>
          <w:sz w:val="24"/>
          <w:szCs w:val="24"/>
        </w:rPr>
        <w:t>u</w:t>
      </w:r>
      <w:r w:rsidR="00B66F75" w:rsidRPr="00B66F75">
        <w:rPr>
          <w:rFonts w:ascii="Times New Roman" w:eastAsia="Times New Roman" w:hAnsi="Times New Roman" w:cs="Times New Roman"/>
          <w:sz w:val="24"/>
          <w:szCs w:val="24"/>
        </w:rPr>
        <w:t xml:space="preserve"> nariadenia o spoločných ustanoveniach (ďa</w:t>
      </w:r>
      <w:r w:rsidR="00B66F75">
        <w:rPr>
          <w:rFonts w:ascii="Times New Roman" w:eastAsia="Times New Roman" w:hAnsi="Times New Roman" w:cs="Times New Roman"/>
          <w:sz w:val="24"/>
          <w:szCs w:val="24"/>
        </w:rPr>
        <w:t xml:space="preserve">lej len „všeobecné nariadenie“) </w:t>
      </w:r>
      <w:r w:rsidR="004C6547" w:rsidRPr="004C6547">
        <w:rPr>
          <w:rFonts w:ascii="Times New Roman" w:eastAsia="Times New Roman" w:hAnsi="Times New Roman" w:cs="Times New Roman"/>
          <w:sz w:val="24"/>
          <w:szCs w:val="24"/>
        </w:rPr>
        <w:t>a má sa nimi dosiahnuť čo možno najvyšší príspevok Únie k rozvoju udržateľného modrého hospodárstva:</w:t>
      </w:r>
    </w:p>
    <w:p w:rsidR="006E358E" w:rsidRPr="007801CA" w:rsidRDefault="006E358E" w:rsidP="00D67AEC">
      <w:pPr>
        <w:pStyle w:val="Odsekzoznamu"/>
        <w:numPr>
          <w:ilvl w:val="0"/>
          <w:numId w:val="21"/>
        </w:numPr>
        <w:spacing w:before="120" w:after="120" w:line="240" w:lineRule="auto"/>
        <w:ind w:left="426"/>
        <w:contextualSpacing w:val="0"/>
        <w:jc w:val="both"/>
        <w:rPr>
          <w:rFonts w:ascii="Times New Roman" w:eastAsia="Times New Roman" w:hAnsi="Times New Roman" w:cs="Times New Roman"/>
          <w:sz w:val="24"/>
          <w:szCs w:val="24"/>
          <w:u w:val="single"/>
        </w:rPr>
      </w:pPr>
      <w:r w:rsidRPr="007801CA">
        <w:rPr>
          <w:rFonts w:ascii="Times New Roman" w:eastAsia="Times New Roman" w:hAnsi="Times New Roman" w:cs="Times New Roman"/>
          <w:sz w:val="24"/>
          <w:szCs w:val="24"/>
          <w:u w:val="single"/>
        </w:rPr>
        <w:t>P</w:t>
      </w:r>
      <w:r w:rsidR="004C6547" w:rsidRPr="007801CA">
        <w:rPr>
          <w:rFonts w:ascii="Times New Roman" w:eastAsia="Times New Roman" w:hAnsi="Times New Roman" w:cs="Times New Roman"/>
          <w:sz w:val="24"/>
          <w:szCs w:val="24"/>
          <w:u w:val="single"/>
        </w:rPr>
        <w:t>odpora udržateľného rybolovu a ochrany morských biolo</w:t>
      </w:r>
      <w:r w:rsidRPr="007801CA">
        <w:rPr>
          <w:rFonts w:ascii="Times New Roman" w:eastAsia="Times New Roman" w:hAnsi="Times New Roman" w:cs="Times New Roman"/>
          <w:sz w:val="24"/>
          <w:szCs w:val="24"/>
          <w:u w:val="single"/>
        </w:rPr>
        <w:t>gických zdrojov</w:t>
      </w:r>
    </w:p>
    <w:p w:rsidR="006E358E" w:rsidRPr="007801CA" w:rsidRDefault="006E358E" w:rsidP="00D67AEC">
      <w:pPr>
        <w:spacing w:before="120" w:after="120" w:line="240" w:lineRule="auto"/>
        <w:ind w:left="426"/>
        <w:jc w:val="both"/>
        <w:rPr>
          <w:rFonts w:ascii="Times New Roman" w:eastAsia="Times New Roman" w:hAnsi="Times New Roman" w:cs="Times New Roman"/>
          <w:sz w:val="24"/>
          <w:szCs w:val="24"/>
        </w:rPr>
      </w:pPr>
      <w:r w:rsidRPr="006E358E">
        <w:rPr>
          <w:rFonts w:ascii="Times New Roman" w:eastAsia="Times New Roman" w:hAnsi="Times New Roman" w:cs="Times New Roman"/>
          <w:sz w:val="24"/>
          <w:szCs w:val="24"/>
        </w:rPr>
        <w:t xml:space="preserve">Podpora v rámci priority č. 1 je zameraná na dosahovanie cieľov SRP v environmentálnej, hospodárskej a sociálnej oblasti a v oblasti zamestnanosti, ktoré sú stanovené v článku 2 nariadenia o SRP. Takouto podporou by sa malo zabezpečiť, aby boli rybolovné činnosti dlhodobo environmentálne udržateľné a riadili sa spôsobom, </w:t>
      </w:r>
      <w:r w:rsidRPr="006E358E">
        <w:rPr>
          <w:rFonts w:ascii="Times New Roman" w:eastAsia="Times New Roman" w:hAnsi="Times New Roman" w:cs="Times New Roman"/>
          <w:sz w:val="24"/>
          <w:szCs w:val="24"/>
        </w:rPr>
        <w:lastRenderedPageBreak/>
        <w:t xml:space="preserve">ktorý je v súlade s cieľmi, ktorými je dosiahnuť hospodársky a sociálny prínos a prínos v oblasti zamestnanosti a prispieť k dostupnosti dodávok potravín. </w:t>
      </w:r>
      <w:r w:rsidR="007801CA" w:rsidRPr="007801CA">
        <w:rPr>
          <w:rFonts w:ascii="Times New Roman" w:eastAsia="Times New Roman" w:hAnsi="Times New Roman" w:cs="Times New Roman"/>
          <w:sz w:val="24"/>
          <w:szCs w:val="24"/>
        </w:rPr>
        <w:t xml:space="preserve">V rámci zdieľaného riadenia sa z ENRF bude podporovať vývoj a vykonávanie systému Únie na kontrolu rybárstva </w:t>
      </w:r>
      <w:r w:rsidR="007801CA">
        <w:rPr>
          <w:rFonts w:ascii="Times New Roman" w:eastAsia="Times New Roman" w:hAnsi="Times New Roman" w:cs="Times New Roman"/>
          <w:sz w:val="24"/>
          <w:szCs w:val="24"/>
        </w:rPr>
        <w:t xml:space="preserve">v zmysle nariadenia o kontrole a </w:t>
      </w:r>
      <w:r w:rsidR="007801CA" w:rsidRPr="007801CA">
        <w:rPr>
          <w:rFonts w:ascii="Times New Roman" w:eastAsia="Times New Roman" w:hAnsi="Times New Roman" w:cs="Times New Roman"/>
          <w:sz w:val="24"/>
          <w:szCs w:val="24"/>
        </w:rPr>
        <w:t xml:space="preserve">zber a spracovanie údajov </w:t>
      </w:r>
      <w:r w:rsidR="007801CA">
        <w:rPr>
          <w:rFonts w:ascii="Times New Roman" w:eastAsia="Times New Roman" w:hAnsi="Times New Roman" w:cs="Times New Roman"/>
          <w:sz w:val="24"/>
          <w:szCs w:val="24"/>
        </w:rPr>
        <w:t xml:space="preserve">pre kontrolu a riadenia rybného hospodárstva </w:t>
      </w:r>
      <w:r w:rsidR="007801CA" w:rsidRPr="007801CA">
        <w:rPr>
          <w:rFonts w:ascii="Times New Roman" w:eastAsia="Times New Roman" w:hAnsi="Times New Roman" w:cs="Times New Roman"/>
          <w:sz w:val="24"/>
          <w:szCs w:val="24"/>
        </w:rPr>
        <w:t>v súlade s rámcovým nariadením o zbere údajov.</w:t>
      </w:r>
    </w:p>
    <w:p w:rsidR="004C6547" w:rsidRPr="007801CA" w:rsidRDefault="007801CA" w:rsidP="00D67AEC">
      <w:pPr>
        <w:pStyle w:val="Odsekzoznamu"/>
        <w:numPr>
          <w:ilvl w:val="0"/>
          <w:numId w:val="21"/>
        </w:numPr>
        <w:spacing w:before="120" w:after="120" w:line="240" w:lineRule="auto"/>
        <w:ind w:left="426"/>
        <w:contextualSpacing w:val="0"/>
        <w:jc w:val="both"/>
        <w:rPr>
          <w:rFonts w:ascii="Times New Roman" w:eastAsia="Times New Roman" w:hAnsi="Times New Roman" w:cs="Times New Roman"/>
          <w:sz w:val="24"/>
          <w:szCs w:val="24"/>
          <w:u w:val="single"/>
        </w:rPr>
      </w:pPr>
      <w:r w:rsidRPr="007801CA">
        <w:rPr>
          <w:rFonts w:ascii="Times New Roman" w:eastAsia="Times New Roman" w:hAnsi="Times New Roman" w:cs="Times New Roman"/>
          <w:sz w:val="24"/>
          <w:szCs w:val="24"/>
          <w:u w:val="single"/>
        </w:rPr>
        <w:t>P</w:t>
      </w:r>
      <w:r w:rsidR="004C6547" w:rsidRPr="007801CA">
        <w:rPr>
          <w:rFonts w:ascii="Times New Roman" w:eastAsia="Times New Roman" w:hAnsi="Times New Roman" w:cs="Times New Roman"/>
          <w:sz w:val="24"/>
          <w:szCs w:val="24"/>
          <w:u w:val="single"/>
        </w:rPr>
        <w:t xml:space="preserve">rispievanie k potravinovej bezpečnosti v Únii prostredníctvom konkurencieschopnej a </w:t>
      </w:r>
      <w:r w:rsidRPr="007801CA">
        <w:rPr>
          <w:rFonts w:ascii="Times New Roman" w:eastAsia="Times New Roman" w:hAnsi="Times New Roman" w:cs="Times New Roman"/>
          <w:sz w:val="24"/>
          <w:szCs w:val="24"/>
          <w:u w:val="single"/>
        </w:rPr>
        <w:t>udržateľnej akvakultúry a trhov</w:t>
      </w:r>
    </w:p>
    <w:p w:rsidR="007801CA" w:rsidRPr="007801CA" w:rsidRDefault="007801CA" w:rsidP="00D67AEC">
      <w:pPr>
        <w:pStyle w:val="Text1"/>
        <w:ind w:left="426"/>
      </w:pPr>
      <w:r w:rsidRPr="007801CA">
        <w:t xml:space="preserve">V rámci priority č. 2 </w:t>
      </w:r>
      <w:r w:rsidR="00D67AEC">
        <w:t>sa podporujú</w:t>
      </w:r>
      <w:r w:rsidRPr="007801CA">
        <w:t xml:space="preserve"> investície do rybolovu a akvakultúry, vrátane sladkovodnej akvakultúry, s cieľom odstrániť prekážky pre jej trvalo udržateľný rozvoj, ďalej obchodovanie s produktmi rybolovu a akvakultúry v súlade s cieľmi spoločnej organizácie trhu </w:t>
      </w:r>
      <w:r w:rsidR="00C9272C">
        <w:t xml:space="preserve">Únie </w:t>
      </w:r>
      <w:r w:rsidRPr="007801CA">
        <w:t xml:space="preserve">(ďalej len „SOT“), a to </w:t>
      </w:r>
      <w:r w:rsidR="00D67AEC">
        <w:t>prostredníctvom</w:t>
      </w:r>
      <w:r w:rsidRPr="007801CA">
        <w:t xml:space="preserve"> vytvárania organizácií výrobcov, realizácie výrobných a marketingových plánov, hľadania nových trhových odbytísk, rozvoja a šírenia informácií o trhu. </w:t>
      </w:r>
      <w:r>
        <w:t>ENRF</w:t>
      </w:r>
      <w:r w:rsidRPr="007801CA">
        <w:t xml:space="preserve"> </w:t>
      </w:r>
      <w:r>
        <w:t>taktiež podporuje</w:t>
      </w:r>
      <w:r w:rsidRPr="007801CA">
        <w:t xml:space="preserve"> cielené investície v oblasti spracovania produktov rybolovu a akvakultúry za predpokladu, že prispejú k dosiahnutiu cieľov SOT.</w:t>
      </w:r>
    </w:p>
    <w:p w:rsidR="004C6547" w:rsidRDefault="007801CA" w:rsidP="00D67AEC">
      <w:pPr>
        <w:pStyle w:val="Odsekzoznamu"/>
        <w:numPr>
          <w:ilvl w:val="0"/>
          <w:numId w:val="21"/>
        </w:numPr>
        <w:spacing w:before="120" w:after="120" w:line="240" w:lineRule="auto"/>
        <w:ind w:left="426"/>
        <w:contextualSpacing w:val="0"/>
        <w:jc w:val="both"/>
        <w:rPr>
          <w:rFonts w:ascii="Times New Roman" w:eastAsia="Times New Roman" w:hAnsi="Times New Roman" w:cs="Times New Roman"/>
          <w:sz w:val="24"/>
          <w:szCs w:val="24"/>
          <w:u w:val="single"/>
        </w:rPr>
      </w:pPr>
      <w:r w:rsidRPr="007801CA">
        <w:rPr>
          <w:rFonts w:ascii="Times New Roman" w:eastAsia="Times New Roman" w:hAnsi="Times New Roman" w:cs="Times New Roman"/>
          <w:sz w:val="24"/>
          <w:szCs w:val="24"/>
          <w:u w:val="single"/>
        </w:rPr>
        <w:t>U</w:t>
      </w:r>
      <w:r w:rsidR="004C6547" w:rsidRPr="007801CA">
        <w:rPr>
          <w:rFonts w:ascii="Times New Roman" w:eastAsia="Times New Roman" w:hAnsi="Times New Roman" w:cs="Times New Roman"/>
          <w:sz w:val="24"/>
          <w:szCs w:val="24"/>
          <w:u w:val="single"/>
        </w:rPr>
        <w:t>možnenie rastu udržateľného modrého hospodárstva a podpora prosperujúcich pobrežných k</w:t>
      </w:r>
      <w:r w:rsidRPr="007801CA">
        <w:rPr>
          <w:rFonts w:ascii="Times New Roman" w:eastAsia="Times New Roman" w:hAnsi="Times New Roman" w:cs="Times New Roman"/>
          <w:sz w:val="24"/>
          <w:szCs w:val="24"/>
          <w:u w:val="single"/>
        </w:rPr>
        <w:t>omunít</w:t>
      </w:r>
    </w:p>
    <w:p w:rsidR="00362AB6" w:rsidRPr="00362AB6" w:rsidRDefault="00362AB6" w:rsidP="00D67AEC">
      <w:pPr>
        <w:spacing w:before="120" w:after="120" w:line="240" w:lineRule="auto"/>
        <w:ind w:left="426"/>
        <w:jc w:val="both"/>
        <w:rPr>
          <w:rFonts w:ascii="Times New Roman" w:eastAsia="Times New Roman" w:hAnsi="Times New Roman" w:cs="Times New Roman"/>
          <w:sz w:val="24"/>
          <w:szCs w:val="24"/>
          <w:lang w:eastAsia="en-GB"/>
        </w:rPr>
      </w:pPr>
      <w:r w:rsidRPr="00362AB6">
        <w:rPr>
          <w:rFonts w:ascii="Times New Roman" w:eastAsia="Times New Roman" w:hAnsi="Times New Roman" w:cs="Times New Roman"/>
          <w:sz w:val="24"/>
          <w:szCs w:val="24"/>
          <w:lang w:eastAsia="en-GB"/>
        </w:rPr>
        <w:t xml:space="preserve">Priorita č. 3 sa sústredí na vytváranie podmienok pre rozvoj udržateľného modrého hospodárstva a odstránenie prekážok s cieľom uľahčiť investície a rozvoj nových trhov a technológií alebo služieb. </w:t>
      </w:r>
      <w:r>
        <w:rPr>
          <w:rFonts w:ascii="Times New Roman" w:eastAsia="Times New Roman" w:hAnsi="Times New Roman" w:cs="Times New Roman"/>
          <w:sz w:val="24"/>
          <w:szCs w:val="24"/>
          <w:lang w:eastAsia="en-GB"/>
        </w:rPr>
        <w:t>Na tento účel</w:t>
      </w:r>
      <w:r w:rsidRPr="00362AB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ENRF </w:t>
      </w:r>
      <w:r w:rsidRPr="00362AB6">
        <w:rPr>
          <w:rFonts w:ascii="Times New Roman" w:eastAsia="Times New Roman" w:hAnsi="Times New Roman" w:cs="Times New Roman"/>
          <w:sz w:val="24"/>
          <w:szCs w:val="24"/>
          <w:lang w:eastAsia="en-GB"/>
        </w:rPr>
        <w:t xml:space="preserve">v rámci zdieľaného riadenia </w:t>
      </w:r>
      <w:r>
        <w:rPr>
          <w:rFonts w:ascii="Times New Roman" w:eastAsia="Times New Roman" w:hAnsi="Times New Roman" w:cs="Times New Roman"/>
          <w:sz w:val="24"/>
          <w:szCs w:val="24"/>
          <w:lang w:eastAsia="en-GB"/>
        </w:rPr>
        <w:t>podporuje</w:t>
      </w:r>
      <w:r w:rsidRPr="00362AB6">
        <w:rPr>
          <w:rFonts w:ascii="Times New Roman" w:eastAsia="Times New Roman" w:hAnsi="Times New Roman" w:cs="Times New Roman"/>
          <w:sz w:val="24"/>
          <w:szCs w:val="24"/>
          <w:lang w:eastAsia="en-GB"/>
        </w:rPr>
        <w:t xml:space="preserve"> miestny roz</w:t>
      </w:r>
      <w:r>
        <w:rPr>
          <w:rFonts w:ascii="Times New Roman" w:eastAsia="Times New Roman" w:hAnsi="Times New Roman" w:cs="Times New Roman"/>
          <w:sz w:val="24"/>
          <w:szCs w:val="24"/>
          <w:lang w:eastAsia="en-GB"/>
        </w:rPr>
        <w:t xml:space="preserve">voj vedený </w:t>
      </w:r>
      <w:r w:rsidR="00294573">
        <w:rPr>
          <w:rFonts w:ascii="Times New Roman" w:eastAsia="Times New Roman" w:hAnsi="Times New Roman" w:cs="Times New Roman"/>
          <w:sz w:val="24"/>
          <w:szCs w:val="24"/>
          <w:lang w:eastAsia="en-GB"/>
        </w:rPr>
        <w:t>komunitou</w:t>
      </w:r>
      <w:r>
        <w:rPr>
          <w:rFonts w:ascii="Times New Roman" w:eastAsia="Times New Roman" w:hAnsi="Times New Roman" w:cs="Times New Roman"/>
          <w:sz w:val="24"/>
          <w:szCs w:val="24"/>
          <w:lang w:eastAsia="en-GB"/>
        </w:rPr>
        <w:t xml:space="preserve"> (CLLD) a </w:t>
      </w:r>
      <w:r w:rsidRPr="00362AB6">
        <w:rPr>
          <w:rFonts w:ascii="Times New Roman" w:eastAsia="Times New Roman" w:hAnsi="Times New Roman" w:cs="Times New Roman"/>
          <w:sz w:val="24"/>
          <w:szCs w:val="24"/>
          <w:lang w:eastAsia="en-GB"/>
        </w:rPr>
        <w:t xml:space="preserve">udržateľné modré hospodárstvo prostredníctvom zberu, správy a využívania údajov na účely prehĺbenia poznatkov o stave morského prostredia. </w:t>
      </w:r>
    </w:p>
    <w:p w:rsidR="00362AB6" w:rsidRDefault="007801CA" w:rsidP="00D67AEC">
      <w:pPr>
        <w:pStyle w:val="Odsekzoznamu"/>
        <w:numPr>
          <w:ilvl w:val="0"/>
          <w:numId w:val="21"/>
        </w:numPr>
        <w:spacing w:before="120" w:after="120" w:line="240" w:lineRule="auto"/>
        <w:ind w:left="426"/>
        <w:contextualSpacing w:val="0"/>
        <w:jc w:val="both"/>
        <w:rPr>
          <w:rFonts w:ascii="Times New Roman" w:eastAsia="Times New Roman" w:hAnsi="Times New Roman" w:cs="Times New Roman"/>
          <w:sz w:val="24"/>
          <w:szCs w:val="24"/>
          <w:u w:val="single"/>
        </w:rPr>
      </w:pPr>
      <w:r w:rsidRPr="007801CA">
        <w:rPr>
          <w:rFonts w:ascii="Times New Roman" w:eastAsia="Times New Roman" w:hAnsi="Times New Roman" w:cs="Times New Roman"/>
          <w:sz w:val="24"/>
          <w:szCs w:val="24"/>
          <w:u w:val="single"/>
        </w:rPr>
        <w:t>P</w:t>
      </w:r>
      <w:r w:rsidR="004C6547" w:rsidRPr="007801CA">
        <w:rPr>
          <w:rFonts w:ascii="Times New Roman" w:eastAsia="Times New Roman" w:hAnsi="Times New Roman" w:cs="Times New Roman"/>
          <w:sz w:val="24"/>
          <w:szCs w:val="24"/>
          <w:u w:val="single"/>
        </w:rPr>
        <w:t>osilnenie medzinárodnej správy oceánov a umožnenie bezpečných, chránených, čistých a udržate</w:t>
      </w:r>
      <w:r w:rsidRPr="007801CA">
        <w:rPr>
          <w:rFonts w:ascii="Times New Roman" w:eastAsia="Times New Roman" w:hAnsi="Times New Roman" w:cs="Times New Roman"/>
          <w:sz w:val="24"/>
          <w:szCs w:val="24"/>
          <w:u w:val="single"/>
        </w:rPr>
        <w:t>ľne spravovaných morí a</w:t>
      </w:r>
      <w:r w:rsidR="00362AB6">
        <w:rPr>
          <w:rFonts w:ascii="Times New Roman" w:eastAsia="Times New Roman" w:hAnsi="Times New Roman" w:cs="Times New Roman"/>
          <w:sz w:val="24"/>
          <w:szCs w:val="24"/>
          <w:u w:val="single"/>
        </w:rPr>
        <w:t> </w:t>
      </w:r>
      <w:r w:rsidRPr="007801CA">
        <w:rPr>
          <w:rFonts w:ascii="Times New Roman" w:eastAsia="Times New Roman" w:hAnsi="Times New Roman" w:cs="Times New Roman"/>
          <w:sz w:val="24"/>
          <w:szCs w:val="24"/>
          <w:u w:val="single"/>
        </w:rPr>
        <w:t>oceánov</w:t>
      </w:r>
    </w:p>
    <w:p w:rsidR="00362AB6" w:rsidRPr="00362AB6" w:rsidRDefault="00B66F75" w:rsidP="00D67AEC">
      <w:pPr>
        <w:spacing w:before="120" w:after="120" w:line="240" w:lineRule="auto"/>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Priorita č. 4 je zameraná na </w:t>
      </w:r>
      <w:r w:rsidRPr="00B66F75">
        <w:rPr>
          <w:rFonts w:ascii="Times New Roman" w:eastAsia="Times New Roman" w:hAnsi="Times New Roman" w:cs="Times New Roman"/>
          <w:sz w:val="24"/>
          <w:szCs w:val="24"/>
          <w:lang w:eastAsia="en-GB"/>
        </w:rPr>
        <w:t xml:space="preserve">podporu medzinárodnej správy oceánov </w:t>
      </w:r>
      <w:r>
        <w:rPr>
          <w:rFonts w:ascii="Times New Roman" w:eastAsia="Times New Roman" w:hAnsi="Times New Roman" w:cs="Times New Roman"/>
          <w:sz w:val="24"/>
          <w:szCs w:val="24"/>
          <w:lang w:eastAsia="en-GB"/>
        </w:rPr>
        <w:t>s</w:t>
      </w:r>
      <w:r w:rsidRPr="00B66F75">
        <w:rPr>
          <w:rFonts w:ascii="Times New Roman" w:eastAsia="Times New Roman" w:hAnsi="Times New Roman" w:cs="Times New Roman"/>
          <w:sz w:val="24"/>
          <w:szCs w:val="24"/>
          <w:lang w:eastAsia="en-GB"/>
        </w:rPr>
        <w:t xml:space="preserve"> cieľ</w:t>
      </w:r>
      <w:r>
        <w:rPr>
          <w:rFonts w:ascii="Times New Roman" w:eastAsia="Times New Roman" w:hAnsi="Times New Roman" w:cs="Times New Roman"/>
          <w:sz w:val="24"/>
          <w:szCs w:val="24"/>
          <w:lang w:eastAsia="en-GB"/>
        </w:rPr>
        <w:t>om</w:t>
      </w:r>
      <w:r w:rsidRPr="00B66F75">
        <w:rPr>
          <w:rFonts w:ascii="Times New Roman" w:eastAsia="Times New Roman" w:hAnsi="Times New Roman" w:cs="Times New Roman"/>
          <w:sz w:val="24"/>
          <w:szCs w:val="24"/>
          <w:lang w:eastAsia="en-GB"/>
        </w:rPr>
        <w:t xml:space="preserve"> zlepšiť celkový rámec medzinárodných a regionálnych postupov, dohôd, pravidiel a inštitúcií na reguláciu a riade</w:t>
      </w:r>
      <w:r>
        <w:rPr>
          <w:rFonts w:ascii="Times New Roman" w:eastAsia="Times New Roman" w:hAnsi="Times New Roman" w:cs="Times New Roman"/>
          <w:sz w:val="24"/>
          <w:szCs w:val="24"/>
          <w:lang w:eastAsia="en-GB"/>
        </w:rPr>
        <w:t>nie ľudskej činnosti v oceánoch vrátane podpory</w:t>
      </w:r>
      <w:r w:rsidR="00362AB6" w:rsidRPr="00362AB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spolupráce</w:t>
      </w:r>
      <w:r w:rsidR="00362AB6" w:rsidRPr="00362AB6">
        <w:rPr>
          <w:rFonts w:ascii="Times New Roman" w:eastAsia="Times New Roman" w:hAnsi="Times New Roman" w:cs="Times New Roman"/>
          <w:sz w:val="24"/>
          <w:szCs w:val="24"/>
          <w:lang w:eastAsia="en-GB"/>
        </w:rPr>
        <w:t xml:space="preserve"> v oblasti námorného dozoru a pobrežnej stráže v rámci zdieľaného a priameho r</w:t>
      </w:r>
      <w:r>
        <w:rPr>
          <w:rFonts w:ascii="Times New Roman" w:eastAsia="Times New Roman" w:hAnsi="Times New Roman" w:cs="Times New Roman"/>
          <w:sz w:val="24"/>
          <w:szCs w:val="24"/>
          <w:lang w:eastAsia="en-GB"/>
        </w:rPr>
        <w:t>iadenia</w:t>
      </w:r>
      <w:r w:rsidR="00362AB6" w:rsidRPr="00362AB6">
        <w:rPr>
          <w:rFonts w:ascii="Times New Roman" w:eastAsia="Times New Roman" w:hAnsi="Times New Roman" w:cs="Times New Roman"/>
          <w:sz w:val="24"/>
          <w:szCs w:val="24"/>
          <w:lang w:eastAsia="en-GB"/>
        </w:rPr>
        <w:t>.</w:t>
      </w:r>
    </w:p>
    <w:p w:rsidR="008C4BD1" w:rsidRPr="00C23DB2" w:rsidRDefault="008C4BD1" w:rsidP="00D67AEC">
      <w:pPr>
        <w:spacing w:before="120" w:after="120" w:line="240" w:lineRule="auto"/>
        <w:jc w:val="both"/>
        <w:rPr>
          <w:rFonts w:ascii="Times New Roman" w:eastAsia="Times New Roman" w:hAnsi="Times New Roman" w:cs="Times New Roman"/>
          <w:sz w:val="24"/>
          <w:szCs w:val="24"/>
        </w:rPr>
      </w:pPr>
      <w:r w:rsidRPr="008C4BD1">
        <w:rPr>
          <w:rFonts w:ascii="Times New Roman" w:eastAsia="Times New Roman" w:hAnsi="Times New Roman" w:cs="Times New Roman"/>
          <w:sz w:val="24"/>
          <w:szCs w:val="24"/>
        </w:rPr>
        <w:t>Navrhovaný rozpočet ENRF predstavuje v bež</w:t>
      </w:r>
      <w:r>
        <w:rPr>
          <w:rFonts w:ascii="Times New Roman" w:eastAsia="Times New Roman" w:hAnsi="Times New Roman" w:cs="Times New Roman"/>
          <w:sz w:val="24"/>
          <w:szCs w:val="24"/>
        </w:rPr>
        <w:t>ných cenách 6 140 mil.</w:t>
      </w:r>
      <w:r w:rsidRPr="008C4BD1">
        <w:rPr>
          <w:rFonts w:ascii="Times New Roman" w:eastAsia="Times New Roman" w:hAnsi="Times New Roman" w:cs="Times New Roman"/>
          <w:sz w:val="24"/>
          <w:szCs w:val="24"/>
        </w:rPr>
        <w:t xml:space="preserve"> EUR. Zdroje ENRF sú rozdelené medzi zdieľané, priame a nepriame riadenie. Na podporu v rámci zdieľaného r</w:t>
      </w:r>
      <w:r>
        <w:rPr>
          <w:rFonts w:ascii="Times New Roman" w:eastAsia="Times New Roman" w:hAnsi="Times New Roman" w:cs="Times New Roman"/>
          <w:sz w:val="24"/>
          <w:szCs w:val="24"/>
        </w:rPr>
        <w:t>iadenia je alokovaných 5 311 mil.</w:t>
      </w:r>
      <w:r w:rsidRPr="008C4BD1">
        <w:rPr>
          <w:rFonts w:ascii="Times New Roman" w:eastAsia="Times New Roman" w:hAnsi="Times New Roman" w:cs="Times New Roman"/>
          <w:sz w:val="24"/>
          <w:szCs w:val="24"/>
        </w:rPr>
        <w:t xml:space="preserve"> EUR a na podporu v rámci priameho a nepriameho ria</w:t>
      </w:r>
      <w:r>
        <w:rPr>
          <w:rFonts w:ascii="Times New Roman" w:eastAsia="Times New Roman" w:hAnsi="Times New Roman" w:cs="Times New Roman"/>
          <w:sz w:val="24"/>
          <w:szCs w:val="24"/>
        </w:rPr>
        <w:t>denia je alokovaných 829 mil.</w:t>
      </w:r>
      <w:r w:rsidRPr="008C4BD1">
        <w:rPr>
          <w:rFonts w:ascii="Times New Roman" w:eastAsia="Times New Roman" w:hAnsi="Times New Roman" w:cs="Times New Roman"/>
          <w:sz w:val="24"/>
          <w:szCs w:val="24"/>
        </w:rPr>
        <w:t xml:space="preserve"> EUR.</w:t>
      </w:r>
    </w:p>
    <w:p w:rsidR="009F6E2D" w:rsidRPr="00C23DB2" w:rsidRDefault="009F6E2D" w:rsidP="007801CA">
      <w:pPr>
        <w:pStyle w:val="Odsekzoznamu"/>
        <w:numPr>
          <w:ilvl w:val="0"/>
          <w:numId w:val="21"/>
        </w:numPr>
        <w:spacing w:before="200" w:after="120" w:line="240" w:lineRule="auto"/>
        <w:ind w:left="425" w:hanging="425"/>
        <w:contextualSpacing w:val="0"/>
        <w:jc w:val="both"/>
        <w:rPr>
          <w:rFonts w:ascii="Times New Roman" w:eastAsia="Times New Roman" w:hAnsi="Times New Roman" w:cs="Times New Roman"/>
          <w:sz w:val="24"/>
          <w:szCs w:val="24"/>
          <w:lang w:eastAsia="sk-SK"/>
        </w:rPr>
      </w:pPr>
      <w:r w:rsidRPr="00C23DB2">
        <w:rPr>
          <w:rFonts w:ascii="Times New Roman" w:eastAsia="Times New Roman" w:hAnsi="Times New Roman" w:cs="Times New Roman"/>
          <w:b/>
          <w:bCs/>
          <w:sz w:val="24"/>
          <w:szCs w:val="24"/>
          <w:lang w:eastAsia="sk-SK"/>
        </w:rPr>
        <w:t>Navrhovaný dátum implementácie</w:t>
      </w:r>
    </w:p>
    <w:p w:rsidR="008C4BD1" w:rsidRPr="008C4BD1" w:rsidRDefault="008C4BD1" w:rsidP="008C4BD1">
      <w:pPr>
        <w:pStyle w:val="Default"/>
        <w:rPr>
          <w:rFonts w:eastAsia="Times New Roman"/>
          <w:color w:val="auto"/>
        </w:rPr>
      </w:pPr>
      <w:r w:rsidRPr="008C4BD1">
        <w:rPr>
          <w:rFonts w:eastAsia="Times New Roman"/>
          <w:color w:val="auto"/>
        </w:rPr>
        <w:t xml:space="preserve">Toto nariadenie nadobúda účinnosť dvadsiatym dňom po jeho uverejnení v Úradnom vestníku Európskej únie. </w:t>
      </w:r>
    </w:p>
    <w:p w:rsidR="009F6E2D" w:rsidRPr="008C4BD1" w:rsidRDefault="008C4BD1" w:rsidP="008C4BD1">
      <w:pPr>
        <w:pStyle w:val="Default"/>
        <w:rPr>
          <w:rFonts w:eastAsia="Times New Roman"/>
          <w:color w:val="auto"/>
        </w:rPr>
      </w:pPr>
      <w:r w:rsidRPr="008C4BD1">
        <w:rPr>
          <w:rFonts w:eastAsia="Times New Roman"/>
          <w:color w:val="auto"/>
        </w:rPr>
        <w:t xml:space="preserve">Toto nariadenie sa uplatňuje od 1. januára 2021. </w:t>
      </w:r>
    </w:p>
    <w:p w:rsidR="009F6E2D" w:rsidRPr="00C23DB2" w:rsidRDefault="009F6E2D" w:rsidP="007801CA">
      <w:pPr>
        <w:pStyle w:val="Odsekzoznamu"/>
        <w:numPr>
          <w:ilvl w:val="0"/>
          <w:numId w:val="21"/>
        </w:numPr>
        <w:spacing w:before="200" w:after="120" w:line="240" w:lineRule="auto"/>
        <w:ind w:left="425" w:hanging="425"/>
        <w:contextualSpacing w:val="0"/>
        <w:jc w:val="both"/>
        <w:rPr>
          <w:rFonts w:ascii="Times New Roman" w:eastAsia="Times New Roman" w:hAnsi="Times New Roman" w:cs="Times New Roman"/>
          <w:sz w:val="24"/>
          <w:szCs w:val="24"/>
          <w:lang w:eastAsia="sk-SK"/>
        </w:rPr>
      </w:pPr>
      <w:r w:rsidRPr="00C23DB2">
        <w:rPr>
          <w:rFonts w:ascii="Times New Roman" w:eastAsia="Times New Roman" w:hAnsi="Times New Roman" w:cs="Times New Roman"/>
          <w:b/>
          <w:bCs/>
          <w:sz w:val="24"/>
          <w:szCs w:val="24"/>
          <w:lang w:eastAsia="sk-SK"/>
        </w:rPr>
        <w:t>Metóda transpozície do práva SR a predpokladaný dátum transpozície</w:t>
      </w:r>
    </w:p>
    <w:p w:rsidR="009F6E2D" w:rsidRDefault="00FB1768" w:rsidP="001623A8">
      <w:pPr>
        <w:spacing w:after="0" w:line="240" w:lineRule="auto"/>
        <w:jc w:val="both"/>
        <w:rPr>
          <w:rFonts w:ascii="Times New Roman" w:hAnsi="Times New Roman" w:cs="Times New Roman"/>
          <w:sz w:val="24"/>
          <w:szCs w:val="24"/>
        </w:rPr>
      </w:pPr>
      <w:r w:rsidRPr="00C23DB2">
        <w:rPr>
          <w:rFonts w:ascii="Times New Roman" w:hAnsi="Times New Roman" w:cs="Times New Roman"/>
          <w:sz w:val="24"/>
          <w:szCs w:val="24"/>
        </w:rPr>
        <w:t>Nariadenie bude v SR priamo uplatniteľné.</w:t>
      </w:r>
    </w:p>
    <w:p w:rsidR="00D67AEC" w:rsidRDefault="00D67AEC" w:rsidP="001623A8">
      <w:pPr>
        <w:spacing w:after="0" w:line="240" w:lineRule="auto"/>
        <w:jc w:val="both"/>
        <w:rPr>
          <w:rFonts w:ascii="Times New Roman" w:hAnsi="Times New Roman" w:cs="Times New Roman"/>
          <w:sz w:val="24"/>
          <w:szCs w:val="24"/>
        </w:rPr>
      </w:pPr>
    </w:p>
    <w:p w:rsidR="00D67AEC" w:rsidRDefault="00D67AEC" w:rsidP="001623A8">
      <w:pPr>
        <w:spacing w:after="0" w:line="240" w:lineRule="auto"/>
        <w:jc w:val="both"/>
        <w:rPr>
          <w:rFonts w:ascii="Times New Roman" w:hAnsi="Times New Roman" w:cs="Times New Roman"/>
          <w:sz w:val="24"/>
          <w:szCs w:val="24"/>
        </w:rPr>
      </w:pPr>
    </w:p>
    <w:p w:rsidR="00D67AEC" w:rsidRDefault="00D67AEC" w:rsidP="001623A8">
      <w:pPr>
        <w:spacing w:after="0" w:line="240" w:lineRule="auto"/>
        <w:jc w:val="both"/>
        <w:rPr>
          <w:rFonts w:ascii="Times New Roman" w:hAnsi="Times New Roman" w:cs="Times New Roman"/>
          <w:sz w:val="24"/>
          <w:szCs w:val="24"/>
        </w:rPr>
      </w:pPr>
    </w:p>
    <w:p w:rsidR="00D67AEC" w:rsidRDefault="00D67AEC" w:rsidP="001623A8">
      <w:pPr>
        <w:spacing w:after="0" w:line="240" w:lineRule="auto"/>
        <w:jc w:val="both"/>
        <w:rPr>
          <w:rFonts w:ascii="Times New Roman" w:hAnsi="Times New Roman" w:cs="Times New Roman"/>
          <w:sz w:val="24"/>
          <w:szCs w:val="24"/>
        </w:rPr>
      </w:pPr>
    </w:p>
    <w:p w:rsidR="00D67AEC" w:rsidRDefault="00D67AEC" w:rsidP="001623A8">
      <w:pPr>
        <w:spacing w:after="0" w:line="240" w:lineRule="auto"/>
        <w:jc w:val="both"/>
        <w:rPr>
          <w:rFonts w:ascii="Times New Roman" w:hAnsi="Times New Roman" w:cs="Times New Roman"/>
          <w:sz w:val="24"/>
          <w:szCs w:val="24"/>
        </w:rPr>
      </w:pPr>
    </w:p>
    <w:p w:rsidR="00D67AEC" w:rsidRPr="00C23DB2" w:rsidRDefault="00D67AEC" w:rsidP="001623A8">
      <w:pPr>
        <w:spacing w:after="0" w:line="240" w:lineRule="auto"/>
        <w:jc w:val="both"/>
        <w:rPr>
          <w:rFonts w:ascii="Times New Roman" w:hAnsi="Times New Roman" w:cs="Times New Roman"/>
          <w:sz w:val="24"/>
          <w:szCs w:val="24"/>
        </w:rPr>
      </w:pPr>
    </w:p>
    <w:p w:rsidR="009F6E2D" w:rsidRPr="00C23DB2" w:rsidRDefault="009F6E2D" w:rsidP="001623A8">
      <w:pPr>
        <w:pStyle w:val="Odsekzoznamu"/>
        <w:numPr>
          <w:ilvl w:val="0"/>
          <w:numId w:val="1"/>
        </w:numPr>
        <w:spacing w:before="360" w:after="240" w:line="240" w:lineRule="auto"/>
        <w:ind w:left="426" w:hanging="426"/>
        <w:contextualSpacing w:val="0"/>
        <w:jc w:val="center"/>
        <w:rPr>
          <w:rFonts w:ascii="Times New Roman" w:eastAsia="Times New Roman" w:hAnsi="Times New Roman" w:cs="Times New Roman"/>
          <w:b/>
          <w:sz w:val="24"/>
          <w:szCs w:val="24"/>
          <w:lang w:eastAsia="sk-SK"/>
        </w:rPr>
      </w:pPr>
      <w:r w:rsidRPr="00C23DB2">
        <w:rPr>
          <w:rFonts w:ascii="Times New Roman" w:eastAsia="Times New Roman" w:hAnsi="Times New Roman" w:cs="Times New Roman"/>
          <w:b/>
          <w:bCs/>
          <w:sz w:val="24"/>
          <w:szCs w:val="24"/>
          <w:u w:val="single"/>
          <w:lang w:eastAsia="sk-SK"/>
        </w:rPr>
        <w:lastRenderedPageBreak/>
        <w:t>STANOVISKO SLOVENSKEJ REPUBLIKY</w:t>
      </w:r>
    </w:p>
    <w:p w:rsidR="009F6E2D" w:rsidRPr="00C23DB2" w:rsidRDefault="009F6E2D" w:rsidP="007801CA">
      <w:pPr>
        <w:pStyle w:val="Odsekzoznamu"/>
        <w:numPr>
          <w:ilvl w:val="0"/>
          <w:numId w:val="21"/>
        </w:numPr>
        <w:spacing w:before="200" w:after="120" w:line="240" w:lineRule="auto"/>
        <w:ind w:left="425" w:hanging="425"/>
        <w:contextualSpacing w:val="0"/>
        <w:jc w:val="both"/>
        <w:rPr>
          <w:rFonts w:ascii="Times New Roman" w:eastAsia="Times New Roman" w:hAnsi="Times New Roman" w:cs="Times New Roman"/>
          <w:sz w:val="24"/>
          <w:szCs w:val="24"/>
          <w:lang w:eastAsia="sk-SK"/>
        </w:rPr>
      </w:pPr>
      <w:r w:rsidRPr="00C23DB2">
        <w:rPr>
          <w:rFonts w:ascii="Times New Roman" w:eastAsia="Times New Roman" w:hAnsi="Times New Roman" w:cs="Times New Roman"/>
          <w:b/>
          <w:bCs/>
          <w:sz w:val="24"/>
          <w:szCs w:val="24"/>
          <w:lang w:eastAsia="sk-SK"/>
        </w:rPr>
        <w:t>Vecná analýza návrhu</w:t>
      </w:r>
    </w:p>
    <w:p w:rsidR="00FC7967" w:rsidRPr="00FC7967" w:rsidRDefault="00FC7967" w:rsidP="006E358E">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w:t>
      </w:r>
      <w:r w:rsidR="00C710B6">
        <w:rPr>
          <w:rFonts w:ascii="Times New Roman" w:eastAsia="Times New Roman" w:hAnsi="Times New Roman" w:cs="Times New Roman"/>
          <w:sz w:val="24"/>
          <w:szCs w:val="24"/>
        </w:rPr>
        <w:t xml:space="preserve">nariadenia o ENRF </w:t>
      </w:r>
      <w:r>
        <w:rPr>
          <w:rFonts w:ascii="Times New Roman" w:eastAsia="Times New Roman" w:hAnsi="Times New Roman" w:cs="Times New Roman"/>
          <w:sz w:val="24"/>
          <w:szCs w:val="24"/>
        </w:rPr>
        <w:t>prispieva</w:t>
      </w:r>
      <w:r w:rsidR="00F709FE" w:rsidRPr="00F709FE">
        <w:rPr>
          <w:rFonts w:ascii="Times New Roman" w:eastAsia="Times New Roman" w:hAnsi="Times New Roman" w:cs="Times New Roman"/>
          <w:sz w:val="24"/>
          <w:szCs w:val="24"/>
        </w:rPr>
        <w:t xml:space="preserve"> k </w:t>
      </w:r>
      <w:r>
        <w:rPr>
          <w:rFonts w:ascii="Times New Roman" w:eastAsia="Times New Roman" w:hAnsi="Times New Roman" w:cs="Times New Roman"/>
          <w:sz w:val="24"/>
          <w:szCs w:val="24"/>
        </w:rPr>
        <w:t>dosiahnutiu cieľov SRP, podporuje</w:t>
      </w:r>
      <w:r w:rsidR="00F709FE" w:rsidRPr="00F709FE">
        <w:rPr>
          <w:rFonts w:ascii="Times New Roman" w:eastAsia="Times New Roman" w:hAnsi="Times New Roman" w:cs="Times New Roman"/>
          <w:sz w:val="24"/>
          <w:szCs w:val="24"/>
        </w:rPr>
        <w:t xml:space="preserve"> vykonávanie n</w:t>
      </w:r>
      <w:r>
        <w:rPr>
          <w:rFonts w:ascii="Times New Roman" w:eastAsia="Times New Roman" w:hAnsi="Times New Roman" w:cs="Times New Roman"/>
          <w:sz w:val="24"/>
          <w:szCs w:val="24"/>
        </w:rPr>
        <w:t>ámornej politiky Únie a posilňuje</w:t>
      </w:r>
      <w:r w:rsidR="00F709FE" w:rsidRPr="00F709FE">
        <w:rPr>
          <w:rFonts w:ascii="Times New Roman" w:eastAsia="Times New Roman" w:hAnsi="Times New Roman" w:cs="Times New Roman"/>
          <w:sz w:val="24"/>
          <w:szCs w:val="24"/>
        </w:rPr>
        <w:t xml:space="preserve"> medzinárodnú správu oceánov. </w:t>
      </w:r>
      <w:r w:rsidRPr="00FC7967">
        <w:rPr>
          <w:rFonts w:ascii="Times New Roman" w:eastAsia="Times New Roman" w:hAnsi="Times New Roman" w:cs="Times New Roman"/>
          <w:sz w:val="24"/>
          <w:szCs w:val="24"/>
        </w:rPr>
        <w:t>Cieľom návrhu je zjednodušiť poskytovanie prostriedkov z ENRF v porovnaní s veľmi zložitou štruktúrou v období 2014 – 2020. Z toho dôvodu sa po roku 2020 zjednoduší štruktúra ENRF, pokiaľ ide o tieto prvky:</w:t>
      </w:r>
    </w:p>
    <w:p w:rsidR="00D3107E" w:rsidRDefault="00FC7967" w:rsidP="006E358E">
      <w:pPr>
        <w:pStyle w:val="Odsekzoznamu"/>
        <w:numPr>
          <w:ilvl w:val="0"/>
          <w:numId w:val="19"/>
        </w:numPr>
        <w:spacing w:before="120" w:after="120" w:line="240" w:lineRule="auto"/>
        <w:ind w:left="426"/>
        <w:contextualSpacing w:val="0"/>
        <w:jc w:val="both"/>
        <w:rPr>
          <w:rFonts w:ascii="Times New Roman" w:eastAsia="Times New Roman" w:hAnsi="Times New Roman" w:cs="Times New Roman"/>
          <w:sz w:val="24"/>
          <w:szCs w:val="24"/>
        </w:rPr>
      </w:pPr>
      <w:r w:rsidRPr="00D3107E">
        <w:rPr>
          <w:rFonts w:ascii="Times New Roman" w:eastAsia="Times New Roman" w:hAnsi="Times New Roman" w:cs="Times New Roman"/>
          <w:b/>
          <w:sz w:val="24"/>
          <w:szCs w:val="24"/>
        </w:rPr>
        <w:t>4 priority</w:t>
      </w:r>
      <w:r w:rsidRPr="00D3107E">
        <w:rPr>
          <w:rFonts w:ascii="Times New Roman" w:eastAsia="Times New Roman" w:hAnsi="Times New Roman" w:cs="Times New Roman"/>
          <w:sz w:val="24"/>
          <w:szCs w:val="24"/>
        </w:rPr>
        <w:t xml:space="preserve"> – V rámci týchto priorít sa opisuje rozsah podpory z ENRF oblasti námornej politiky a medzinárodnej správy oceánov v súlade s cieľmi SRP.</w:t>
      </w:r>
    </w:p>
    <w:p w:rsidR="00D3107E" w:rsidRDefault="00FC7967" w:rsidP="006E358E">
      <w:pPr>
        <w:pStyle w:val="Odsekzoznamu"/>
        <w:numPr>
          <w:ilvl w:val="0"/>
          <w:numId w:val="19"/>
        </w:numPr>
        <w:spacing w:before="120" w:after="120" w:line="240" w:lineRule="auto"/>
        <w:ind w:left="426"/>
        <w:contextualSpacing w:val="0"/>
        <w:jc w:val="both"/>
        <w:rPr>
          <w:rFonts w:ascii="Times New Roman" w:eastAsia="Times New Roman" w:hAnsi="Times New Roman" w:cs="Times New Roman"/>
          <w:sz w:val="24"/>
          <w:szCs w:val="24"/>
        </w:rPr>
      </w:pPr>
      <w:r w:rsidRPr="00D3107E">
        <w:rPr>
          <w:rFonts w:ascii="Times New Roman" w:eastAsia="Times New Roman" w:hAnsi="Times New Roman" w:cs="Times New Roman"/>
          <w:b/>
          <w:sz w:val="24"/>
          <w:szCs w:val="24"/>
        </w:rPr>
        <w:t>Oblasti podpory</w:t>
      </w:r>
      <w:r w:rsidRPr="00D3107E">
        <w:rPr>
          <w:rFonts w:ascii="Times New Roman" w:eastAsia="Times New Roman" w:hAnsi="Times New Roman" w:cs="Times New Roman"/>
          <w:sz w:val="24"/>
          <w:szCs w:val="24"/>
        </w:rPr>
        <w:t xml:space="preserve"> – V článkoch nariadenia sa nestanovujú normatívne opatrenia, ale opisujú sa rôzne oblasti podpory v rámci každej priority a poskytuje sa flexibilný rámec implementácie.</w:t>
      </w:r>
    </w:p>
    <w:p w:rsidR="00D3107E" w:rsidRDefault="00FC7967" w:rsidP="006E358E">
      <w:pPr>
        <w:pStyle w:val="Odsekzoznamu"/>
        <w:numPr>
          <w:ilvl w:val="0"/>
          <w:numId w:val="19"/>
        </w:numPr>
        <w:spacing w:before="120" w:after="120" w:line="240" w:lineRule="auto"/>
        <w:ind w:left="426"/>
        <w:contextualSpacing w:val="0"/>
        <w:jc w:val="both"/>
        <w:rPr>
          <w:rFonts w:ascii="Times New Roman" w:eastAsia="Times New Roman" w:hAnsi="Times New Roman" w:cs="Times New Roman"/>
          <w:sz w:val="24"/>
          <w:szCs w:val="24"/>
        </w:rPr>
      </w:pPr>
      <w:r w:rsidRPr="00D3107E">
        <w:rPr>
          <w:rFonts w:ascii="Times New Roman" w:eastAsia="Times New Roman" w:hAnsi="Times New Roman" w:cs="Times New Roman"/>
          <w:b/>
          <w:sz w:val="24"/>
          <w:szCs w:val="24"/>
        </w:rPr>
        <w:t>Žiadne vopred vymedzené opatrenia alebo pravidlá oprávnenosti na úrovni Únie</w:t>
      </w:r>
      <w:r w:rsidRPr="00D3107E">
        <w:rPr>
          <w:rFonts w:ascii="Times New Roman" w:eastAsia="Times New Roman" w:hAnsi="Times New Roman" w:cs="Times New Roman"/>
          <w:sz w:val="24"/>
          <w:szCs w:val="24"/>
        </w:rPr>
        <w:t xml:space="preserve"> – V rámci zdieľaného riadenia je na </w:t>
      </w:r>
      <w:r w:rsidR="00B66F75">
        <w:rPr>
          <w:rFonts w:ascii="Times New Roman" w:eastAsia="Times New Roman" w:hAnsi="Times New Roman" w:cs="Times New Roman"/>
          <w:sz w:val="24"/>
          <w:szCs w:val="24"/>
        </w:rPr>
        <w:t>členských štátoch (ďalej len „</w:t>
      </w:r>
      <w:r w:rsidR="006E358E">
        <w:rPr>
          <w:rFonts w:ascii="Times New Roman" w:eastAsia="Times New Roman" w:hAnsi="Times New Roman" w:cs="Times New Roman"/>
          <w:sz w:val="24"/>
          <w:szCs w:val="24"/>
        </w:rPr>
        <w:t>ČŠ</w:t>
      </w:r>
      <w:r w:rsidR="00B66F75">
        <w:rPr>
          <w:rFonts w:ascii="Times New Roman" w:eastAsia="Times New Roman" w:hAnsi="Times New Roman" w:cs="Times New Roman"/>
          <w:sz w:val="24"/>
          <w:szCs w:val="24"/>
        </w:rPr>
        <w:t>“)</w:t>
      </w:r>
      <w:r w:rsidRPr="00D3107E">
        <w:rPr>
          <w:rFonts w:ascii="Times New Roman" w:eastAsia="Times New Roman" w:hAnsi="Times New Roman" w:cs="Times New Roman"/>
          <w:sz w:val="24"/>
          <w:szCs w:val="24"/>
        </w:rPr>
        <w:t xml:space="preserve">, aby vypracovali svoj program, v ktorom uvedú najvhodnejšie prostriedky na dosiahnutie cieľov ENRF. Poskytne sa im istá flexibilita pri stanovovaní pravidiel oprávnenosti. Rôzne opatrenia určené </w:t>
      </w:r>
      <w:r w:rsidR="006E358E">
        <w:rPr>
          <w:rFonts w:ascii="Times New Roman" w:eastAsia="Times New Roman" w:hAnsi="Times New Roman" w:cs="Times New Roman"/>
          <w:sz w:val="24"/>
          <w:szCs w:val="24"/>
        </w:rPr>
        <w:t>ČŠ</w:t>
      </w:r>
      <w:r w:rsidRPr="00D3107E">
        <w:rPr>
          <w:rFonts w:ascii="Times New Roman" w:eastAsia="Times New Roman" w:hAnsi="Times New Roman" w:cs="Times New Roman"/>
          <w:sz w:val="24"/>
          <w:szCs w:val="24"/>
        </w:rPr>
        <w:t xml:space="preserve"> v rámci programov môžu byť podporované podľa pravidiel stanovených v </w:t>
      </w:r>
      <w:r w:rsidR="00C710B6" w:rsidRPr="00D3107E">
        <w:rPr>
          <w:rFonts w:ascii="Times New Roman" w:eastAsia="Times New Roman" w:hAnsi="Times New Roman" w:cs="Times New Roman"/>
          <w:sz w:val="24"/>
          <w:szCs w:val="24"/>
        </w:rPr>
        <w:t>ENRF</w:t>
      </w:r>
      <w:r w:rsidRPr="00D3107E">
        <w:rPr>
          <w:rFonts w:ascii="Times New Roman" w:eastAsia="Times New Roman" w:hAnsi="Times New Roman" w:cs="Times New Roman"/>
          <w:sz w:val="24"/>
          <w:szCs w:val="24"/>
        </w:rPr>
        <w:t xml:space="preserve"> a vo všeobecnom nariadení za predpokladu, že sú zahrnuté v oblastiach podpory. </w:t>
      </w:r>
    </w:p>
    <w:p w:rsidR="006E358E" w:rsidRDefault="00FC7967" w:rsidP="006E358E">
      <w:pPr>
        <w:pStyle w:val="Odsekzoznamu"/>
        <w:numPr>
          <w:ilvl w:val="0"/>
          <w:numId w:val="19"/>
        </w:numPr>
        <w:spacing w:before="120" w:after="120" w:line="240" w:lineRule="auto"/>
        <w:ind w:left="426"/>
        <w:contextualSpacing w:val="0"/>
        <w:jc w:val="both"/>
        <w:rPr>
          <w:rFonts w:ascii="Times New Roman" w:eastAsia="Times New Roman" w:hAnsi="Times New Roman" w:cs="Times New Roman"/>
          <w:sz w:val="24"/>
          <w:szCs w:val="24"/>
        </w:rPr>
      </w:pPr>
      <w:r w:rsidRPr="006E358E">
        <w:rPr>
          <w:rFonts w:ascii="Times New Roman" w:eastAsia="Times New Roman" w:hAnsi="Times New Roman" w:cs="Times New Roman"/>
          <w:b/>
          <w:sz w:val="24"/>
          <w:szCs w:val="24"/>
        </w:rPr>
        <w:t>Podmienky a obmedzenia pre určité oblasti</w:t>
      </w:r>
      <w:r w:rsidRPr="006E358E">
        <w:rPr>
          <w:rFonts w:ascii="Times New Roman" w:eastAsia="Times New Roman" w:hAnsi="Times New Roman" w:cs="Times New Roman"/>
          <w:sz w:val="24"/>
          <w:szCs w:val="24"/>
        </w:rPr>
        <w:t xml:space="preserve"> – </w:t>
      </w:r>
      <w:r w:rsidR="00D67AEC">
        <w:rPr>
          <w:rFonts w:ascii="Times New Roman" w:eastAsia="Times New Roman" w:hAnsi="Times New Roman" w:cs="Times New Roman"/>
          <w:sz w:val="24"/>
          <w:szCs w:val="24"/>
        </w:rPr>
        <w:t>Nariadenie</w:t>
      </w:r>
      <w:r w:rsidR="006E358E" w:rsidRPr="006E358E">
        <w:rPr>
          <w:rFonts w:ascii="Times New Roman" w:eastAsia="Times New Roman" w:hAnsi="Times New Roman" w:cs="Times New Roman"/>
          <w:sz w:val="24"/>
          <w:szCs w:val="24"/>
        </w:rPr>
        <w:t xml:space="preserve"> stanovuje</w:t>
      </w:r>
      <w:r w:rsidRPr="006E358E">
        <w:rPr>
          <w:rFonts w:ascii="Times New Roman" w:eastAsia="Times New Roman" w:hAnsi="Times New Roman" w:cs="Times New Roman"/>
          <w:sz w:val="24"/>
          <w:szCs w:val="24"/>
        </w:rPr>
        <w:t xml:space="preserve"> zoznam neoprávnených operácií, aby sa predišlo škodlivým vplyvom na ochranu rybolovných zdrojov, napríklad všeobecný zákaz investícií zvyšujúcich rybolovnú kapacitu. Okrem toho budú investície a kompenzácie pre rybársku flotilu (trvalé ukončenie rybolovných činností, mimoriadne pozastavenie rybolovných činností, získavanie plavidiel, výmena motora) výhradne podmienené ich súladom s cieľmi ochrany SRP. </w:t>
      </w:r>
    </w:p>
    <w:p w:rsidR="00FC7967" w:rsidRPr="006E358E" w:rsidRDefault="00FC7967" w:rsidP="006E358E">
      <w:pPr>
        <w:pStyle w:val="Odsekzoznamu"/>
        <w:numPr>
          <w:ilvl w:val="0"/>
          <w:numId w:val="19"/>
        </w:numPr>
        <w:spacing w:before="120" w:after="120" w:line="240" w:lineRule="auto"/>
        <w:ind w:left="426"/>
        <w:contextualSpacing w:val="0"/>
        <w:jc w:val="both"/>
        <w:rPr>
          <w:rFonts w:ascii="Times New Roman" w:eastAsia="Times New Roman" w:hAnsi="Times New Roman" w:cs="Times New Roman"/>
          <w:sz w:val="24"/>
          <w:szCs w:val="24"/>
        </w:rPr>
      </w:pPr>
      <w:r w:rsidRPr="006E358E">
        <w:rPr>
          <w:rFonts w:ascii="Times New Roman" w:eastAsia="Times New Roman" w:hAnsi="Times New Roman" w:cs="Times New Roman"/>
          <w:b/>
          <w:sz w:val="24"/>
          <w:szCs w:val="24"/>
        </w:rPr>
        <w:t>Ukazovatele výsledku</w:t>
      </w:r>
      <w:r w:rsidRPr="006E358E">
        <w:rPr>
          <w:rFonts w:ascii="Times New Roman" w:eastAsia="Times New Roman" w:hAnsi="Times New Roman" w:cs="Times New Roman"/>
          <w:sz w:val="24"/>
          <w:szCs w:val="24"/>
        </w:rPr>
        <w:t xml:space="preserve"> – Výkonnosť podpory z ENRF sa bude ho</w:t>
      </w:r>
      <w:r w:rsidR="00B66F75">
        <w:rPr>
          <w:rFonts w:ascii="Times New Roman" w:eastAsia="Times New Roman" w:hAnsi="Times New Roman" w:cs="Times New Roman"/>
          <w:sz w:val="24"/>
          <w:szCs w:val="24"/>
        </w:rPr>
        <w:t xml:space="preserve">dnotiť na základe ukazovateľov. </w:t>
      </w:r>
      <w:r w:rsidR="006E358E">
        <w:rPr>
          <w:rFonts w:ascii="Times New Roman" w:eastAsia="Times New Roman" w:hAnsi="Times New Roman" w:cs="Times New Roman"/>
          <w:sz w:val="24"/>
          <w:szCs w:val="24"/>
        </w:rPr>
        <w:t>ČŠ</w:t>
      </w:r>
      <w:r w:rsidRPr="006E358E">
        <w:rPr>
          <w:rFonts w:ascii="Times New Roman" w:eastAsia="Times New Roman" w:hAnsi="Times New Roman" w:cs="Times New Roman"/>
          <w:sz w:val="24"/>
          <w:szCs w:val="24"/>
        </w:rPr>
        <w:t xml:space="preserve"> budú podávať správy o pokroku pri dosahovaní stanovených čiastkových cieľov a cieľových hodnôt a Komisia každý rok vykoná preskúmanie výkonnosti na základe výročných správ o výkonnosti vypracovaných </w:t>
      </w:r>
      <w:r w:rsidR="006E358E">
        <w:rPr>
          <w:rFonts w:ascii="Times New Roman" w:eastAsia="Times New Roman" w:hAnsi="Times New Roman" w:cs="Times New Roman"/>
          <w:sz w:val="24"/>
          <w:szCs w:val="24"/>
        </w:rPr>
        <w:t>ČŠ</w:t>
      </w:r>
      <w:r w:rsidRPr="006E358E">
        <w:rPr>
          <w:rFonts w:ascii="Times New Roman" w:eastAsia="Times New Roman" w:hAnsi="Times New Roman" w:cs="Times New Roman"/>
          <w:sz w:val="24"/>
          <w:szCs w:val="24"/>
        </w:rPr>
        <w:t>, čo umožní včasné odhalenie potenciálnych problémov s implementáciou a prijatie nápravných opatrení. Na tento účel sa zriadi rámec monitorovania a hodnotenia.</w:t>
      </w:r>
    </w:p>
    <w:p w:rsidR="00387B98" w:rsidRPr="00387B98" w:rsidRDefault="00387B98" w:rsidP="00387B9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Nový ENRF</w:t>
      </w:r>
      <w:r w:rsidRPr="00387B98">
        <w:rPr>
          <w:rFonts w:ascii="Times New Roman" w:eastAsia="Times New Roman" w:hAnsi="Times New Roman" w:cs="Times New Roman"/>
          <w:sz w:val="24"/>
          <w:szCs w:val="24"/>
        </w:rPr>
        <w:t xml:space="preserve"> </w:t>
      </w:r>
      <w:r w:rsidR="006E358E">
        <w:rPr>
          <w:rFonts w:ascii="Times New Roman" w:eastAsia="Times New Roman" w:hAnsi="Times New Roman" w:cs="Times New Roman"/>
          <w:sz w:val="24"/>
          <w:szCs w:val="24"/>
        </w:rPr>
        <w:t>poskytuje</w:t>
      </w:r>
      <w:r w:rsidRPr="00387B98">
        <w:rPr>
          <w:rFonts w:ascii="Times New Roman" w:eastAsia="Times New Roman" w:hAnsi="Times New Roman" w:cs="Times New Roman"/>
          <w:sz w:val="24"/>
          <w:szCs w:val="24"/>
        </w:rPr>
        <w:t xml:space="preserve"> dva hlavné typy finančnej podpory, ktoré by mali byť v súlade s viacročným národným strategickým plánom pre akvakultúru, ktoré </w:t>
      </w:r>
      <w:r w:rsidR="006E358E">
        <w:rPr>
          <w:rFonts w:ascii="Times New Roman" w:eastAsia="Times New Roman" w:hAnsi="Times New Roman" w:cs="Times New Roman"/>
          <w:sz w:val="24"/>
          <w:szCs w:val="24"/>
        </w:rPr>
        <w:t>ČŠ</w:t>
      </w:r>
      <w:r w:rsidRPr="00387B98">
        <w:rPr>
          <w:rFonts w:ascii="Times New Roman" w:eastAsia="Times New Roman" w:hAnsi="Times New Roman" w:cs="Times New Roman"/>
          <w:sz w:val="24"/>
          <w:szCs w:val="24"/>
        </w:rPr>
        <w:t xml:space="preserve"> vypracujú na základe nariadenia o SRP:</w:t>
      </w:r>
    </w:p>
    <w:p w:rsidR="00387B98" w:rsidRPr="00387B98" w:rsidRDefault="00387B98" w:rsidP="006E358E">
      <w:pPr>
        <w:pStyle w:val="Odsekzoznamu"/>
        <w:numPr>
          <w:ilvl w:val="0"/>
          <w:numId w:val="20"/>
        </w:numPr>
        <w:spacing w:before="120" w:after="120" w:line="240" w:lineRule="auto"/>
        <w:ind w:left="425" w:hanging="357"/>
        <w:contextualSpacing w:val="0"/>
        <w:jc w:val="both"/>
        <w:rPr>
          <w:rFonts w:ascii="Times New Roman" w:eastAsia="Times New Roman" w:hAnsi="Times New Roman" w:cs="Times New Roman"/>
          <w:sz w:val="24"/>
          <w:szCs w:val="24"/>
        </w:rPr>
      </w:pPr>
      <w:r w:rsidRPr="00387B98">
        <w:rPr>
          <w:rFonts w:ascii="Times New Roman" w:eastAsia="Times New Roman" w:hAnsi="Times New Roman" w:cs="Times New Roman"/>
          <w:sz w:val="24"/>
          <w:szCs w:val="24"/>
        </w:rPr>
        <w:t>Podpora prostredníctvom finančných nástrojov (návratná forma pomoci),</w:t>
      </w:r>
      <w:r w:rsidR="008A4106">
        <w:rPr>
          <w:rFonts w:ascii="Times New Roman" w:eastAsia="Times New Roman" w:hAnsi="Times New Roman" w:cs="Times New Roman"/>
          <w:sz w:val="24"/>
          <w:szCs w:val="24"/>
        </w:rPr>
        <w:t xml:space="preserve"> ktorá by sa mala vzťahovať na </w:t>
      </w:r>
      <w:r w:rsidRPr="00387B98">
        <w:rPr>
          <w:rFonts w:ascii="Times New Roman" w:eastAsia="Times New Roman" w:hAnsi="Times New Roman" w:cs="Times New Roman"/>
          <w:sz w:val="24"/>
          <w:szCs w:val="24"/>
        </w:rPr>
        <w:t>produktívne a inovatívne investície vedúce k rastu v odvetviach, ktoré sú podľa aktuálnych ekonomických údajov v rámci Únie ziskové. Ide napr. o investície do akvakultúry a investície do spracovania produktov rybolovu a akvakultúry.</w:t>
      </w:r>
    </w:p>
    <w:p w:rsidR="00387B98" w:rsidRPr="00387B98" w:rsidRDefault="00387B98" w:rsidP="006E358E">
      <w:pPr>
        <w:pStyle w:val="Odsekzoznamu"/>
        <w:numPr>
          <w:ilvl w:val="0"/>
          <w:numId w:val="20"/>
        </w:numPr>
        <w:spacing w:before="120" w:after="120" w:line="240" w:lineRule="auto"/>
        <w:ind w:left="425" w:hanging="357"/>
        <w:contextualSpacing w:val="0"/>
        <w:jc w:val="both"/>
        <w:rPr>
          <w:rFonts w:ascii="Times New Roman" w:eastAsia="Times New Roman" w:hAnsi="Times New Roman" w:cs="Times New Roman"/>
          <w:sz w:val="24"/>
          <w:szCs w:val="24"/>
        </w:rPr>
      </w:pPr>
      <w:r w:rsidRPr="00387B98">
        <w:rPr>
          <w:rFonts w:ascii="Times New Roman" w:eastAsia="Times New Roman" w:hAnsi="Times New Roman" w:cs="Times New Roman"/>
          <w:sz w:val="24"/>
          <w:szCs w:val="24"/>
        </w:rPr>
        <w:t>Podpora prostredníctvom grantov (nenávratná forma pomoci), ktoré by mali byť k dispozícii v prípade kompenzačných opatrení pre menej výnosné akvakultúrne činnosti, ktoré poskytujú vybrané služby v oblasti správy pôdy a prírody, ale majú slabé vyhliadky na rast.</w:t>
      </w:r>
    </w:p>
    <w:p w:rsidR="00387B98" w:rsidRDefault="00387B98" w:rsidP="00387B98">
      <w:pPr>
        <w:spacing w:before="120" w:after="120" w:line="240" w:lineRule="auto"/>
        <w:jc w:val="both"/>
        <w:rPr>
          <w:rFonts w:ascii="Times New Roman" w:eastAsia="Times New Roman" w:hAnsi="Times New Roman" w:cs="Times New Roman"/>
          <w:sz w:val="24"/>
          <w:szCs w:val="24"/>
        </w:rPr>
      </w:pPr>
      <w:r w:rsidRPr="00387B98">
        <w:rPr>
          <w:rFonts w:ascii="Times New Roman" w:eastAsia="Times New Roman" w:hAnsi="Times New Roman" w:cs="Times New Roman"/>
          <w:sz w:val="24"/>
          <w:szCs w:val="24"/>
        </w:rPr>
        <w:t xml:space="preserve">Návrh nariadenia o ENRF </w:t>
      </w:r>
      <w:r>
        <w:rPr>
          <w:rFonts w:ascii="Times New Roman" w:eastAsia="Times New Roman" w:hAnsi="Times New Roman" w:cs="Times New Roman"/>
          <w:sz w:val="24"/>
          <w:szCs w:val="24"/>
        </w:rPr>
        <w:t>vychádza z návrhu viacročného finančného rámca</w:t>
      </w:r>
      <w:r w:rsidRPr="00F709FE">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a obdobie 2021 – 2027, prijatý Komisiou 2. mája 2018, ktorý </w:t>
      </w:r>
      <w:r w:rsidRPr="00F709FE">
        <w:rPr>
          <w:rFonts w:ascii="Times New Roman" w:eastAsia="Times New Roman" w:hAnsi="Times New Roman" w:cs="Times New Roman"/>
          <w:sz w:val="24"/>
          <w:szCs w:val="24"/>
        </w:rPr>
        <w:t>stanovuje rozpočtový rámec na financ</w:t>
      </w:r>
      <w:r>
        <w:rPr>
          <w:rFonts w:ascii="Times New Roman" w:eastAsia="Times New Roman" w:hAnsi="Times New Roman" w:cs="Times New Roman"/>
          <w:sz w:val="24"/>
          <w:szCs w:val="24"/>
        </w:rPr>
        <w:t xml:space="preserve">ovanie SRP a námornej politiky, zároveň rešpektuje </w:t>
      </w:r>
      <w:r w:rsidR="00B66F75" w:rsidRPr="00B66F75">
        <w:rPr>
          <w:rFonts w:ascii="Times New Roman" w:eastAsia="Times New Roman" w:hAnsi="Times New Roman" w:cs="Times New Roman"/>
          <w:sz w:val="24"/>
          <w:szCs w:val="24"/>
        </w:rPr>
        <w:t>všeobecné nariadenie</w:t>
      </w:r>
      <w:r w:rsidRPr="00B66F75">
        <w:rPr>
          <w:rFonts w:ascii="Times New Roman" w:eastAsia="Times New Roman" w:hAnsi="Times New Roman" w:cs="Times New Roman"/>
          <w:sz w:val="24"/>
          <w:szCs w:val="24"/>
        </w:rPr>
        <w:t>,</w:t>
      </w:r>
      <w:r w:rsidR="00B66F75">
        <w:rPr>
          <w:rFonts w:ascii="Times New Roman" w:eastAsia="Times New Roman" w:hAnsi="Times New Roman" w:cs="Times New Roman"/>
          <w:sz w:val="24"/>
          <w:szCs w:val="24"/>
        </w:rPr>
        <w:t xml:space="preserve"> prijaté</w:t>
      </w:r>
      <w:r>
        <w:rPr>
          <w:rFonts w:ascii="Times New Roman" w:eastAsia="Times New Roman" w:hAnsi="Times New Roman" w:cs="Times New Roman"/>
          <w:sz w:val="24"/>
          <w:szCs w:val="24"/>
        </w:rPr>
        <w:t xml:space="preserve"> Komisiou 29. mája </w:t>
      </w:r>
      <w:r w:rsidR="00B66F75">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ktor</w:t>
      </w:r>
      <w:r w:rsidR="00AF63C2">
        <w:rPr>
          <w:rFonts w:ascii="Times New Roman" w:eastAsia="Times New Roman" w:hAnsi="Times New Roman" w:cs="Times New Roman"/>
          <w:sz w:val="24"/>
          <w:szCs w:val="24"/>
        </w:rPr>
        <w:t>é</w:t>
      </w:r>
      <w:r w:rsidRPr="00387B98">
        <w:rPr>
          <w:rFonts w:ascii="Times New Roman" w:eastAsia="Times New Roman" w:hAnsi="Times New Roman" w:cs="Times New Roman"/>
          <w:sz w:val="24"/>
          <w:szCs w:val="24"/>
        </w:rPr>
        <w:t xml:space="preserve"> stanovuje spoločné podmienky pre fondy EÚ</w:t>
      </w:r>
      <w:r w:rsidR="00AF63C2">
        <w:rPr>
          <w:rFonts w:ascii="Times New Roman" w:eastAsia="Times New Roman" w:hAnsi="Times New Roman" w:cs="Times New Roman"/>
          <w:sz w:val="24"/>
          <w:szCs w:val="24"/>
        </w:rPr>
        <w:t xml:space="preserve"> vrátane ENRF</w:t>
      </w:r>
      <w:r w:rsidRPr="00387B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pokiaľ ide </w:t>
      </w:r>
      <w:r w:rsidRPr="00387B98">
        <w:rPr>
          <w:rFonts w:ascii="Times New Roman" w:eastAsia="Times New Roman" w:hAnsi="Times New Roman" w:cs="Times New Roman"/>
          <w:sz w:val="24"/>
          <w:szCs w:val="24"/>
        </w:rPr>
        <w:t xml:space="preserve">napr. </w:t>
      </w:r>
      <w:r>
        <w:rPr>
          <w:rFonts w:ascii="Times New Roman" w:eastAsia="Times New Roman" w:hAnsi="Times New Roman" w:cs="Times New Roman"/>
          <w:sz w:val="24"/>
          <w:szCs w:val="24"/>
        </w:rPr>
        <w:t xml:space="preserve">o </w:t>
      </w:r>
      <w:r w:rsidRPr="00387B98">
        <w:rPr>
          <w:rFonts w:ascii="Times New Roman" w:eastAsia="Times New Roman" w:hAnsi="Times New Roman" w:cs="Times New Roman"/>
          <w:sz w:val="24"/>
          <w:szCs w:val="24"/>
        </w:rPr>
        <w:lastRenderedPageBreak/>
        <w:t xml:space="preserve">obsah Partnerskej dohody, všeobecné podmienky pre programovanie, monitorovanie, </w:t>
      </w:r>
      <w:r>
        <w:rPr>
          <w:rFonts w:ascii="Times New Roman" w:eastAsia="Times New Roman" w:hAnsi="Times New Roman" w:cs="Times New Roman"/>
          <w:sz w:val="24"/>
          <w:szCs w:val="24"/>
        </w:rPr>
        <w:t xml:space="preserve">hodnotenie, </w:t>
      </w:r>
      <w:r w:rsidRPr="00387B98">
        <w:rPr>
          <w:rFonts w:ascii="Times New Roman" w:eastAsia="Times New Roman" w:hAnsi="Times New Roman" w:cs="Times New Roman"/>
          <w:sz w:val="24"/>
          <w:szCs w:val="24"/>
        </w:rPr>
        <w:t>finančné n</w:t>
      </w:r>
      <w:r>
        <w:rPr>
          <w:rFonts w:ascii="Times New Roman" w:eastAsia="Times New Roman" w:hAnsi="Times New Roman" w:cs="Times New Roman"/>
          <w:sz w:val="24"/>
          <w:szCs w:val="24"/>
        </w:rPr>
        <w:t>ástroje, spôsobilosť výdavkov, podávanie správ)</w:t>
      </w:r>
      <w:r w:rsidRPr="00387B98">
        <w:rPr>
          <w:rFonts w:ascii="Times New Roman" w:eastAsia="Times New Roman" w:hAnsi="Times New Roman" w:cs="Times New Roman"/>
          <w:sz w:val="24"/>
          <w:szCs w:val="24"/>
        </w:rPr>
        <w:t xml:space="preserve"> </w:t>
      </w:r>
      <w:r w:rsidR="008A4106">
        <w:rPr>
          <w:rFonts w:ascii="Times New Roman" w:eastAsia="Times New Roman" w:hAnsi="Times New Roman" w:cs="Times New Roman"/>
          <w:sz w:val="24"/>
          <w:szCs w:val="24"/>
        </w:rPr>
        <w:t>s cieľom zlepšiť koordináciu</w:t>
      </w:r>
      <w:r w:rsidR="00B66F75">
        <w:rPr>
          <w:rFonts w:ascii="Times New Roman" w:eastAsia="Times New Roman" w:hAnsi="Times New Roman" w:cs="Times New Roman"/>
          <w:sz w:val="24"/>
          <w:szCs w:val="24"/>
        </w:rPr>
        <w:t xml:space="preserve"> </w:t>
      </w:r>
      <w:r w:rsidRPr="00F709FE">
        <w:rPr>
          <w:rFonts w:ascii="Times New Roman" w:eastAsia="Times New Roman" w:hAnsi="Times New Roman" w:cs="Times New Roman"/>
          <w:sz w:val="24"/>
          <w:szCs w:val="24"/>
        </w:rPr>
        <w:t>a harmonizovať implementáciu podpory z fondov v rámci zdieľan</w:t>
      </w:r>
      <w:r>
        <w:rPr>
          <w:rFonts w:ascii="Times New Roman" w:eastAsia="Times New Roman" w:hAnsi="Times New Roman" w:cs="Times New Roman"/>
          <w:sz w:val="24"/>
          <w:szCs w:val="24"/>
        </w:rPr>
        <w:t>ého riadenia</w:t>
      </w:r>
      <w:r w:rsidRPr="00F709FE">
        <w:rPr>
          <w:rFonts w:ascii="Times New Roman" w:eastAsia="Times New Roman" w:hAnsi="Times New Roman" w:cs="Times New Roman"/>
          <w:sz w:val="24"/>
          <w:szCs w:val="24"/>
        </w:rPr>
        <w:t>, pričom hlavným zámerom je zjednodušenie plnenia politík jednotným spôsobom.</w:t>
      </w:r>
    </w:p>
    <w:p w:rsidR="00FC7967" w:rsidRPr="00FC7967" w:rsidRDefault="006E358E" w:rsidP="00FC7967">
      <w:pPr>
        <w:spacing w:before="120" w:after="120" w:line="240" w:lineRule="auto"/>
        <w:jc w:val="both"/>
        <w:rPr>
          <w:rFonts w:ascii="Times New Roman" w:eastAsia="Times New Roman" w:hAnsi="Times New Roman" w:cs="Times New Roman"/>
          <w:sz w:val="24"/>
          <w:szCs w:val="24"/>
        </w:rPr>
      </w:pPr>
      <w:r w:rsidRPr="00C9272C">
        <w:rPr>
          <w:rFonts w:ascii="Times New Roman" w:eastAsia="Times New Roman" w:hAnsi="Times New Roman" w:cs="Times New Roman"/>
          <w:sz w:val="24"/>
          <w:szCs w:val="24"/>
        </w:rPr>
        <w:t xml:space="preserve">ENRF bude prispievať k plneniu cieľov Únie v oblasti </w:t>
      </w:r>
      <w:r w:rsidR="00725022" w:rsidRPr="00C9272C">
        <w:rPr>
          <w:rFonts w:ascii="Times New Roman" w:eastAsia="Times New Roman" w:hAnsi="Times New Roman" w:cs="Times New Roman"/>
          <w:sz w:val="24"/>
          <w:szCs w:val="24"/>
        </w:rPr>
        <w:t xml:space="preserve">klímy. </w:t>
      </w:r>
      <w:r w:rsidR="00FC7967" w:rsidRPr="00C9272C">
        <w:rPr>
          <w:rFonts w:ascii="Times New Roman" w:eastAsia="Times New Roman" w:hAnsi="Times New Roman" w:cs="Times New Roman"/>
          <w:sz w:val="24"/>
          <w:szCs w:val="24"/>
        </w:rPr>
        <w:t xml:space="preserve">Príspevok ENRF k dosiahnutiu </w:t>
      </w:r>
      <w:r w:rsidR="00725022" w:rsidRPr="00C9272C">
        <w:rPr>
          <w:rFonts w:ascii="Times New Roman" w:eastAsia="Times New Roman" w:hAnsi="Times New Roman" w:cs="Times New Roman"/>
          <w:sz w:val="24"/>
          <w:szCs w:val="24"/>
        </w:rPr>
        <w:t>týchto cieľov</w:t>
      </w:r>
      <w:r w:rsidR="00FC7967" w:rsidRPr="00C9272C">
        <w:rPr>
          <w:rFonts w:ascii="Times New Roman" w:eastAsia="Times New Roman" w:hAnsi="Times New Roman" w:cs="Times New Roman"/>
          <w:sz w:val="24"/>
          <w:szCs w:val="24"/>
        </w:rPr>
        <w:t xml:space="preserve"> sa bude monitorovať systémom </w:t>
      </w:r>
      <w:r w:rsidR="00C9272C" w:rsidRPr="00C9272C">
        <w:rPr>
          <w:rFonts w:ascii="Times New Roman" w:eastAsia="Times New Roman" w:hAnsi="Times New Roman" w:cs="Times New Roman"/>
          <w:sz w:val="24"/>
          <w:szCs w:val="24"/>
        </w:rPr>
        <w:t>Únie</w:t>
      </w:r>
      <w:r w:rsidR="00FC7967" w:rsidRPr="00C9272C">
        <w:rPr>
          <w:rFonts w:ascii="Times New Roman" w:eastAsia="Times New Roman" w:hAnsi="Times New Roman" w:cs="Times New Roman"/>
          <w:sz w:val="24"/>
          <w:szCs w:val="24"/>
        </w:rPr>
        <w:t xml:space="preserve"> pre ukazovatele klímy na vhodnej úrovni rozčlenenia vrátane použitia presnejších metodík tam, kde sú </w:t>
      </w:r>
      <w:r w:rsidR="00387B98" w:rsidRPr="00C9272C">
        <w:rPr>
          <w:rFonts w:ascii="Times New Roman" w:eastAsia="Times New Roman" w:hAnsi="Times New Roman" w:cs="Times New Roman"/>
          <w:sz w:val="24"/>
          <w:szCs w:val="24"/>
        </w:rPr>
        <w:t>k dispozícii</w:t>
      </w:r>
      <w:r w:rsidR="00FC7967" w:rsidRPr="00C9272C">
        <w:rPr>
          <w:rFonts w:ascii="Times New Roman" w:eastAsia="Times New Roman" w:hAnsi="Times New Roman" w:cs="Times New Roman"/>
          <w:sz w:val="24"/>
          <w:szCs w:val="24"/>
        </w:rPr>
        <w:t>.</w:t>
      </w:r>
    </w:p>
    <w:p w:rsidR="00FC7967" w:rsidRPr="00FC7967" w:rsidRDefault="00FC7967" w:rsidP="00FC7967">
      <w:pPr>
        <w:spacing w:before="120" w:after="120" w:line="240" w:lineRule="auto"/>
        <w:jc w:val="both"/>
        <w:rPr>
          <w:rFonts w:ascii="Times New Roman" w:eastAsia="Times New Roman" w:hAnsi="Times New Roman" w:cs="Times New Roman"/>
          <w:sz w:val="24"/>
          <w:szCs w:val="24"/>
        </w:rPr>
      </w:pPr>
      <w:r w:rsidRPr="00FC7967">
        <w:rPr>
          <w:rFonts w:ascii="Times New Roman" w:eastAsia="Times New Roman" w:hAnsi="Times New Roman" w:cs="Times New Roman"/>
          <w:sz w:val="24"/>
          <w:szCs w:val="24"/>
        </w:rPr>
        <w:t>ENRF bude prispievať aj k dosiahnutiu environmentálnych cieľov Únie. Tento príspevok sa bude sledovať pomocou environmentálnych ukazovateľov Únie a bude sa pravidelne nahlasovať v rámci hodnotenia a výročnej správy o výkonnosti.</w:t>
      </w:r>
    </w:p>
    <w:p w:rsidR="006342AB" w:rsidRDefault="006342AB" w:rsidP="00F709FE">
      <w:pPr>
        <w:spacing w:after="0" w:line="240" w:lineRule="auto"/>
        <w:jc w:val="both"/>
        <w:rPr>
          <w:rFonts w:ascii="Times New Roman" w:eastAsia="Times New Roman" w:hAnsi="Times New Roman" w:cs="Times New Roman"/>
          <w:sz w:val="24"/>
          <w:szCs w:val="24"/>
        </w:rPr>
      </w:pPr>
      <w:r w:rsidRPr="006342AB">
        <w:rPr>
          <w:rFonts w:ascii="Times New Roman" w:eastAsia="Times New Roman" w:hAnsi="Times New Roman" w:cs="Times New Roman"/>
          <w:sz w:val="24"/>
          <w:szCs w:val="24"/>
        </w:rPr>
        <w:t xml:space="preserve">Navrhovaný rozpočet ENRF predstavuje v bežných cenách 6 140 </w:t>
      </w:r>
      <w:r>
        <w:rPr>
          <w:rFonts w:ascii="Times New Roman" w:eastAsia="Times New Roman" w:hAnsi="Times New Roman" w:cs="Times New Roman"/>
          <w:sz w:val="24"/>
          <w:szCs w:val="24"/>
        </w:rPr>
        <w:t>mil.</w:t>
      </w:r>
      <w:r w:rsidRPr="006342AB">
        <w:rPr>
          <w:rFonts w:ascii="Times New Roman" w:eastAsia="Times New Roman" w:hAnsi="Times New Roman" w:cs="Times New Roman"/>
          <w:sz w:val="24"/>
          <w:szCs w:val="24"/>
        </w:rPr>
        <w:t xml:space="preserve"> EUR. Zdroje ENRF sú rozdelené medzi zdieľané, priame a nepriame riadenie. Na podporu v rámci zdieľaného riadenia je alokovaných 5 311 </w:t>
      </w:r>
      <w:r>
        <w:rPr>
          <w:rFonts w:ascii="Times New Roman" w:eastAsia="Times New Roman" w:hAnsi="Times New Roman" w:cs="Times New Roman"/>
          <w:sz w:val="24"/>
          <w:szCs w:val="24"/>
        </w:rPr>
        <w:t>mil.</w:t>
      </w:r>
      <w:r w:rsidRPr="006342AB">
        <w:rPr>
          <w:rFonts w:ascii="Times New Roman" w:eastAsia="Times New Roman" w:hAnsi="Times New Roman" w:cs="Times New Roman"/>
          <w:sz w:val="24"/>
          <w:szCs w:val="24"/>
        </w:rPr>
        <w:t xml:space="preserve"> EUR </w:t>
      </w:r>
      <w:r>
        <w:rPr>
          <w:rFonts w:ascii="Times New Roman" w:eastAsia="Times New Roman" w:hAnsi="Times New Roman" w:cs="Times New Roman"/>
          <w:sz w:val="24"/>
          <w:szCs w:val="24"/>
        </w:rPr>
        <w:t>(</w:t>
      </w:r>
      <w:r w:rsidRPr="006342AB">
        <w:rPr>
          <w:rFonts w:ascii="Times New Roman" w:eastAsia="Times New Roman" w:hAnsi="Times New Roman" w:cs="Times New Roman"/>
          <w:sz w:val="24"/>
          <w:szCs w:val="24"/>
        </w:rPr>
        <w:t xml:space="preserve">z toho celková alokácia pre SR predstavuje sumu </w:t>
      </w:r>
      <w:r>
        <w:rPr>
          <w:rFonts w:ascii="Times New Roman" w:eastAsia="Times New Roman" w:hAnsi="Times New Roman" w:cs="Times New Roman"/>
          <w:sz w:val="24"/>
          <w:szCs w:val="24"/>
        </w:rPr>
        <w:t xml:space="preserve">  </w:t>
      </w:r>
      <w:r w:rsidRPr="006342AB">
        <w:rPr>
          <w:rFonts w:ascii="Times New Roman" w:eastAsia="Times New Roman" w:hAnsi="Times New Roman" w:cs="Times New Roman"/>
          <w:sz w:val="24"/>
          <w:szCs w:val="24"/>
        </w:rPr>
        <w:t>15 225 428 EUR</w:t>
      </w:r>
      <w:r>
        <w:rPr>
          <w:rFonts w:ascii="Times New Roman" w:eastAsia="Times New Roman" w:hAnsi="Times New Roman" w:cs="Times New Roman"/>
          <w:sz w:val="24"/>
          <w:szCs w:val="24"/>
        </w:rPr>
        <w:t>)</w:t>
      </w:r>
      <w:r w:rsidRPr="006342AB">
        <w:rPr>
          <w:rFonts w:ascii="Times New Roman" w:eastAsia="Times New Roman" w:hAnsi="Times New Roman" w:cs="Times New Roman"/>
          <w:sz w:val="24"/>
          <w:szCs w:val="24"/>
        </w:rPr>
        <w:t xml:space="preserve"> a na podporu v rámci priameho a nepriameho riadenia je alokovaných </w:t>
      </w:r>
      <w:r w:rsidR="00C9272C">
        <w:rPr>
          <w:rFonts w:ascii="Times New Roman" w:eastAsia="Times New Roman" w:hAnsi="Times New Roman" w:cs="Times New Roman"/>
          <w:sz w:val="24"/>
          <w:szCs w:val="24"/>
        </w:rPr>
        <w:t xml:space="preserve">     </w:t>
      </w:r>
      <w:r w:rsidRPr="006342AB">
        <w:rPr>
          <w:rFonts w:ascii="Times New Roman" w:eastAsia="Times New Roman" w:hAnsi="Times New Roman" w:cs="Times New Roman"/>
          <w:sz w:val="24"/>
          <w:szCs w:val="24"/>
        </w:rPr>
        <w:t xml:space="preserve">829 </w:t>
      </w:r>
      <w:r>
        <w:rPr>
          <w:rFonts w:ascii="Times New Roman" w:eastAsia="Times New Roman" w:hAnsi="Times New Roman" w:cs="Times New Roman"/>
          <w:sz w:val="24"/>
          <w:szCs w:val="24"/>
        </w:rPr>
        <w:t>mil.</w:t>
      </w:r>
      <w:r w:rsidRPr="006342AB">
        <w:rPr>
          <w:rFonts w:ascii="Times New Roman" w:eastAsia="Times New Roman" w:hAnsi="Times New Roman" w:cs="Times New Roman"/>
          <w:sz w:val="24"/>
          <w:szCs w:val="24"/>
        </w:rPr>
        <w:t xml:space="preserve"> EUR</w:t>
      </w:r>
      <w:r>
        <w:rPr>
          <w:rFonts w:ascii="Times New Roman" w:eastAsia="Times New Roman" w:hAnsi="Times New Roman" w:cs="Times New Roman"/>
          <w:sz w:val="24"/>
          <w:szCs w:val="24"/>
        </w:rPr>
        <w:t>.</w:t>
      </w:r>
    </w:p>
    <w:p w:rsidR="009F6E2D" w:rsidRPr="00C23DB2" w:rsidRDefault="009F6E2D" w:rsidP="007801CA">
      <w:pPr>
        <w:pStyle w:val="Odsekzoznamu"/>
        <w:numPr>
          <w:ilvl w:val="0"/>
          <w:numId w:val="21"/>
        </w:numPr>
        <w:spacing w:before="200" w:after="120" w:line="240" w:lineRule="auto"/>
        <w:ind w:left="425" w:hanging="425"/>
        <w:contextualSpacing w:val="0"/>
        <w:jc w:val="both"/>
        <w:rPr>
          <w:rFonts w:ascii="Times New Roman" w:eastAsia="Times New Roman" w:hAnsi="Times New Roman" w:cs="Times New Roman"/>
          <w:b/>
          <w:sz w:val="24"/>
          <w:szCs w:val="24"/>
        </w:rPr>
      </w:pPr>
      <w:r w:rsidRPr="00C23DB2">
        <w:rPr>
          <w:rFonts w:ascii="Times New Roman" w:eastAsia="Times New Roman" w:hAnsi="Times New Roman" w:cs="Times New Roman"/>
          <w:b/>
          <w:sz w:val="24"/>
          <w:szCs w:val="24"/>
        </w:rPr>
        <w:t xml:space="preserve">Právna </w:t>
      </w:r>
      <w:r w:rsidRPr="0030123E">
        <w:rPr>
          <w:rFonts w:ascii="Times New Roman" w:eastAsia="Times New Roman" w:hAnsi="Times New Roman" w:cs="Times New Roman"/>
          <w:b/>
          <w:bCs/>
          <w:sz w:val="24"/>
          <w:szCs w:val="24"/>
          <w:lang w:eastAsia="sk-SK"/>
        </w:rPr>
        <w:t>analýza</w:t>
      </w:r>
      <w:r w:rsidRPr="00C23DB2">
        <w:rPr>
          <w:rFonts w:ascii="Times New Roman" w:eastAsia="Times New Roman" w:hAnsi="Times New Roman" w:cs="Times New Roman"/>
          <w:b/>
          <w:sz w:val="24"/>
          <w:szCs w:val="24"/>
        </w:rPr>
        <w:t xml:space="preserve"> návrhu</w:t>
      </w:r>
    </w:p>
    <w:p w:rsidR="009F6E2D" w:rsidRPr="00C23DB2" w:rsidRDefault="009F6E2D" w:rsidP="001623A8">
      <w:pPr>
        <w:pStyle w:val="Odsekzoznamu"/>
        <w:numPr>
          <w:ilvl w:val="0"/>
          <w:numId w:val="4"/>
        </w:numPr>
        <w:spacing w:before="120" w:after="0" w:line="240" w:lineRule="auto"/>
        <w:ind w:left="425" w:hanging="425"/>
        <w:contextualSpacing w:val="0"/>
        <w:jc w:val="both"/>
        <w:rPr>
          <w:rFonts w:ascii="Times New Roman" w:eastAsia="Times New Roman" w:hAnsi="Times New Roman" w:cs="Times New Roman"/>
          <w:b/>
          <w:bCs/>
          <w:sz w:val="24"/>
          <w:szCs w:val="24"/>
          <w:lang w:eastAsia="sk-SK"/>
        </w:rPr>
      </w:pPr>
      <w:r w:rsidRPr="00C23DB2">
        <w:rPr>
          <w:rFonts w:ascii="Times New Roman" w:eastAsia="Times New Roman" w:hAnsi="Times New Roman" w:cs="Times New Roman"/>
          <w:b/>
          <w:bCs/>
          <w:sz w:val="24"/>
          <w:szCs w:val="24"/>
          <w:lang w:eastAsia="sk-SK"/>
        </w:rPr>
        <w:t>Právny základ predkladaného návrhu</w:t>
      </w:r>
    </w:p>
    <w:p w:rsidR="001E3B30" w:rsidRPr="00C23DB2" w:rsidRDefault="008C4BD1" w:rsidP="008A4106">
      <w:pPr>
        <w:spacing w:after="120" w:line="240" w:lineRule="auto"/>
        <w:jc w:val="both"/>
        <w:rPr>
          <w:rFonts w:ascii="Times New Roman" w:eastAsia="Times New Roman" w:hAnsi="Times New Roman" w:cs="Times New Roman"/>
          <w:sz w:val="24"/>
          <w:szCs w:val="24"/>
        </w:rPr>
      </w:pPr>
      <w:r w:rsidRPr="008C4BD1">
        <w:rPr>
          <w:rFonts w:ascii="Times New Roman" w:eastAsia="Times New Roman" w:hAnsi="Times New Roman" w:cs="Times New Roman"/>
          <w:sz w:val="24"/>
          <w:szCs w:val="24"/>
        </w:rPr>
        <w:t>Článok 42, článok 43 ods. 2, článok 91 ods. 1, článok 100 ods. 2, článok 173 ods. 3, článok 175, článok 188, článok 192 ods. 1, článok 194 ods. 2, článok 195 ods. 2 a článok 349 Zmluvy o fungovaní Európskej únie.</w:t>
      </w:r>
    </w:p>
    <w:p w:rsidR="009F6E2D" w:rsidRPr="00C23DB2" w:rsidRDefault="009F6E2D" w:rsidP="008A4106">
      <w:pPr>
        <w:pStyle w:val="Odsekzoznamu"/>
        <w:numPr>
          <w:ilvl w:val="0"/>
          <w:numId w:val="4"/>
        </w:numPr>
        <w:spacing w:before="120" w:after="0" w:line="240" w:lineRule="auto"/>
        <w:ind w:left="425" w:hanging="425"/>
        <w:contextualSpacing w:val="0"/>
        <w:jc w:val="both"/>
        <w:rPr>
          <w:rFonts w:ascii="Times New Roman" w:eastAsia="Times New Roman" w:hAnsi="Times New Roman" w:cs="Times New Roman"/>
          <w:b/>
          <w:bCs/>
          <w:sz w:val="24"/>
          <w:szCs w:val="24"/>
          <w:lang w:eastAsia="sk-SK"/>
        </w:rPr>
      </w:pPr>
      <w:r w:rsidRPr="00C23DB2">
        <w:rPr>
          <w:rFonts w:ascii="Times New Roman" w:eastAsia="Times New Roman" w:hAnsi="Times New Roman" w:cs="Times New Roman"/>
          <w:b/>
          <w:bCs/>
          <w:sz w:val="24"/>
          <w:szCs w:val="24"/>
          <w:lang w:eastAsia="sk-SK"/>
        </w:rPr>
        <w:t>Zásada subsidiarity a zásada proporcionality</w:t>
      </w:r>
    </w:p>
    <w:p w:rsidR="004C6547" w:rsidRDefault="00B274AC" w:rsidP="008A4106">
      <w:pPr>
        <w:spacing w:after="0" w:line="240" w:lineRule="auto"/>
        <w:jc w:val="both"/>
        <w:rPr>
          <w:rFonts w:ascii="Times New Roman" w:eastAsia="Times New Roman" w:hAnsi="Times New Roman" w:cs="Times New Roman"/>
          <w:sz w:val="24"/>
          <w:szCs w:val="24"/>
        </w:rPr>
      </w:pPr>
      <w:r w:rsidRPr="00B274AC">
        <w:rPr>
          <w:rFonts w:ascii="Times New Roman" w:eastAsia="Times New Roman" w:hAnsi="Times New Roman" w:cs="Times New Roman"/>
          <w:sz w:val="24"/>
          <w:szCs w:val="24"/>
        </w:rPr>
        <w:t xml:space="preserve">Subsidiarita (v prípade inej ako výlučnej právomoci) </w:t>
      </w:r>
      <w:r w:rsidR="004C6547" w:rsidRPr="004C6547">
        <w:rPr>
          <w:rFonts w:ascii="Times New Roman" w:eastAsia="Times New Roman" w:hAnsi="Times New Roman" w:cs="Times New Roman"/>
          <w:sz w:val="24"/>
          <w:szCs w:val="24"/>
        </w:rPr>
        <w:t>sa vykonáva v rámci zdieľ</w:t>
      </w:r>
      <w:r w:rsidR="004C6547">
        <w:rPr>
          <w:rFonts w:ascii="Times New Roman" w:eastAsia="Times New Roman" w:hAnsi="Times New Roman" w:cs="Times New Roman"/>
          <w:sz w:val="24"/>
          <w:szCs w:val="24"/>
        </w:rPr>
        <w:t xml:space="preserve">aného, priameho </w:t>
      </w:r>
      <w:r w:rsidR="004C6547" w:rsidRPr="004C6547">
        <w:rPr>
          <w:rFonts w:ascii="Times New Roman" w:eastAsia="Times New Roman" w:hAnsi="Times New Roman" w:cs="Times New Roman"/>
          <w:sz w:val="24"/>
          <w:szCs w:val="24"/>
        </w:rPr>
        <w:t>a nepriameho riadenia v súlade s nariadením o rozpočtových pravidlách.</w:t>
      </w:r>
    </w:p>
    <w:p w:rsidR="004C6547" w:rsidRPr="004C6547" w:rsidRDefault="004C6547" w:rsidP="001623A8">
      <w:pPr>
        <w:spacing w:after="0" w:line="240" w:lineRule="auto"/>
        <w:jc w:val="both"/>
        <w:rPr>
          <w:rFonts w:ascii="Times New Roman" w:eastAsia="Times New Roman" w:hAnsi="Times New Roman" w:cs="Times New Roman"/>
          <w:sz w:val="24"/>
          <w:szCs w:val="24"/>
        </w:rPr>
      </w:pPr>
      <w:r w:rsidRPr="004C6547">
        <w:rPr>
          <w:rFonts w:ascii="Times New Roman" w:eastAsia="Times New Roman" w:hAnsi="Times New Roman" w:cs="Times New Roman"/>
          <w:sz w:val="24"/>
          <w:szCs w:val="24"/>
        </w:rPr>
        <w:t>Navrhované opatrenia sú v súlade so zásadou proporcionality, keďže sú vhodné, potrebné a na dosiahnutie želaných politických cieľov nie sú k dispozícii žiadne menej reštriktívne opatrenia.</w:t>
      </w:r>
    </w:p>
    <w:p w:rsidR="009F6E2D" w:rsidRPr="00C23DB2" w:rsidRDefault="009F6E2D" w:rsidP="007801CA">
      <w:pPr>
        <w:pStyle w:val="Odsekzoznamu"/>
        <w:numPr>
          <w:ilvl w:val="0"/>
          <w:numId w:val="21"/>
        </w:numPr>
        <w:spacing w:before="200" w:after="120" w:line="240" w:lineRule="auto"/>
        <w:ind w:left="425" w:hanging="425"/>
        <w:contextualSpacing w:val="0"/>
        <w:jc w:val="both"/>
        <w:rPr>
          <w:rFonts w:ascii="Times New Roman" w:eastAsia="Times New Roman" w:hAnsi="Times New Roman" w:cs="Times New Roman"/>
          <w:b/>
          <w:bCs/>
          <w:sz w:val="24"/>
          <w:szCs w:val="24"/>
          <w:lang w:eastAsia="sk-SK"/>
        </w:rPr>
      </w:pPr>
      <w:r w:rsidRPr="00C23DB2">
        <w:rPr>
          <w:rFonts w:ascii="Times New Roman" w:eastAsia="Times New Roman" w:hAnsi="Times New Roman" w:cs="Times New Roman"/>
          <w:b/>
          <w:bCs/>
          <w:sz w:val="24"/>
          <w:szCs w:val="24"/>
          <w:lang w:eastAsia="sk-SK"/>
        </w:rPr>
        <w:t>Analýza jednotlivých ustanovení predkladaného návrhu</w:t>
      </w:r>
    </w:p>
    <w:p w:rsidR="00B702A0" w:rsidRPr="00C23DB2" w:rsidRDefault="00B702A0" w:rsidP="001623A8">
      <w:pPr>
        <w:spacing w:before="120" w:after="0" w:line="240" w:lineRule="auto"/>
        <w:jc w:val="both"/>
        <w:rPr>
          <w:rFonts w:ascii="Times New Roman" w:hAnsi="Times New Roman" w:cs="Times New Roman"/>
          <w:b/>
          <w:sz w:val="24"/>
          <w:szCs w:val="24"/>
        </w:rPr>
      </w:pPr>
      <w:r w:rsidRPr="00C23DB2">
        <w:rPr>
          <w:rFonts w:ascii="Times New Roman" w:hAnsi="Times New Roman" w:cs="Times New Roman"/>
          <w:b/>
          <w:sz w:val="24"/>
          <w:szCs w:val="24"/>
        </w:rPr>
        <w:t>Preambula</w:t>
      </w:r>
    </w:p>
    <w:p w:rsidR="008F0760" w:rsidRPr="00C23DB2" w:rsidRDefault="00B702A0" w:rsidP="001623A8">
      <w:pPr>
        <w:spacing w:after="0" w:line="240" w:lineRule="auto"/>
        <w:jc w:val="both"/>
        <w:rPr>
          <w:rFonts w:ascii="Times New Roman" w:hAnsi="Times New Roman" w:cs="Times New Roman"/>
          <w:sz w:val="24"/>
          <w:szCs w:val="24"/>
        </w:rPr>
      </w:pPr>
      <w:r w:rsidRPr="00C23DB2">
        <w:rPr>
          <w:rFonts w:ascii="Times New Roman" w:hAnsi="Times New Roman" w:cs="Times New Roman"/>
          <w:sz w:val="24"/>
          <w:szCs w:val="24"/>
        </w:rPr>
        <w:t xml:space="preserve">Obsahuje </w:t>
      </w:r>
      <w:r w:rsidR="008F0760" w:rsidRPr="00C23DB2">
        <w:rPr>
          <w:rFonts w:ascii="Times New Roman" w:hAnsi="Times New Roman" w:cs="Times New Roman"/>
          <w:sz w:val="24"/>
          <w:szCs w:val="24"/>
        </w:rPr>
        <w:t xml:space="preserve">odôvodnenia </w:t>
      </w:r>
      <w:r w:rsidRPr="00C23DB2">
        <w:rPr>
          <w:rFonts w:ascii="Times New Roman" w:hAnsi="Times New Roman" w:cs="Times New Roman"/>
          <w:sz w:val="24"/>
          <w:szCs w:val="24"/>
        </w:rPr>
        <w:t xml:space="preserve">vzhľadom na </w:t>
      </w:r>
      <w:r w:rsidR="008F0760" w:rsidRPr="00C23DB2">
        <w:rPr>
          <w:rFonts w:ascii="Times New Roman" w:hAnsi="Times New Roman" w:cs="Times New Roman"/>
          <w:sz w:val="24"/>
          <w:szCs w:val="24"/>
        </w:rPr>
        <w:t>normatívn</w:t>
      </w:r>
      <w:r w:rsidRPr="00C23DB2">
        <w:rPr>
          <w:rFonts w:ascii="Times New Roman" w:hAnsi="Times New Roman" w:cs="Times New Roman"/>
          <w:sz w:val="24"/>
          <w:szCs w:val="24"/>
        </w:rPr>
        <w:t>u</w:t>
      </w:r>
      <w:r w:rsidR="008F0760" w:rsidRPr="00C23DB2">
        <w:rPr>
          <w:rFonts w:ascii="Times New Roman" w:hAnsi="Times New Roman" w:cs="Times New Roman"/>
          <w:sz w:val="24"/>
          <w:szCs w:val="24"/>
        </w:rPr>
        <w:t xml:space="preserve"> čas</w:t>
      </w:r>
      <w:r w:rsidRPr="00C23DB2">
        <w:rPr>
          <w:rFonts w:ascii="Times New Roman" w:hAnsi="Times New Roman" w:cs="Times New Roman"/>
          <w:sz w:val="24"/>
          <w:szCs w:val="24"/>
        </w:rPr>
        <w:t>ť</w:t>
      </w:r>
      <w:r w:rsidR="0030123E">
        <w:rPr>
          <w:rFonts w:ascii="Times New Roman" w:hAnsi="Times New Roman" w:cs="Times New Roman"/>
          <w:sz w:val="24"/>
          <w:szCs w:val="24"/>
        </w:rPr>
        <w:t xml:space="preserve"> textu.</w:t>
      </w:r>
    </w:p>
    <w:p w:rsidR="006F24EE" w:rsidRDefault="006F24EE" w:rsidP="00B61E0A">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HLAVA I – VŠEOBECNÝ RÁMEC</w:t>
      </w:r>
    </w:p>
    <w:p w:rsidR="00B702A0" w:rsidRPr="00C23DB2" w:rsidRDefault="00B702A0" w:rsidP="00B61E0A">
      <w:pPr>
        <w:spacing w:before="240" w:after="120" w:line="240" w:lineRule="auto"/>
        <w:jc w:val="both"/>
        <w:rPr>
          <w:rFonts w:ascii="Times New Roman" w:hAnsi="Times New Roman" w:cs="Times New Roman"/>
          <w:b/>
          <w:noProof/>
          <w:sz w:val="24"/>
          <w:szCs w:val="24"/>
        </w:rPr>
      </w:pPr>
      <w:r w:rsidRPr="00C23DB2">
        <w:rPr>
          <w:rFonts w:ascii="Times New Roman" w:hAnsi="Times New Roman" w:cs="Times New Roman"/>
          <w:b/>
          <w:sz w:val="24"/>
          <w:szCs w:val="24"/>
        </w:rPr>
        <w:t>K</w:t>
      </w:r>
      <w:r w:rsidR="006F24EE">
        <w:rPr>
          <w:rFonts w:ascii="Times New Roman" w:hAnsi="Times New Roman" w:cs="Times New Roman"/>
          <w:b/>
          <w:sz w:val="24"/>
          <w:szCs w:val="24"/>
        </w:rPr>
        <w:t>apitola</w:t>
      </w:r>
      <w:r w:rsidRPr="00C23DB2">
        <w:rPr>
          <w:rFonts w:ascii="Times New Roman" w:hAnsi="Times New Roman" w:cs="Times New Roman"/>
          <w:b/>
          <w:noProof/>
          <w:sz w:val="24"/>
          <w:szCs w:val="24"/>
        </w:rPr>
        <w:t xml:space="preserve"> </w:t>
      </w:r>
      <w:r w:rsidRPr="00F87F00">
        <w:rPr>
          <w:rFonts w:ascii="Times New Roman" w:hAnsi="Times New Roman" w:cs="Times New Roman"/>
          <w:b/>
          <w:noProof/>
          <w:sz w:val="24"/>
          <w:szCs w:val="24"/>
        </w:rPr>
        <w:t xml:space="preserve">I </w:t>
      </w:r>
      <w:r w:rsidR="00F87F00" w:rsidRPr="00F87F00">
        <w:rPr>
          <w:rFonts w:ascii="Times New Roman" w:hAnsi="Times New Roman" w:cs="Times New Roman"/>
          <w:b/>
          <w:noProof/>
          <w:sz w:val="24"/>
          <w:szCs w:val="24"/>
        </w:rPr>
        <w:t xml:space="preserve">– </w:t>
      </w:r>
      <w:r w:rsidR="006F24EE">
        <w:rPr>
          <w:rFonts w:ascii="Times New Roman" w:hAnsi="Times New Roman" w:cs="Times New Roman"/>
          <w:b/>
          <w:noProof/>
          <w:sz w:val="24"/>
          <w:szCs w:val="24"/>
        </w:rPr>
        <w:t>Všeobecné ustanovenia</w:t>
      </w:r>
    </w:p>
    <w:p w:rsidR="00B702A0" w:rsidRPr="00C23DB2" w:rsidRDefault="00B702A0" w:rsidP="006F24EE">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1</w:t>
      </w:r>
      <w:r w:rsidRPr="00C23DB2">
        <w:rPr>
          <w:rFonts w:ascii="Times New Roman" w:hAnsi="Times New Roman" w:cs="Times New Roman"/>
          <w:noProof/>
          <w:sz w:val="24"/>
          <w:szCs w:val="24"/>
        </w:rPr>
        <w:t xml:space="preserve"> </w:t>
      </w:r>
      <w:r w:rsidR="00011494">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Pr="00C23DB2">
        <w:rPr>
          <w:rFonts w:ascii="Times New Roman" w:hAnsi="Times New Roman" w:cs="Times New Roman"/>
          <w:b/>
          <w:noProof/>
          <w:sz w:val="24"/>
          <w:szCs w:val="24"/>
        </w:rPr>
        <w:t xml:space="preserve">Predmet úpravy </w:t>
      </w:r>
    </w:p>
    <w:p w:rsidR="00B702A0" w:rsidRPr="00F87F00" w:rsidRDefault="00B702A0" w:rsidP="00011494">
      <w:pPr>
        <w:spacing w:after="0" w:line="240" w:lineRule="auto"/>
        <w:jc w:val="both"/>
        <w:rPr>
          <w:rFonts w:ascii="Times New Roman" w:eastAsia="Times New Roman" w:hAnsi="Times New Roman" w:cs="Times New Roman"/>
          <w:bCs/>
          <w:sz w:val="24"/>
          <w:szCs w:val="24"/>
          <w:lang w:eastAsia="sk-SK"/>
        </w:rPr>
      </w:pPr>
      <w:r w:rsidRPr="00C23DB2">
        <w:rPr>
          <w:rFonts w:ascii="Times New Roman" w:eastAsia="Times New Roman" w:hAnsi="Times New Roman" w:cs="Times New Roman"/>
          <w:bCs/>
          <w:sz w:val="24"/>
          <w:szCs w:val="24"/>
          <w:lang w:eastAsia="sk-SK"/>
        </w:rPr>
        <w:t xml:space="preserve">Definuje predmet úpravy - </w:t>
      </w:r>
      <w:r w:rsidR="00F87F00" w:rsidRPr="00F87F00">
        <w:rPr>
          <w:rFonts w:ascii="Times New Roman" w:eastAsia="Times New Roman" w:hAnsi="Times New Roman" w:cs="Times New Roman"/>
          <w:bCs/>
          <w:sz w:val="24"/>
          <w:szCs w:val="24"/>
          <w:lang w:eastAsia="sk-SK"/>
        </w:rPr>
        <w:t>zria</w:t>
      </w:r>
      <w:r w:rsidR="00F87F00">
        <w:rPr>
          <w:rFonts w:ascii="Times New Roman" w:eastAsia="Times New Roman" w:hAnsi="Times New Roman" w:cs="Times New Roman"/>
          <w:bCs/>
          <w:sz w:val="24"/>
          <w:szCs w:val="24"/>
          <w:lang w:eastAsia="sk-SK"/>
        </w:rPr>
        <w:t>denie</w:t>
      </w:r>
      <w:r w:rsidR="00F87F00" w:rsidRPr="00F87F00">
        <w:rPr>
          <w:rFonts w:ascii="Times New Roman" w:eastAsia="Times New Roman" w:hAnsi="Times New Roman" w:cs="Times New Roman"/>
          <w:bCs/>
          <w:sz w:val="24"/>
          <w:szCs w:val="24"/>
          <w:lang w:eastAsia="sk-SK"/>
        </w:rPr>
        <w:t xml:space="preserve"> Euró</w:t>
      </w:r>
      <w:r w:rsidR="00F87F00">
        <w:rPr>
          <w:rFonts w:ascii="Times New Roman" w:eastAsia="Times New Roman" w:hAnsi="Times New Roman" w:cs="Times New Roman"/>
          <w:bCs/>
          <w:sz w:val="24"/>
          <w:szCs w:val="24"/>
          <w:lang w:eastAsia="sk-SK"/>
        </w:rPr>
        <w:t>pskeho</w:t>
      </w:r>
      <w:r w:rsidR="00F87F00" w:rsidRPr="00F87F00">
        <w:rPr>
          <w:rFonts w:ascii="Times New Roman" w:eastAsia="Times New Roman" w:hAnsi="Times New Roman" w:cs="Times New Roman"/>
          <w:bCs/>
          <w:sz w:val="24"/>
          <w:szCs w:val="24"/>
          <w:lang w:eastAsia="sk-SK"/>
        </w:rPr>
        <w:t xml:space="preserve"> námorn</w:t>
      </w:r>
      <w:r w:rsidR="00F87F00">
        <w:rPr>
          <w:rFonts w:ascii="Times New Roman" w:eastAsia="Times New Roman" w:hAnsi="Times New Roman" w:cs="Times New Roman"/>
          <w:bCs/>
          <w:sz w:val="24"/>
          <w:szCs w:val="24"/>
          <w:lang w:eastAsia="sk-SK"/>
        </w:rPr>
        <w:t>ého</w:t>
      </w:r>
      <w:r w:rsidR="00F87F00" w:rsidRPr="00F87F00">
        <w:rPr>
          <w:rFonts w:ascii="Times New Roman" w:eastAsia="Times New Roman" w:hAnsi="Times New Roman" w:cs="Times New Roman"/>
          <w:bCs/>
          <w:sz w:val="24"/>
          <w:szCs w:val="24"/>
          <w:lang w:eastAsia="sk-SK"/>
        </w:rPr>
        <w:t xml:space="preserve"> a rybá</w:t>
      </w:r>
      <w:r w:rsidR="00F87F00">
        <w:rPr>
          <w:rFonts w:ascii="Times New Roman" w:eastAsia="Times New Roman" w:hAnsi="Times New Roman" w:cs="Times New Roman"/>
          <w:bCs/>
          <w:sz w:val="24"/>
          <w:szCs w:val="24"/>
          <w:lang w:eastAsia="sk-SK"/>
        </w:rPr>
        <w:t>rskeho</w:t>
      </w:r>
      <w:r w:rsidR="00F87F00" w:rsidRPr="00F87F00">
        <w:rPr>
          <w:rFonts w:ascii="Times New Roman" w:eastAsia="Times New Roman" w:hAnsi="Times New Roman" w:cs="Times New Roman"/>
          <w:bCs/>
          <w:sz w:val="24"/>
          <w:szCs w:val="24"/>
          <w:lang w:eastAsia="sk-SK"/>
        </w:rPr>
        <w:t xml:space="preserve"> fond</w:t>
      </w:r>
      <w:r w:rsidR="00F87F00">
        <w:rPr>
          <w:rFonts w:ascii="Times New Roman" w:eastAsia="Times New Roman" w:hAnsi="Times New Roman" w:cs="Times New Roman"/>
          <w:bCs/>
          <w:sz w:val="24"/>
          <w:szCs w:val="24"/>
          <w:lang w:eastAsia="sk-SK"/>
        </w:rPr>
        <w:t>u (ENRF), stanovenie priorít</w:t>
      </w:r>
      <w:r w:rsidR="00F87F00" w:rsidRPr="00F87F00">
        <w:rPr>
          <w:rFonts w:ascii="Times New Roman" w:eastAsia="Times New Roman" w:hAnsi="Times New Roman" w:cs="Times New Roman"/>
          <w:bCs/>
          <w:sz w:val="24"/>
          <w:szCs w:val="24"/>
          <w:lang w:eastAsia="sk-SK"/>
        </w:rPr>
        <w:t xml:space="preserve"> ENRF, rozpočt</w:t>
      </w:r>
      <w:r w:rsidR="00F87F00">
        <w:rPr>
          <w:rFonts w:ascii="Times New Roman" w:eastAsia="Times New Roman" w:hAnsi="Times New Roman" w:cs="Times New Roman"/>
          <w:bCs/>
          <w:sz w:val="24"/>
          <w:szCs w:val="24"/>
          <w:lang w:eastAsia="sk-SK"/>
        </w:rPr>
        <w:t>u na obdobie 2021 – 2027 vrátane</w:t>
      </w:r>
      <w:r w:rsidR="00F87F00" w:rsidRPr="00F87F00">
        <w:rPr>
          <w:rFonts w:ascii="Times New Roman" w:eastAsia="Times New Roman" w:hAnsi="Times New Roman" w:cs="Times New Roman"/>
          <w:bCs/>
          <w:sz w:val="24"/>
          <w:szCs w:val="24"/>
          <w:lang w:eastAsia="sk-SK"/>
        </w:rPr>
        <w:t xml:space="preserve"> formy financovania z prostriedkov Únie a</w:t>
      </w:r>
      <w:r w:rsidR="00F87F00">
        <w:rPr>
          <w:rFonts w:ascii="Times New Roman" w:eastAsia="Times New Roman" w:hAnsi="Times New Roman" w:cs="Times New Roman"/>
          <w:bCs/>
          <w:sz w:val="24"/>
          <w:szCs w:val="24"/>
          <w:lang w:eastAsia="sk-SK"/>
        </w:rPr>
        <w:t> </w:t>
      </w:r>
      <w:r w:rsidR="00F87F00" w:rsidRPr="00F87F00">
        <w:rPr>
          <w:rFonts w:ascii="Times New Roman" w:eastAsia="Times New Roman" w:hAnsi="Times New Roman" w:cs="Times New Roman"/>
          <w:bCs/>
          <w:sz w:val="24"/>
          <w:szCs w:val="24"/>
          <w:lang w:eastAsia="sk-SK"/>
        </w:rPr>
        <w:t>špecifick</w:t>
      </w:r>
      <w:r w:rsidR="00F87F00">
        <w:rPr>
          <w:rFonts w:ascii="Times New Roman" w:eastAsia="Times New Roman" w:hAnsi="Times New Roman" w:cs="Times New Roman"/>
          <w:bCs/>
          <w:sz w:val="24"/>
          <w:szCs w:val="24"/>
          <w:lang w:eastAsia="sk-SK"/>
        </w:rPr>
        <w:t>ých pravidiel</w:t>
      </w:r>
      <w:r w:rsidR="00F87F00" w:rsidRPr="00F87F00">
        <w:rPr>
          <w:rFonts w:ascii="Times New Roman" w:eastAsia="Times New Roman" w:hAnsi="Times New Roman" w:cs="Times New Roman"/>
          <w:bCs/>
          <w:sz w:val="24"/>
          <w:szCs w:val="24"/>
          <w:lang w:eastAsia="sk-SK"/>
        </w:rPr>
        <w:t xml:space="preserve"> poskytovania týchto finančných prostriedkov, ktorými sa dopĺňajú všeobecné pravidlá, ktoré pre ENRF platia </w:t>
      </w:r>
      <w:r w:rsidR="008A4106">
        <w:rPr>
          <w:rFonts w:ascii="Times New Roman" w:eastAsia="Times New Roman" w:hAnsi="Times New Roman" w:cs="Times New Roman"/>
          <w:bCs/>
          <w:sz w:val="24"/>
          <w:szCs w:val="24"/>
          <w:lang w:eastAsia="sk-SK"/>
        </w:rPr>
        <w:t>v zmysle</w:t>
      </w:r>
      <w:r w:rsidR="00F87F00" w:rsidRPr="00F87F00">
        <w:rPr>
          <w:rFonts w:ascii="Times New Roman" w:eastAsia="Times New Roman" w:hAnsi="Times New Roman" w:cs="Times New Roman"/>
          <w:bCs/>
          <w:sz w:val="24"/>
          <w:szCs w:val="24"/>
          <w:lang w:eastAsia="sk-SK"/>
        </w:rPr>
        <w:t xml:space="preserve"> </w:t>
      </w:r>
      <w:r w:rsidR="008A4106">
        <w:rPr>
          <w:rFonts w:ascii="Times New Roman" w:eastAsia="Times New Roman" w:hAnsi="Times New Roman" w:cs="Times New Roman"/>
          <w:bCs/>
          <w:sz w:val="24"/>
          <w:szCs w:val="24"/>
          <w:lang w:eastAsia="sk-SK"/>
        </w:rPr>
        <w:t>všeobecného nariadenia.</w:t>
      </w:r>
    </w:p>
    <w:p w:rsidR="00011494" w:rsidRDefault="00302CF4" w:rsidP="006F24EE">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2</w:t>
      </w:r>
      <w:r w:rsidRPr="00C23DB2">
        <w:rPr>
          <w:rFonts w:ascii="Times New Roman" w:hAnsi="Times New Roman" w:cs="Times New Roman"/>
          <w:noProof/>
          <w:sz w:val="24"/>
          <w:szCs w:val="24"/>
        </w:rPr>
        <w:t xml:space="preserve"> </w:t>
      </w:r>
      <w:r w:rsidR="00011494">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011494" w:rsidRPr="00011494">
        <w:rPr>
          <w:rFonts w:ascii="Times New Roman" w:hAnsi="Times New Roman" w:cs="Times New Roman"/>
          <w:b/>
          <w:noProof/>
          <w:sz w:val="24"/>
          <w:szCs w:val="24"/>
        </w:rPr>
        <w:t>Geografická oblasť</w:t>
      </w:r>
    </w:p>
    <w:p w:rsidR="00011494" w:rsidRPr="00011494" w:rsidRDefault="00011494" w:rsidP="006F24EE">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Stanovuje, že nariadenie sa </w:t>
      </w:r>
      <w:r w:rsidRPr="00011494">
        <w:rPr>
          <w:rFonts w:ascii="Times New Roman" w:eastAsia="Times New Roman" w:hAnsi="Times New Roman" w:cs="Times New Roman"/>
          <w:bCs/>
          <w:sz w:val="24"/>
          <w:szCs w:val="24"/>
          <w:lang w:eastAsia="sk-SK"/>
        </w:rPr>
        <w:t>vzťahuje na operácie, ktoré sa vykonávajú na území Únie, pokiaľ nie je v</w:t>
      </w:r>
      <w:r>
        <w:rPr>
          <w:rFonts w:ascii="Times New Roman" w:eastAsia="Times New Roman" w:hAnsi="Times New Roman" w:cs="Times New Roman"/>
          <w:bCs/>
          <w:sz w:val="24"/>
          <w:szCs w:val="24"/>
          <w:lang w:eastAsia="sk-SK"/>
        </w:rPr>
        <w:t xml:space="preserve"> tomto </w:t>
      </w:r>
      <w:r w:rsidRPr="00011494">
        <w:rPr>
          <w:rFonts w:ascii="Times New Roman" w:eastAsia="Times New Roman" w:hAnsi="Times New Roman" w:cs="Times New Roman"/>
          <w:bCs/>
          <w:sz w:val="24"/>
          <w:szCs w:val="24"/>
          <w:lang w:eastAsia="sk-SK"/>
        </w:rPr>
        <w:t>nariadení stanovené inak.</w:t>
      </w:r>
    </w:p>
    <w:p w:rsidR="00302CF4" w:rsidRPr="00C23DB2" w:rsidRDefault="00302CF4" w:rsidP="006F24EE">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3</w:t>
      </w:r>
      <w:r w:rsidRPr="00C23DB2">
        <w:rPr>
          <w:rFonts w:ascii="Times New Roman" w:hAnsi="Times New Roman" w:cs="Times New Roman"/>
          <w:noProof/>
          <w:sz w:val="24"/>
          <w:szCs w:val="24"/>
        </w:rPr>
        <w:t xml:space="preserve"> </w:t>
      </w:r>
      <w:r w:rsidR="00011494">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011494">
        <w:rPr>
          <w:rFonts w:ascii="Times New Roman" w:hAnsi="Times New Roman" w:cs="Times New Roman"/>
          <w:b/>
          <w:noProof/>
          <w:sz w:val="24"/>
          <w:szCs w:val="24"/>
        </w:rPr>
        <w:t>Vymedzenie pojmov</w:t>
      </w:r>
    </w:p>
    <w:p w:rsidR="00011494" w:rsidRDefault="00011494" w:rsidP="001623A8">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Stanovuje, že n</w:t>
      </w:r>
      <w:r w:rsidRPr="00011494">
        <w:rPr>
          <w:rFonts w:ascii="Times New Roman" w:eastAsia="Times New Roman" w:hAnsi="Times New Roman" w:cs="Times New Roman"/>
          <w:bCs/>
          <w:sz w:val="24"/>
          <w:szCs w:val="24"/>
          <w:lang w:eastAsia="sk-SK"/>
        </w:rPr>
        <w:t xml:space="preserve">a účely nariadenia sa uplatňujú vymedzenia pojmov uvedené v článku 4 nariadenia (EÚ) č. 1380/2013, článku 5 nariadenia (EÚ) č. 1379/2013, článku 4 nariadenia </w:t>
      </w:r>
      <w:r w:rsidRPr="00011494">
        <w:rPr>
          <w:rFonts w:ascii="Times New Roman" w:eastAsia="Times New Roman" w:hAnsi="Times New Roman" w:cs="Times New Roman"/>
          <w:bCs/>
          <w:sz w:val="24"/>
          <w:szCs w:val="24"/>
          <w:lang w:eastAsia="sk-SK"/>
        </w:rPr>
        <w:lastRenderedPageBreak/>
        <w:t>(ES) č. 1224/2009 a článku 2 nariadenia</w:t>
      </w:r>
      <w:r>
        <w:rPr>
          <w:rFonts w:ascii="Times New Roman" w:eastAsia="Times New Roman" w:hAnsi="Times New Roman" w:cs="Times New Roman"/>
          <w:bCs/>
          <w:sz w:val="24"/>
          <w:szCs w:val="24"/>
          <w:lang w:eastAsia="sk-SK"/>
        </w:rPr>
        <w:t xml:space="preserve"> (EÚ) č. [všeobecné nariadenie] a zároveň definuje tieto pojmy: </w:t>
      </w:r>
      <w:r w:rsidRPr="00011494">
        <w:rPr>
          <w:rFonts w:ascii="Times New Roman" w:eastAsia="Times New Roman" w:hAnsi="Times New Roman" w:cs="Times New Roman"/>
          <w:bCs/>
          <w:sz w:val="24"/>
          <w:szCs w:val="24"/>
          <w:lang w:eastAsia="sk-SK"/>
        </w:rPr>
        <w:t>operácia kombinovaného financovania, spoločné prostredie na výmenu informácií, pobrežná stráž, Európska námorná monitorovacia a dátová sie</w:t>
      </w:r>
      <w:r>
        <w:rPr>
          <w:rFonts w:ascii="Times New Roman" w:eastAsia="Times New Roman" w:hAnsi="Times New Roman" w:cs="Times New Roman"/>
          <w:bCs/>
          <w:sz w:val="24"/>
          <w:szCs w:val="24"/>
          <w:lang w:eastAsia="sk-SK"/>
        </w:rPr>
        <w:t>ť</w:t>
      </w:r>
      <w:r w:rsidRPr="00011494">
        <w:rPr>
          <w:rFonts w:ascii="Times New Roman" w:eastAsia="Times New Roman" w:hAnsi="Times New Roman" w:cs="Times New Roman"/>
          <w:bCs/>
          <w:sz w:val="24"/>
          <w:szCs w:val="24"/>
          <w:lang w:eastAsia="sk-SK"/>
        </w:rPr>
        <w:t xml:space="preserve"> (EMODNET), prieskumný rybolov, rybár, vnútrozemský rybolov, medzinárodná správa oceánov, námorná politika, námorná bezpečnosť a námorný dozor, námorné priestorové plánovanie, produktívne investície do akvakultúry, stratégia morských oblastí, maloobjemový pobrež</w:t>
      </w:r>
      <w:r>
        <w:rPr>
          <w:rFonts w:ascii="Times New Roman" w:eastAsia="Times New Roman" w:hAnsi="Times New Roman" w:cs="Times New Roman"/>
          <w:bCs/>
          <w:sz w:val="24"/>
          <w:szCs w:val="24"/>
          <w:lang w:eastAsia="sk-SK"/>
        </w:rPr>
        <w:t>ný rybolov</w:t>
      </w:r>
      <w:r w:rsidRPr="00011494">
        <w:rPr>
          <w:rFonts w:ascii="Times New Roman" w:eastAsia="Times New Roman" w:hAnsi="Times New Roman" w:cs="Times New Roman"/>
          <w:bCs/>
          <w:sz w:val="24"/>
          <w:szCs w:val="24"/>
          <w:lang w:eastAsia="sk-SK"/>
        </w:rPr>
        <w:t>, udržateľné modré hospodárstvo.</w:t>
      </w:r>
    </w:p>
    <w:p w:rsidR="00302CF4" w:rsidRDefault="00302CF4" w:rsidP="006F24EE">
      <w:pPr>
        <w:spacing w:before="120" w:after="0" w:line="240" w:lineRule="auto"/>
        <w:jc w:val="both"/>
        <w:rPr>
          <w:rFonts w:ascii="Times New Roman" w:hAnsi="Times New Roman" w:cs="Times New Roman"/>
          <w:b/>
          <w:noProof/>
          <w:sz w:val="24"/>
          <w:szCs w:val="24"/>
        </w:rPr>
      </w:pPr>
      <w:r w:rsidRPr="00C23DB2">
        <w:rPr>
          <w:rFonts w:ascii="Times New Roman" w:hAnsi="Times New Roman" w:cs="Times New Roman"/>
          <w:i/>
          <w:noProof/>
          <w:sz w:val="24"/>
          <w:szCs w:val="24"/>
        </w:rPr>
        <w:t xml:space="preserve">Článok </w:t>
      </w:r>
      <w:r w:rsidR="00C9294F" w:rsidRPr="00C23DB2">
        <w:rPr>
          <w:rFonts w:ascii="Times New Roman" w:hAnsi="Times New Roman" w:cs="Times New Roman"/>
          <w:i/>
          <w:noProof/>
          <w:sz w:val="24"/>
          <w:szCs w:val="24"/>
        </w:rPr>
        <w:t>4</w:t>
      </w:r>
      <w:r w:rsidRPr="00C23DB2">
        <w:rPr>
          <w:rFonts w:ascii="Times New Roman" w:hAnsi="Times New Roman" w:cs="Times New Roman"/>
          <w:noProof/>
          <w:sz w:val="24"/>
          <w:szCs w:val="24"/>
        </w:rPr>
        <w:t xml:space="preserve"> </w:t>
      </w:r>
      <w:r w:rsidR="006F24EE">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6F24EE">
        <w:rPr>
          <w:rFonts w:ascii="Times New Roman" w:hAnsi="Times New Roman" w:cs="Times New Roman"/>
          <w:b/>
          <w:noProof/>
          <w:sz w:val="24"/>
          <w:szCs w:val="24"/>
        </w:rPr>
        <w:t>Priority</w:t>
      </w:r>
    </w:p>
    <w:p w:rsidR="006F24EE" w:rsidRPr="006F24EE" w:rsidRDefault="006F24EE" w:rsidP="00B61E0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Definuje štyri priority, ktoré prispievajú </w:t>
      </w:r>
      <w:r w:rsidRPr="006F24EE">
        <w:rPr>
          <w:rFonts w:ascii="Times New Roman" w:hAnsi="Times New Roman" w:cs="Times New Roman"/>
          <w:noProof/>
          <w:sz w:val="24"/>
          <w:szCs w:val="24"/>
        </w:rPr>
        <w:t>k vykon</w:t>
      </w:r>
      <w:r>
        <w:rPr>
          <w:rFonts w:ascii="Times New Roman" w:hAnsi="Times New Roman" w:cs="Times New Roman"/>
          <w:noProof/>
          <w:sz w:val="24"/>
          <w:szCs w:val="24"/>
        </w:rPr>
        <w:t xml:space="preserve">ávaniu </w:t>
      </w:r>
      <w:r w:rsidRPr="00B66F75">
        <w:rPr>
          <w:rFonts w:ascii="Times New Roman" w:hAnsi="Times New Roman" w:cs="Times New Roman"/>
          <w:noProof/>
          <w:sz w:val="24"/>
          <w:szCs w:val="24"/>
        </w:rPr>
        <w:t>SRP</w:t>
      </w:r>
      <w:r>
        <w:rPr>
          <w:rFonts w:ascii="Times New Roman" w:hAnsi="Times New Roman" w:cs="Times New Roman"/>
          <w:noProof/>
          <w:sz w:val="24"/>
          <w:szCs w:val="24"/>
        </w:rPr>
        <w:t xml:space="preserve"> a námornej politiky:</w:t>
      </w:r>
    </w:p>
    <w:p w:rsidR="006F24EE" w:rsidRDefault="006F24EE" w:rsidP="006F24EE">
      <w:pPr>
        <w:pStyle w:val="Odsekzoznamu"/>
        <w:numPr>
          <w:ilvl w:val="0"/>
          <w:numId w:val="15"/>
        </w:numPr>
        <w:spacing w:before="120" w:after="0" w:line="240" w:lineRule="auto"/>
        <w:jc w:val="both"/>
        <w:rPr>
          <w:rFonts w:ascii="Times New Roman" w:hAnsi="Times New Roman" w:cs="Times New Roman"/>
          <w:noProof/>
          <w:sz w:val="24"/>
          <w:szCs w:val="24"/>
        </w:rPr>
      </w:pPr>
      <w:r w:rsidRPr="006F24EE">
        <w:rPr>
          <w:rFonts w:ascii="Times New Roman" w:hAnsi="Times New Roman" w:cs="Times New Roman"/>
          <w:noProof/>
          <w:sz w:val="24"/>
          <w:szCs w:val="24"/>
        </w:rPr>
        <w:t>podpora udržateľného rybolovu a ochrany morských biologických zdrojov;</w:t>
      </w:r>
    </w:p>
    <w:p w:rsidR="006F24EE" w:rsidRDefault="006F24EE" w:rsidP="006F24EE">
      <w:pPr>
        <w:pStyle w:val="Odsekzoznamu"/>
        <w:numPr>
          <w:ilvl w:val="0"/>
          <w:numId w:val="15"/>
        </w:numPr>
        <w:spacing w:before="120" w:after="0" w:line="240" w:lineRule="auto"/>
        <w:jc w:val="both"/>
        <w:rPr>
          <w:rFonts w:ascii="Times New Roman" w:hAnsi="Times New Roman" w:cs="Times New Roman"/>
          <w:noProof/>
          <w:sz w:val="24"/>
          <w:szCs w:val="24"/>
        </w:rPr>
      </w:pPr>
      <w:r w:rsidRPr="006F24EE">
        <w:rPr>
          <w:rFonts w:ascii="Times New Roman" w:hAnsi="Times New Roman" w:cs="Times New Roman"/>
          <w:noProof/>
          <w:sz w:val="24"/>
          <w:szCs w:val="24"/>
        </w:rPr>
        <w:t>prispievanie k potravinovej bezpečnosti v Únii prostredníctvom konkurencieschopných a udržateľných akvakultúr a trhov;</w:t>
      </w:r>
    </w:p>
    <w:p w:rsidR="006F24EE" w:rsidRDefault="006F24EE" w:rsidP="006F24EE">
      <w:pPr>
        <w:pStyle w:val="Odsekzoznamu"/>
        <w:numPr>
          <w:ilvl w:val="0"/>
          <w:numId w:val="15"/>
        </w:numPr>
        <w:spacing w:before="120" w:after="0" w:line="240" w:lineRule="auto"/>
        <w:jc w:val="both"/>
        <w:rPr>
          <w:rFonts w:ascii="Times New Roman" w:hAnsi="Times New Roman" w:cs="Times New Roman"/>
          <w:noProof/>
          <w:sz w:val="24"/>
          <w:szCs w:val="24"/>
        </w:rPr>
      </w:pPr>
      <w:r w:rsidRPr="006F24EE">
        <w:rPr>
          <w:rFonts w:ascii="Times New Roman" w:hAnsi="Times New Roman" w:cs="Times New Roman"/>
          <w:noProof/>
          <w:sz w:val="24"/>
          <w:szCs w:val="24"/>
        </w:rPr>
        <w:t>umožnenie rastu udržateľného modrého hospodárstva a podpora prosperujúcich pobrežných komunít;</w:t>
      </w:r>
    </w:p>
    <w:p w:rsidR="006F24EE" w:rsidRPr="006F24EE" w:rsidRDefault="006F24EE" w:rsidP="006F24EE">
      <w:pPr>
        <w:pStyle w:val="Odsekzoznamu"/>
        <w:numPr>
          <w:ilvl w:val="0"/>
          <w:numId w:val="15"/>
        </w:numPr>
        <w:spacing w:before="120" w:after="0" w:line="240" w:lineRule="auto"/>
        <w:jc w:val="both"/>
        <w:rPr>
          <w:rFonts w:ascii="Times New Roman" w:hAnsi="Times New Roman" w:cs="Times New Roman"/>
          <w:noProof/>
          <w:sz w:val="24"/>
          <w:szCs w:val="24"/>
        </w:rPr>
      </w:pPr>
      <w:r w:rsidRPr="006F24EE">
        <w:rPr>
          <w:rFonts w:ascii="Times New Roman" w:hAnsi="Times New Roman" w:cs="Times New Roman"/>
          <w:noProof/>
          <w:sz w:val="24"/>
          <w:szCs w:val="24"/>
        </w:rPr>
        <w:t>posilnenie medzinárodnej správy oceánov a umožnenie bezpečných, chránených, čistých a udržateľne spravovaných morí a oceánov.</w:t>
      </w:r>
    </w:p>
    <w:p w:rsidR="006F24EE" w:rsidRPr="00C23DB2" w:rsidRDefault="006F24EE" w:rsidP="006F24EE">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Ustanovuje, že p</w:t>
      </w:r>
      <w:r w:rsidRPr="006F24EE">
        <w:rPr>
          <w:rFonts w:ascii="Times New Roman" w:hAnsi="Times New Roman" w:cs="Times New Roman"/>
          <w:noProof/>
          <w:sz w:val="24"/>
          <w:szCs w:val="24"/>
        </w:rPr>
        <w:t>odpora z ENRF prispieva k plneniu cieľov, ktoré si Únia stanovila v oblasti životného prostredia, zmiernenia zmeny k</w:t>
      </w:r>
      <w:r>
        <w:rPr>
          <w:rFonts w:ascii="Times New Roman" w:hAnsi="Times New Roman" w:cs="Times New Roman"/>
          <w:noProof/>
          <w:sz w:val="24"/>
          <w:szCs w:val="24"/>
        </w:rPr>
        <w:t>límy a adaptácie na túto zmenu, a že tento</w:t>
      </w:r>
      <w:r w:rsidRPr="006F24EE">
        <w:rPr>
          <w:rFonts w:ascii="Times New Roman" w:hAnsi="Times New Roman" w:cs="Times New Roman"/>
          <w:noProof/>
          <w:sz w:val="24"/>
          <w:szCs w:val="24"/>
        </w:rPr>
        <w:t xml:space="preserve"> príspevok sa bude monitorovať v súlade s metodikou stanovenou v prílohe IV</w:t>
      </w:r>
      <w:r>
        <w:rPr>
          <w:rFonts w:ascii="Times New Roman" w:hAnsi="Times New Roman" w:cs="Times New Roman"/>
          <w:noProof/>
          <w:sz w:val="24"/>
          <w:szCs w:val="24"/>
        </w:rPr>
        <w:t xml:space="preserve"> nariadenia o ENRF</w:t>
      </w:r>
      <w:r w:rsidRPr="006F24EE">
        <w:rPr>
          <w:rFonts w:ascii="Times New Roman" w:hAnsi="Times New Roman" w:cs="Times New Roman"/>
          <w:noProof/>
          <w:sz w:val="24"/>
          <w:szCs w:val="24"/>
        </w:rPr>
        <w:t>.</w:t>
      </w:r>
    </w:p>
    <w:p w:rsidR="00374FD8" w:rsidRPr="00C23DB2" w:rsidRDefault="00374FD8" w:rsidP="00B61E0A">
      <w:pPr>
        <w:spacing w:before="240" w:after="120" w:line="240" w:lineRule="auto"/>
        <w:jc w:val="both"/>
        <w:rPr>
          <w:rFonts w:ascii="Times New Roman" w:hAnsi="Times New Roman" w:cs="Times New Roman"/>
          <w:b/>
          <w:noProof/>
          <w:sz w:val="24"/>
          <w:szCs w:val="24"/>
        </w:rPr>
      </w:pPr>
      <w:r w:rsidRPr="00C23DB2">
        <w:rPr>
          <w:rFonts w:ascii="Times New Roman" w:hAnsi="Times New Roman" w:cs="Times New Roman"/>
          <w:b/>
          <w:sz w:val="24"/>
          <w:szCs w:val="24"/>
        </w:rPr>
        <w:t>K</w:t>
      </w:r>
      <w:r w:rsidR="006F24EE">
        <w:rPr>
          <w:rFonts w:ascii="Times New Roman" w:hAnsi="Times New Roman" w:cs="Times New Roman"/>
          <w:b/>
          <w:sz w:val="24"/>
          <w:szCs w:val="24"/>
        </w:rPr>
        <w:t>apitola</w:t>
      </w:r>
      <w:r w:rsidRPr="00C23DB2">
        <w:rPr>
          <w:rFonts w:ascii="Times New Roman" w:hAnsi="Times New Roman" w:cs="Times New Roman"/>
          <w:b/>
          <w:noProof/>
          <w:sz w:val="24"/>
          <w:szCs w:val="24"/>
        </w:rPr>
        <w:t xml:space="preserve"> II </w:t>
      </w:r>
      <w:r w:rsidR="006F24EE">
        <w:rPr>
          <w:rFonts w:ascii="Times New Roman" w:hAnsi="Times New Roman" w:cs="Times New Roman"/>
          <w:b/>
          <w:noProof/>
          <w:sz w:val="24"/>
          <w:szCs w:val="24"/>
        </w:rPr>
        <w:t>–</w:t>
      </w:r>
      <w:r w:rsidRPr="00C23DB2">
        <w:rPr>
          <w:rFonts w:ascii="Times New Roman" w:hAnsi="Times New Roman" w:cs="Times New Roman"/>
          <w:noProof/>
          <w:sz w:val="24"/>
          <w:szCs w:val="24"/>
        </w:rPr>
        <w:t xml:space="preserve"> </w:t>
      </w:r>
      <w:r w:rsidR="006F24EE">
        <w:rPr>
          <w:rFonts w:ascii="Times New Roman" w:hAnsi="Times New Roman" w:cs="Times New Roman"/>
          <w:b/>
          <w:sz w:val="24"/>
          <w:szCs w:val="24"/>
        </w:rPr>
        <w:t>Finančný rámec</w:t>
      </w:r>
    </w:p>
    <w:p w:rsidR="00302CF4" w:rsidRPr="00C23DB2" w:rsidRDefault="00302CF4" w:rsidP="000B57DB">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 xml:space="preserve">Článok </w:t>
      </w:r>
      <w:r w:rsidR="006F24EE">
        <w:rPr>
          <w:rFonts w:ascii="Times New Roman" w:hAnsi="Times New Roman" w:cs="Times New Roman"/>
          <w:i/>
          <w:noProof/>
          <w:sz w:val="24"/>
          <w:szCs w:val="24"/>
        </w:rPr>
        <w:t>5</w:t>
      </w:r>
      <w:r w:rsidRPr="00C23DB2">
        <w:rPr>
          <w:rFonts w:ascii="Times New Roman" w:hAnsi="Times New Roman" w:cs="Times New Roman"/>
          <w:noProof/>
          <w:sz w:val="24"/>
          <w:szCs w:val="24"/>
        </w:rPr>
        <w:t xml:space="preserve"> </w:t>
      </w:r>
      <w:r w:rsidR="006F24EE">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6F24EE">
        <w:rPr>
          <w:rFonts w:ascii="Times New Roman" w:hAnsi="Times New Roman" w:cs="Times New Roman"/>
          <w:b/>
          <w:noProof/>
          <w:sz w:val="24"/>
          <w:szCs w:val="24"/>
        </w:rPr>
        <w:t>Rozpočet</w:t>
      </w:r>
    </w:p>
    <w:p w:rsidR="006F24EE" w:rsidRPr="006F24EE" w:rsidRDefault="006F24EE" w:rsidP="000B57DB">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Stanovuje f</w:t>
      </w:r>
      <w:r w:rsidRPr="006F24EE">
        <w:rPr>
          <w:rFonts w:ascii="Times New Roman" w:hAnsi="Times New Roman" w:cs="Times New Roman"/>
          <w:noProof/>
          <w:sz w:val="24"/>
          <w:szCs w:val="24"/>
        </w:rPr>
        <w:t>inančné krytie na implementáciu ENRF v období 2021 – 2027</w:t>
      </w:r>
      <w:r>
        <w:rPr>
          <w:rFonts w:ascii="Times New Roman" w:hAnsi="Times New Roman" w:cs="Times New Roman"/>
          <w:noProof/>
          <w:sz w:val="24"/>
          <w:szCs w:val="24"/>
        </w:rPr>
        <w:t xml:space="preserve">, ktoré </w:t>
      </w:r>
      <w:r w:rsidRPr="006F24EE">
        <w:rPr>
          <w:rFonts w:ascii="Times New Roman" w:hAnsi="Times New Roman" w:cs="Times New Roman"/>
          <w:noProof/>
          <w:sz w:val="24"/>
          <w:szCs w:val="24"/>
        </w:rPr>
        <w:t xml:space="preserve"> je </w:t>
      </w:r>
      <w:r w:rsidR="00F96D55">
        <w:rPr>
          <w:rFonts w:ascii="Times New Roman" w:hAnsi="Times New Roman" w:cs="Times New Roman"/>
          <w:noProof/>
          <w:sz w:val="24"/>
          <w:szCs w:val="24"/>
        </w:rPr>
        <w:t xml:space="preserve">                </w:t>
      </w:r>
      <w:r w:rsidRPr="006F24EE">
        <w:rPr>
          <w:rFonts w:ascii="Times New Roman" w:hAnsi="Times New Roman" w:cs="Times New Roman"/>
          <w:noProof/>
          <w:sz w:val="24"/>
          <w:szCs w:val="24"/>
        </w:rPr>
        <w:t xml:space="preserve">6 140 </w:t>
      </w:r>
      <w:r>
        <w:rPr>
          <w:rFonts w:ascii="Times New Roman" w:hAnsi="Times New Roman" w:cs="Times New Roman"/>
          <w:noProof/>
          <w:sz w:val="24"/>
          <w:szCs w:val="24"/>
        </w:rPr>
        <w:t xml:space="preserve">mil. </w:t>
      </w:r>
      <w:r w:rsidR="003D12F7">
        <w:rPr>
          <w:rFonts w:ascii="Times New Roman" w:hAnsi="Times New Roman" w:cs="Times New Roman"/>
          <w:noProof/>
          <w:sz w:val="24"/>
          <w:szCs w:val="24"/>
        </w:rPr>
        <w:t>EUR v bežných cenách.</w:t>
      </w:r>
      <w:r w:rsidR="00F96D55">
        <w:rPr>
          <w:rFonts w:ascii="Times New Roman" w:hAnsi="Times New Roman" w:cs="Times New Roman"/>
          <w:noProof/>
          <w:sz w:val="24"/>
          <w:szCs w:val="24"/>
        </w:rPr>
        <w:t xml:space="preserve"> </w:t>
      </w:r>
      <w:r w:rsidRPr="006F24EE">
        <w:rPr>
          <w:rFonts w:ascii="Times New Roman" w:hAnsi="Times New Roman" w:cs="Times New Roman"/>
          <w:noProof/>
          <w:sz w:val="24"/>
          <w:szCs w:val="24"/>
        </w:rPr>
        <w:t xml:space="preserve">Časť finančného krytia alokovaná ENRF podľa hlavy II sa </w:t>
      </w:r>
      <w:r w:rsidR="003D12F7">
        <w:rPr>
          <w:rFonts w:ascii="Times New Roman" w:hAnsi="Times New Roman" w:cs="Times New Roman"/>
          <w:noProof/>
          <w:sz w:val="24"/>
          <w:szCs w:val="24"/>
        </w:rPr>
        <w:t>bude plniť</w:t>
      </w:r>
      <w:r w:rsidRPr="006F24EE">
        <w:rPr>
          <w:rFonts w:ascii="Times New Roman" w:hAnsi="Times New Roman" w:cs="Times New Roman"/>
          <w:noProof/>
          <w:sz w:val="24"/>
          <w:szCs w:val="24"/>
        </w:rPr>
        <w:t xml:space="preserve"> prostredníctvom zdieľaného riadenia v súlade s nariadením (EÚ) č. [všeobecné nariadenie] a</w:t>
      </w:r>
      <w:r w:rsidR="000B57DB">
        <w:rPr>
          <w:rFonts w:ascii="Times New Roman" w:hAnsi="Times New Roman" w:cs="Times New Roman"/>
          <w:noProof/>
          <w:sz w:val="24"/>
          <w:szCs w:val="24"/>
        </w:rPr>
        <w:t> </w:t>
      </w:r>
      <w:r w:rsidRPr="006F24EE">
        <w:rPr>
          <w:rFonts w:ascii="Times New Roman" w:hAnsi="Times New Roman" w:cs="Times New Roman"/>
          <w:noProof/>
          <w:sz w:val="24"/>
          <w:szCs w:val="24"/>
        </w:rPr>
        <w:t>čl</w:t>
      </w:r>
      <w:r w:rsidR="000B57DB">
        <w:rPr>
          <w:rFonts w:ascii="Times New Roman" w:hAnsi="Times New Roman" w:cs="Times New Roman"/>
          <w:noProof/>
          <w:sz w:val="24"/>
          <w:szCs w:val="24"/>
        </w:rPr>
        <w:t>.</w:t>
      </w:r>
      <w:r w:rsidRPr="006F24EE">
        <w:rPr>
          <w:rFonts w:ascii="Times New Roman" w:hAnsi="Times New Roman" w:cs="Times New Roman"/>
          <w:noProof/>
          <w:sz w:val="24"/>
          <w:szCs w:val="24"/>
        </w:rPr>
        <w:t xml:space="preserve"> 63 nariadenia (EÚ) č. [nariadenie o rozpočtových pravidlách, ktoré sa vzťahujú na všeobecný rozpočet Únie].</w:t>
      </w:r>
      <w:r w:rsidR="003D12F7">
        <w:rPr>
          <w:rFonts w:ascii="Times New Roman" w:hAnsi="Times New Roman" w:cs="Times New Roman"/>
          <w:noProof/>
          <w:sz w:val="24"/>
          <w:szCs w:val="24"/>
        </w:rPr>
        <w:t xml:space="preserve"> </w:t>
      </w:r>
      <w:r w:rsidRPr="006F24EE">
        <w:rPr>
          <w:rFonts w:ascii="Times New Roman" w:hAnsi="Times New Roman" w:cs="Times New Roman"/>
          <w:noProof/>
          <w:sz w:val="24"/>
          <w:szCs w:val="24"/>
        </w:rPr>
        <w:t xml:space="preserve">Časť finančného krytia alokovaná ENRF podľa hlavy III sa </w:t>
      </w:r>
      <w:r w:rsidR="003D12F7">
        <w:rPr>
          <w:rFonts w:ascii="Times New Roman" w:hAnsi="Times New Roman" w:cs="Times New Roman"/>
          <w:noProof/>
          <w:sz w:val="24"/>
          <w:szCs w:val="24"/>
        </w:rPr>
        <w:t>bude plniť</w:t>
      </w:r>
      <w:r w:rsidRPr="006F24EE">
        <w:rPr>
          <w:rFonts w:ascii="Times New Roman" w:hAnsi="Times New Roman" w:cs="Times New Roman"/>
          <w:noProof/>
          <w:sz w:val="24"/>
          <w:szCs w:val="24"/>
        </w:rPr>
        <w:t xml:space="preserve"> buď priamo prostredníctvom Komisie v súlade s</w:t>
      </w:r>
      <w:r w:rsidR="00F96D55">
        <w:rPr>
          <w:rFonts w:ascii="Times New Roman" w:hAnsi="Times New Roman" w:cs="Times New Roman"/>
          <w:noProof/>
          <w:sz w:val="24"/>
          <w:szCs w:val="24"/>
        </w:rPr>
        <w:t> </w:t>
      </w:r>
      <w:r w:rsidRPr="006F24EE">
        <w:rPr>
          <w:rFonts w:ascii="Times New Roman" w:hAnsi="Times New Roman" w:cs="Times New Roman"/>
          <w:noProof/>
          <w:sz w:val="24"/>
          <w:szCs w:val="24"/>
        </w:rPr>
        <w:t>čl</w:t>
      </w:r>
      <w:r w:rsidR="00F96D55">
        <w:rPr>
          <w:rFonts w:ascii="Times New Roman" w:hAnsi="Times New Roman" w:cs="Times New Roman"/>
          <w:noProof/>
          <w:sz w:val="24"/>
          <w:szCs w:val="24"/>
        </w:rPr>
        <w:t>.</w:t>
      </w:r>
      <w:r w:rsidRPr="006F24EE">
        <w:rPr>
          <w:rFonts w:ascii="Times New Roman" w:hAnsi="Times New Roman" w:cs="Times New Roman"/>
          <w:noProof/>
          <w:sz w:val="24"/>
          <w:szCs w:val="24"/>
        </w:rPr>
        <w:t xml:space="preserve"> 62 ods. 1 písm. a) nariadenia (EÚ) č. [nariadenie o rozpočtových pravidlách, ktoré sa vzťahujú na všeobecný rozpočet Únie], alebo v rámci nepriameho riadenia v súlade s</w:t>
      </w:r>
      <w:r w:rsidR="00F96D55">
        <w:rPr>
          <w:rFonts w:ascii="Times New Roman" w:hAnsi="Times New Roman" w:cs="Times New Roman"/>
          <w:noProof/>
          <w:sz w:val="24"/>
          <w:szCs w:val="24"/>
        </w:rPr>
        <w:t> </w:t>
      </w:r>
      <w:r w:rsidRPr="006F24EE">
        <w:rPr>
          <w:rFonts w:ascii="Times New Roman" w:hAnsi="Times New Roman" w:cs="Times New Roman"/>
          <w:noProof/>
          <w:sz w:val="24"/>
          <w:szCs w:val="24"/>
        </w:rPr>
        <w:t>čl</w:t>
      </w:r>
      <w:r w:rsidR="00F96D55">
        <w:rPr>
          <w:rFonts w:ascii="Times New Roman" w:hAnsi="Times New Roman" w:cs="Times New Roman"/>
          <w:noProof/>
          <w:sz w:val="24"/>
          <w:szCs w:val="24"/>
        </w:rPr>
        <w:t>.</w:t>
      </w:r>
      <w:r w:rsidRPr="006F24EE">
        <w:rPr>
          <w:rFonts w:ascii="Times New Roman" w:hAnsi="Times New Roman" w:cs="Times New Roman"/>
          <w:noProof/>
          <w:sz w:val="24"/>
          <w:szCs w:val="24"/>
        </w:rPr>
        <w:t xml:space="preserve"> 62 ods. 1 písm. c) daného nariadenia.</w:t>
      </w:r>
    </w:p>
    <w:p w:rsidR="003D12F7" w:rsidRDefault="003D12F7" w:rsidP="003D12F7">
      <w:pPr>
        <w:spacing w:before="120" w:after="0" w:line="240" w:lineRule="auto"/>
        <w:jc w:val="both"/>
        <w:rPr>
          <w:rFonts w:ascii="Times New Roman" w:hAnsi="Times New Roman" w:cs="Times New Roman"/>
          <w:b/>
          <w:noProof/>
          <w:sz w:val="24"/>
          <w:szCs w:val="24"/>
        </w:rPr>
      </w:pPr>
      <w:r>
        <w:rPr>
          <w:rFonts w:ascii="Times New Roman" w:hAnsi="Times New Roman" w:cs="Times New Roman"/>
          <w:i/>
          <w:noProof/>
          <w:sz w:val="24"/>
          <w:szCs w:val="24"/>
        </w:rPr>
        <w:t>Článok 6</w:t>
      </w:r>
      <w:r w:rsidR="00374FD8" w:rsidRPr="00C23DB2">
        <w:rPr>
          <w:rFonts w:ascii="Times New Roman" w:hAnsi="Times New Roman" w:cs="Times New Roman"/>
          <w:noProof/>
          <w:sz w:val="24"/>
          <w:szCs w:val="24"/>
        </w:rPr>
        <w:t xml:space="preserve"> </w:t>
      </w:r>
      <w:r w:rsidR="003A62E7" w:rsidRPr="00C23DB2">
        <w:rPr>
          <w:rFonts w:ascii="Times New Roman" w:hAnsi="Times New Roman" w:cs="Times New Roman"/>
          <w:noProof/>
          <w:sz w:val="24"/>
          <w:szCs w:val="24"/>
        </w:rPr>
        <w:t>–</w:t>
      </w:r>
      <w:r w:rsidR="00374FD8" w:rsidRPr="00C23DB2">
        <w:rPr>
          <w:rFonts w:ascii="Times New Roman" w:hAnsi="Times New Roman" w:cs="Times New Roman"/>
          <w:noProof/>
          <w:sz w:val="24"/>
          <w:szCs w:val="24"/>
        </w:rPr>
        <w:t xml:space="preserve"> </w:t>
      </w:r>
      <w:r w:rsidRPr="003D12F7">
        <w:rPr>
          <w:rFonts w:ascii="Times New Roman" w:hAnsi="Times New Roman" w:cs="Times New Roman"/>
          <w:b/>
          <w:noProof/>
          <w:sz w:val="24"/>
          <w:szCs w:val="24"/>
        </w:rPr>
        <w:t>Rozpočtové prostriedky v rámci zdieľaného riadenia</w:t>
      </w:r>
    </w:p>
    <w:p w:rsidR="00BA7E75" w:rsidRDefault="00476A0F" w:rsidP="00476A0F">
      <w:pPr>
        <w:pStyle w:val="Default"/>
        <w:jc w:val="both"/>
        <w:rPr>
          <w:sz w:val="23"/>
          <w:szCs w:val="23"/>
        </w:rPr>
      </w:pPr>
      <w:r>
        <w:rPr>
          <w:sz w:val="23"/>
          <w:szCs w:val="23"/>
        </w:rPr>
        <w:t xml:space="preserve">Stanovuje časť finančného krytia v rámci zdieľaného riadenia v zmysle hlavy II, ktoré je </w:t>
      </w:r>
      <w:r w:rsidR="008A4106">
        <w:rPr>
          <w:sz w:val="23"/>
          <w:szCs w:val="23"/>
        </w:rPr>
        <w:t xml:space="preserve">                </w:t>
      </w:r>
      <w:r>
        <w:rPr>
          <w:sz w:val="23"/>
          <w:szCs w:val="23"/>
        </w:rPr>
        <w:t xml:space="preserve">5 311 mil. EUR v bežných cenách v súlade s ročným rozdelením stanoveným v prílohe V. </w:t>
      </w:r>
      <w:r w:rsidR="00CF7EFD">
        <w:rPr>
          <w:sz w:val="23"/>
          <w:szCs w:val="23"/>
        </w:rPr>
        <w:t>Ďalej stanovuje</w:t>
      </w:r>
      <w:r w:rsidR="00BA7E75">
        <w:rPr>
          <w:sz w:val="23"/>
          <w:szCs w:val="23"/>
        </w:rPr>
        <w:t>:</w:t>
      </w:r>
    </w:p>
    <w:p w:rsidR="00BA7E75" w:rsidRDefault="00CF7EFD" w:rsidP="00476A0F">
      <w:pPr>
        <w:pStyle w:val="Default"/>
        <w:numPr>
          <w:ilvl w:val="0"/>
          <w:numId w:val="16"/>
        </w:numPr>
        <w:ind w:left="426"/>
        <w:jc w:val="both"/>
        <w:rPr>
          <w:sz w:val="23"/>
          <w:szCs w:val="23"/>
        </w:rPr>
      </w:pPr>
      <w:r>
        <w:rPr>
          <w:sz w:val="23"/>
          <w:szCs w:val="23"/>
        </w:rPr>
        <w:t>minimálnu finančnú podporu Únie pre najvzdialenejšie regióny</w:t>
      </w:r>
      <w:r w:rsidR="001F4F32">
        <w:rPr>
          <w:sz w:val="23"/>
          <w:szCs w:val="23"/>
        </w:rPr>
        <w:t xml:space="preserve"> vrátane minimálnej miery kompenzácie </w:t>
      </w:r>
      <w:r w:rsidR="004768E0">
        <w:rPr>
          <w:sz w:val="23"/>
          <w:szCs w:val="23"/>
        </w:rPr>
        <w:t>dodatočných nákladov na produkty rybolovu a akvakultúry v najvzdialenejších regiónoch</w:t>
      </w:r>
      <w:r w:rsidR="000B57DB">
        <w:rPr>
          <w:sz w:val="23"/>
          <w:szCs w:val="23"/>
        </w:rPr>
        <w:t>;</w:t>
      </w:r>
      <w:r>
        <w:rPr>
          <w:sz w:val="23"/>
          <w:szCs w:val="23"/>
        </w:rPr>
        <w:t xml:space="preserve">  </w:t>
      </w:r>
    </w:p>
    <w:p w:rsidR="00BA7E75" w:rsidRDefault="000B57DB" w:rsidP="00476A0F">
      <w:pPr>
        <w:pStyle w:val="Default"/>
        <w:numPr>
          <w:ilvl w:val="0"/>
          <w:numId w:val="16"/>
        </w:numPr>
        <w:ind w:left="426"/>
        <w:jc w:val="both"/>
        <w:rPr>
          <w:sz w:val="23"/>
          <w:szCs w:val="23"/>
        </w:rPr>
      </w:pPr>
      <w:r>
        <w:rPr>
          <w:sz w:val="23"/>
          <w:szCs w:val="23"/>
        </w:rPr>
        <w:t>m</w:t>
      </w:r>
      <w:r w:rsidR="00BA7E75">
        <w:rPr>
          <w:sz w:val="23"/>
          <w:szCs w:val="23"/>
        </w:rPr>
        <w:t xml:space="preserve">inimálnu mieru finančnej podpory pre rozvoj a realizáciu </w:t>
      </w:r>
      <w:r>
        <w:rPr>
          <w:sz w:val="23"/>
          <w:szCs w:val="23"/>
        </w:rPr>
        <w:t>systému Únie na kon</w:t>
      </w:r>
      <w:r w:rsidR="00BA7E75">
        <w:rPr>
          <w:sz w:val="23"/>
          <w:szCs w:val="23"/>
        </w:rPr>
        <w:t xml:space="preserve">trolu rybárstva (čl. 19) a zber a spracovanie </w:t>
      </w:r>
      <w:r>
        <w:rPr>
          <w:sz w:val="23"/>
          <w:szCs w:val="23"/>
        </w:rPr>
        <w:t xml:space="preserve">údajov </w:t>
      </w:r>
      <w:r w:rsidR="00BA7E75">
        <w:rPr>
          <w:sz w:val="23"/>
          <w:szCs w:val="23"/>
        </w:rPr>
        <w:t>na účely riadenia rybárstva a vedecké účely (čl. 20), ktorá predstavuje 15% f</w:t>
      </w:r>
      <w:r w:rsidR="00476A0F" w:rsidRPr="00BA7E75">
        <w:rPr>
          <w:sz w:val="23"/>
          <w:szCs w:val="23"/>
        </w:rPr>
        <w:t xml:space="preserve">inančnej podpory Únie alokovanej na </w:t>
      </w:r>
      <w:r w:rsidR="00BA7E75">
        <w:rPr>
          <w:sz w:val="23"/>
          <w:szCs w:val="23"/>
        </w:rPr>
        <w:t>ČŠ</w:t>
      </w:r>
      <w:r w:rsidR="00476A0F" w:rsidRPr="00BA7E75">
        <w:rPr>
          <w:sz w:val="23"/>
          <w:szCs w:val="23"/>
        </w:rPr>
        <w:t xml:space="preserve">. </w:t>
      </w:r>
      <w:r w:rsidR="00BA7E75" w:rsidRPr="007D7FC7">
        <w:rPr>
          <w:sz w:val="23"/>
          <w:szCs w:val="23"/>
          <w:u w:val="single"/>
        </w:rPr>
        <w:t>ČŠ</w:t>
      </w:r>
      <w:r w:rsidR="00476A0F" w:rsidRPr="007D7FC7">
        <w:rPr>
          <w:sz w:val="23"/>
          <w:szCs w:val="23"/>
          <w:u w:val="single"/>
        </w:rPr>
        <w:t>, ktoré nemajú prístup k vodám Únie, môžu uplatňovať nižší percentuálny podiel, pokiaľ ide o rozsah ich úloh v oblasti kontroly a zberu ú</w:t>
      </w:r>
      <w:r w:rsidRPr="007D7FC7">
        <w:rPr>
          <w:sz w:val="23"/>
          <w:szCs w:val="23"/>
          <w:u w:val="single"/>
        </w:rPr>
        <w:t>dajov</w:t>
      </w:r>
      <w:r>
        <w:rPr>
          <w:sz w:val="23"/>
          <w:szCs w:val="23"/>
        </w:rPr>
        <w:t>;</w:t>
      </w:r>
      <w:r w:rsidR="00476A0F" w:rsidRPr="00BA7E75">
        <w:rPr>
          <w:sz w:val="23"/>
          <w:szCs w:val="23"/>
        </w:rPr>
        <w:t xml:space="preserve"> </w:t>
      </w:r>
    </w:p>
    <w:p w:rsidR="000B57DB" w:rsidRPr="000B57DB" w:rsidRDefault="000B57DB" w:rsidP="000B57DB">
      <w:pPr>
        <w:pStyle w:val="Default"/>
        <w:numPr>
          <w:ilvl w:val="0"/>
          <w:numId w:val="16"/>
        </w:numPr>
        <w:ind w:left="426"/>
        <w:jc w:val="both"/>
        <w:rPr>
          <w:i/>
          <w:noProof/>
        </w:rPr>
      </w:pPr>
      <w:r>
        <w:rPr>
          <w:sz w:val="23"/>
          <w:szCs w:val="23"/>
        </w:rPr>
        <w:t>maximálne</w:t>
      </w:r>
      <w:r w:rsidR="00BA7E75">
        <w:rPr>
          <w:sz w:val="23"/>
          <w:szCs w:val="23"/>
        </w:rPr>
        <w:t xml:space="preserve"> limit</w:t>
      </w:r>
      <w:r>
        <w:rPr>
          <w:sz w:val="23"/>
          <w:szCs w:val="23"/>
        </w:rPr>
        <w:t>y</w:t>
      </w:r>
      <w:r w:rsidR="00BA7E75">
        <w:rPr>
          <w:sz w:val="23"/>
          <w:szCs w:val="23"/>
        </w:rPr>
        <w:t xml:space="preserve"> finančnej podpory </w:t>
      </w:r>
      <w:r>
        <w:rPr>
          <w:sz w:val="23"/>
          <w:szCs w:val="23"/>
        </w:rPr>
        <w:t xml:space="preserve">pre </w:t>
      </w:r>
      <w:r w:rsidR="00F96D55">
        <w:rPr>
          <w:sz w:val="23"/>
          <w:szCs w:val="23"/>
        </w:rPr>
        <w:t>kompe</w:t>
      </w:r>
      <w:r>
        <w:rPr>
          <w:sz w:val="23"/>
          <w:szCs w:val="23"/>
        </w:rPr>
        <w:t xml:space="preserve">nzácie za trvalé ukončenie rybolovných činností a mimoriadne pozastavenie rybolovných činností </w:t>
      </w:r>
      <w:r w:rsidR="00BA7E75">
        <w:rPr>
          <w:sz w:val="23"/>
          <w:szCs w:val="23"/>
        </w:rPr>
        <w:t>z f</w:t>
      </w:r>
      <w:r w:rsidR="00BA7E75" w:rsidRPr="00BA7E75">
        <w:rPr>
          <w:sz w:val="23"/>
          <w:szCs w:val="23"/>
        </w:rPr>
        <w:t xml:space="preserve">inančnej podpory Únie alokovanej na </w:t>
      </w:r>
      <w:r w:rsidR="00BA7E75">
        <w:rPr>
          <w:sz w:val="23"/>
          <w:szCs w:val="23"/>
        </w:rPr>
        <w:t>ČŠ</w:t>
      </w:r>
      <w:r>
        <w:rPr>
          <w:sz w:val="23"/>
          <w:szCs w:val="23"/>
        </w:rPr>
        <w:t>;</w:t>
      </w:r>
      <w:r w:rsidR="00BA7E75">
        <w:rPr>
          <w:sz w:val="23"/>
          <w:szCs w:val="23"/>
        </w:rPr>
        <w:t xml:space="preserve"> </w:t>
      </w:r>
    </w:p>
    <w:p w:rsidR="003D12F7" w:rsidRDefault="006453A1" w:rsidP="000B57DB">
      <w:pPr>
        <w:pStyle w:val="Default"/>
        <w:numPr>
          <w:ilvl w:val="0"/>
          <w:numId w:val="16"/>
        </w:numPr>
        <w:ind w:left="426"/>
        <w:jc w:val="both"/>
        <w:rPr>
          <w:i/>
          <w:noProof/>
        </w:rPr>
      </w:pPr>
      <w:r>
        <w:rPr>
          <w:sz w:val="23"/>
          <w:szCs w:val="23"/>
        </w:rPr>
        <w:t>možnosť podporovať technickú</w:t>
      </w:r>
      <w:r w:rsidR="000B57DB">
        <w:rPr>
          <w:sz w:val="23"/>
          <w:szCs w:val="23"/>
        </w:rPr>
        <w:t xml:space="preserve"> pomoc určenej na efektívnu správu a využívanie ENRF, a to v súlade s čl.</w:t>
      </w:r>
      <w:r w:rsidR="00476A0F">
        <w:rPr>
          <w:sz w:val="23"/>
          <w:szCs w:val="23"/>
        </w:rPr>
        <w:t xml:space="preserve"> 30 až 32 nariadenia (EÚ) č. [všeobecné nariadenie].</w:t>
      </w:r>
    </w:p>
    <w:p w:rsidR="00374FD8" w:rsidRPr="00C23DB2" w:rsidRDefault="00BA7E75" w:rsidP="000B57DB">
      <w:pPr>
        <w:spacing w:before="120" w:after="0" w:line="240" w:lineRule="auto"/>
        <w:jc w:val="both"/>
        <w:rPr>
          <w:rFonts w:ascii="Times New Roman" w:hAnsi="Times New Roman" w:cs="Times New Roman"/>
          <w:noProof/>
          <w:sz w:val="24"/>
          <w:szCs w:val="24"/>
        </w:rPr>
      </w:pPr>
      <w:r>
        <w:rPr>
          <w:rFonts w:ascii="Times New Roman" w:hAnsi="Times New Roman" w:cs="Times New Roman"/>
          <w:i/>
          <w:noProof/>
          <w:sz w:val="24"/>
          <w:szCs w:val="24"/>
        </w:rPr>
        <w:lastRenderedPageBreak/>
        <w:t>Článok 7</w:t>
      </w:r>
      <w:r w:rsidR="00374FD8" w:rsidRPr="00C23DB2">
        <w:rPr>
          <w:rFonts w:ascii="Times New Roman" w:hAnsi="Times New Roman" w:cs="Times New Roman"/>
          <w:noProof/>
          <w:sz w:val="24"/>
          <w:szCs w:val="24"/>
        </w:rPr>
        <w:t xml:space="preserve"> </w:t>
      </w:r>
      <w:r>
        <w:rPr>
          <w:rFonts w:ascii="Times New Roman" w:hAnsi="Times New Roman" w:cs="Times New Roman"/>
          <w:noProof/>
          <w:sz w:val="24"/>
          <w:szCs w:val="24"/>
        </w:rPr>
        <w:t>–</w:t>
      </w:r>
      <w:r w:rsidR="00374FD8" w:rsidRPr="00C23DB2">
        <w:rPr>
          <w:rFonts w:ascii="Times New Roman" w:hAnsi="Times New Roman" w:cs="Times New Roman"/>
          <w:noProof/>
          <w:sz w:val="24"/>
          <w:szCs w:val="24"/>
        </w:rPr>
        <w:t xml:space="preserve"> </w:t>
      </w:r>
      <w:r w:rsidR="000B57DB" w:rsidRPr="000B57DB">
        <w:rPr>
          <w:rFonts w:ascii="Times New Roman" w:hAnsi="Times New Roman" w:cs="Times New Roman"/>
          <w:b/>
          <w:noProof/>
          <w:sz w:val="24"/>
          <w:szCs w:val="24"/>
        </w:rPr>
        <w:t>Rozdelenie finančných prostriedkov na zdieľané riadenie</w:t>
      </w:r>
    </w:p>
    <w:p w:rsidR="00F96D55" w:rsidRDefault="00F96D55" w:rsidP="00F96D55">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Stanovuje, že p</w:t>
      </w:r>
      <w:r w:rsidRPr="00F96D55">
        <w:rPr>
          <w:rFonts w:ascii="Times New Roman" w:eastAsia="Times New Roman" w:hAnsi="Times New Roman" w:cs="Times New Roman"/>
          <w:bCs/>
          <w:sz w:val="24"/>
          <w:szCs w:val="24"/>
          <w:lang w:eastAsia="sk-SK"/>
        </w:rPr>
        <w:t xml:space="preserve">rostriedky, ktoré sú k dispozícii na záväzky </w:t>
      </w:r>
      <w:r>
        <w:rPr>
          <w:rFonts w:ascii="Times New Roman" w:eastAsia="Times New Roman" w:hAnsi="Times New Roman" w:cs="Times New Roman"/>
          <w:bCs/>
          <w:sz w:val="24"/>
          <w:szCs w:val="24"/>
          <w:lang w:eastAsia="sk-SK"/>
        </w:rPr>
        <w:t>ČŠ</w:t>
      </w:r>
      <w:r w:rsidRPr="00F96D55">
        <w:rPr>
          <w:rFonts w:ascii="Times New Roman" w:eastAsia="Times New Roman" w:hAnsi="Times New Roman" w:cs="Times New Roman"/>
          <w:bCs/>
          <w:sz w:val="24"/>
          <w:szCs w:val="24"/>
          <w:lang w:eastAsia="sk-SK"/>
        </w:rPr>
        <w:t xml:space="preserve"> na obdobie 2021 – 2027, sú stanovené v tabuľke v prílohe V. </w:t>
      </w:r>
    </w:p>
    <w:p w:rsidR="00374FD8" w:rsidRPr="00C23DB2" w:rsidRDefault="00374FD8" w:rsidP="00F96D55">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 xml:space="preserve">Článok </w:t>
      </w:r>
      <w:r w:rsidR="00F96D55">
        <w:rPr>
          <w:rFonts w:ascii="Times New Roman" w:hAnsi="Times New Roman" w:cs="Times New Roman"/>
          <w:i/>
          <w:noProof/>
          <w:sz w:val="24"/>
          <w:szCs w:val="24"/>
        </w:rPr>
        <w:t>8</w:t>
      </w:r>
      <w:r w:rsidRPr="00C23DB2">
        <w:rPr>
          <w:rFonts w:ascii="Times New Roman" w:hAnsi="Times New Roman" w:cs="Times New Roman"/>
          <w:noProof/>
          <w:sz w:val="24"/>
          <w:szCs w:val="24"/>
        </w:rPr>
        <w:t xml:space="preserve"> </w:t>
      </w:r>
      <w:r w:rsidR="003A62E7" w:rsidRPr="00C23DB2">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F96D55" w:rsidRPr="00F96D55">
        <w:rPr>
          <w:rFonts w:ascii="Times New Roman" w:hAnsi="Times New Roman" w:cs="Times New Roman"/>
          <w:b/>
          <w:noProof/>
          <w:sz w:val="24"/>
          <w:szCs w:val="24"/>
        </w:rPr>
        <w:t>Rozpočtové prostriedky v rámci priameho a nepriameho riadenia</w:t>
      </w:r>
    </w:p>
    <w:p w:rsidR="00537216" w:rsidRDefault="00F96D55" w:rsidP="00537216">
      <w:pPr>
        <w:pStyle w:val="Default"/>
        <w:jc w:val="both"/>
        <w:rPr>
          <w:sz w:val="23"/>
          <w:szCs w:val="23"/>
        </w:rPr>
      </w:pPr>
      <w:r>
        <w:rPr>
          <w:sz w:val="23"/>
          <w:szCs w:val="23"/>
        </w:rPr>
        <w:t>Stanovuje, že</w:t>
      </w:r>
      <w:r w:rsidR="00537216">
        <w:rPr>
          <w:sz w:val="23"/>
          <w:szCs w:val="23"/>
        </w:rPr>
        <w:t>:</w:t>
      </w:r>
    </w:p>
    <w:p w:rsidR="00537216" w:rsidRDefault="00F96D55" w:rsidP="00537216">
      <w:pPr>
        <w:pStyle w:val="Default"/>
        <w:numPr>
          <w:ilvl w:val="0"/>
          <w:numId w:val="16"/>
        </w:numPr>
        <w:ind w:left="426"/>
        <w:jc w:val="both"/>
        <w:rPr>
          <w:sz w:val="23"/>
          <w:szCs w:val="23"/>
        </w:rPr>
      </w:pPr>
      <w:r>
        <w:rPr>
          <w:sz w:val="23"/>
          <w:szCs w:val="23"/>
        </w:rPr>
        <w:t>časť finančného krytia v rámci priameho a nepriameho riadenia v zmysle hlavy III predstavuje 829 mil. EUR v bežných cenách, ktoré môžu byť použité na technickú a administratívnu pomoc určenú na implementáciu ENRF, ako sú prípravné, monitorovacie, kontrolné, audítorské a hodnotiace činnosti vrátane systémov informačných technológií na úrovni inštitúcií</w:t>
      </w:r>
      <w:r w:rsidR="00537216">
        <w:rPr>
          <w:sz w:val="23"/>
          <w:szCs w:val="23"/>
        </w:rPr>
        <w:t>;</w:t>
      </w:r>
      <w:r>
        <w:rPr>
          <w:sz w:val="23"/>
          <w:szCs w:val="23"/>
        </w:rPr>
        <w:t xml:space="preserve"> </w:t>
      </w:r>
    </w:p>
    <w:p w:rsidR="00537216" w:rsidRDefault="00537216" w:rsidP="00537216">
      <w:pPr>
        <w:pStyle w:val="Default"/>
        <w:numPr>
          <w:ilvl w:val="0"/>
          <w:numId w:val="16"/>
        </w:numPr>
        <w:ind w:left="426"/>
        <w:jc w:val="both"/>
        <w:rPr>
          <w:sz w:val="23"/>
          <w:szCs w:val="23"/>
        </w:rPr>
      </w:pPr>
      <w:r>
        <w:rPr>
          <w:sz w:val="23"/>
          <w:szCs w:val="23"/>
        </w:rPr>
        <w:t>n</w:t>
      </w:r>
      <w:r w:rsidR="00F96D55">
        <w:rPr>
          <w:sz w:val="23"/>
          <w:szCs w:val="23"/>
        </w:rPr>
        <w:t xml:space="preserve">a podnet Komisie je možné v rámci stropu 1,7 % </w:t>
      </w:r>
      <w:r w:rsidR="001A0D5A">
        <w:rPr>
          <w:sz w:val="23"/>
          <w:szCs w:val="23"/>
        </w:rPr>
        <w:t xml:space="preserve">z celkového </w:t>
      </w:r>
      <w:r w:rsidR="00F96D55">
        <w:rPr>
          <w:sz w:val="23"/>
          <w:szCs w:val="23"/>
        </w:rPr>
        <w:t xml:space="preserve">finančného krytia </w:t>
      </w:r>
      <w:r w:rsidR="001A0D5A">
        <w:rPr>
          <w:sz w:val="23"/>
          <w:szCs w:val="23"/>
        </w:rPr>
        <w:t xml:space="preserve">na implementáciu ENRF na obdobie 2021 – 2027 </w:t>
      </w:r>
      <w:r w:rsidR="00F96D55">
        <w:rPr>
          <w:sz w:val="23"/>
          <w:szCs w:val="23"/>
        </w:rPr>
        <w:t>podporovať najmä technická pomoc na vykonávanie nariadenia o ENRF v zmysle čl. 29 nariadenia (EÚ) č. [všeobecné nariadeni</w:t>
      </w:r>
      <w:r w:rsidR="001A0D5A">
        <w:rPr>
          <w:sz w:val="23"/>
          <w:szCs w:val="23"/>
        </w:rPr>
        <w:t xml:space="preserve">e], ďalej </w:t>
      </w:r>
      <w:r w:rsidR="00F96D55">
        <w:rPr>
          <w:sz w:val="23"/>
          <w:szCs w:val="23"/>
        </w:rPr>
        <w:t>prípravu, monitorovanie a hodnotenie dohôd o partnerstve v odvetví udržateľného rybárstva a účasti Únie v regionálnych organizáciách pre riadenie rybárstva, ako aj zriadenie európskej</w:t>
      </w:r>
      <w:r>
        <w:rPr>
          <w:sz w:val="23"/>
          <w:szCs w:val="23"/>
        </w:rPr>
        <w:t xml:space="preserve"> siete miestnych akčných skupín;</w:t>
      </w:r>
    </w:p>
    <w:p w:rsidR="00F96D55" w:rsidRPr="00537216" w:rsidRDefault="00F96D55" w:rsidP="00537216">
      <w:pPr>
        <w:pStyle w:val="Default"/>
        <w:numPr>
          <w:ilvl w:val="0"/>
          <w:numId w:val="16"/>
        </w:numPr>
        <w:ind w:left="426"/>
        <w:jc w:val="both"/>
        <w:rPr>
          <w:sz w:val="23"/>
          <w:szCs w:val="23"/>
        </w:rPr>
      </w:pPr>
      <w:r>
        <w:rPr>
          <w:sz w:val="23"/>
          <w:szCs w:val="23"/>
        </w:rPr>
        <w:t xml:space="preserve"> </w:t>
      </w:r>
      <w:r w:rsidR="00537216">
        <w:rPr>
          <w:sz w:val="23"/>
          <w:szCs w:val="23"/>
        </w:rPr>
        <w:t>z</w:t>
      </w:r>
      <w:r w:rsidR="00537216" w:rsidRPr="00537216">
        <w:rPr>
          <w:sz w:val="23"/>
          <w:szCs w:val="23"/>
        </w:rPr>
        <w:t xml:space="preserve"> ENRF sa financujú náklady na informačné a komunikačné činnosti súvisiace</w:t>
      </w:r>
      <w:r w:rsidR="00537216">
        <w:rPr>
          <w:sz w:val="23"/>
          <w:szCs w:val="23"/>
        </w:rPr>
        <w:t xml:space="preserve"> s vykonávaním nariadenia o ENRF.</w:t>
      </w:r>
    </w:p>
    <w:p w:rsidR="00537216" w:rsidRPr="00537216" w:rsidRDefault="00537216" w:rsidP="00B61E0A">
      <w:pPr>
        <w:spacing w:before="240" w:after="120" w:line="240" w:lineRule="auto"/>
        <w:jc w:val="both"/>
        <w:rPr>
          <w:rFonts w:ascii="Times New Roman" w:hAnsi="Times New Roman" w:cs="Times New Roman"/>
          <w:b/>
          <w:noProof/>
          <w:sz w:val="24"/>
          <w:szCs w:val="24"/>
        </w:rPr>
      </w:pPr>
      <w:r w:rsidRPr="00537216">
        <w:rPr>
          <w:rFonts w:ascii="Times New Roman" w:hAnsi="Times New Roman" w:cs="Times New Roman"/>
          <w:b/>
          <w:sz w:val="24"/>
          <w:szCs w:val="24"/>
        </w:rPr>
        <w:t>Kapitola</w:t>
      </w:r>
      <w:r w:rsidRPr="00537216">
        <w:rPr>
          <w:rFonts w:ascii="Times New Roman" w:hAnsi="Times New Roman" w:cs="Times New Roman"/>
          <w:b/>
          <w:noProof/>
          <w:sz w:val="24"/>
          <w:szCs w:val="24"/>
        </w:rPr>
        <w:t xml:space="preserve"> </w:t>
      </w:r>
      <w:r>
        <w:rPr>
          <w:rFonts w:ascii="Times New Roman" w:hAnsi="Times New Roman" w:cs="Times New Roman"/>
          <w:b/>
          <w:noProof/>
          <w:sz w:val="24"/>
          <w:szCs w:val="24"/>
        </w:rPr>
        <w:t>I</w:t>
      </w:r>
      <w:r w:rsidRPr="00537216">
        <w:rPr>
          <w:rFonts w:ascii="Times New Roman" w:hAnsi="Times New Roman" w:cs="Times New Roman"/>
          <w:b/>
          <w:noProof/>
          <w:sz w:val="24"/>
          <w:szCs w:val="24"/>
        </w:rPr>
        <w:t>II –</w:t>
      </w:r>
      <w:r w:rsidRPr="00537216">
        <w:rPr>
          <w:rFonts w:ascii="Times New Roman" w:hAnsi="Times New Roman" w:cs="Times New Roman"/>
          <w:noProof/>
          <w:sz w:val="24"/>
          <w:szCs w:val="24"/>
        </w:rPr>
        <w:t xml:space="preserve"> </w:t>
      </w:r>
      <w:r>
        <w:rPr>
          <w:rFonts w:ascii="Times New Roman" w:hAnsi="Times New Roman" w:cs="Times New Roman"/>
          <w:b/>
          <w:sz w:val="24"/>
          <w:szCs w:val="24"/>
        </w:rPr>
        <w:t>Programovanie</w:t>
      </w:r>
    </w:p>
    <w:p w:rsidR="00537216" w:rsidRDefault="00374FD8" w:rsidP="00537216">
      <w:pPr>
        <w:spacing w:before="120" w:after="0" w:line="240" w:lineRule="auto"/>
        <w:jc w:val="both"/>
        <w:rPr>
          <w:i/>
          <w:iCs/>
          <w:sz w:val="23"/>
          <w:szCs w:val="23"/>
        </w:rPr>
      </w:pPr>
      <w:r w:rsidRPr="00C23DB2">
        <w:rPr>
          <w:rFonts w:ascii="Times New Roman" w:hAnsi="Times New Roman" w:cs="Times New Roman"/>
          <w:i/>
          <w:noProof/>
          <w:sz w:val="24"/>
          <w:szCs w:val="24"/>
        </w:rPr>
        <w:t xml:space="preserve">Článok </w:t>
      </w:r>
      <w:r w:rsidR="00537216">
        <w:rPr>
          <w:rFonts w:ascii="Times New Roman" w:hAnsi="Times New Roman" w:cs="Times New Roman"/>
          <w:i/>
          <w:noProof/>
          <w:sz w:val="24"/>
          <w:szCs w:val="24"/>
        </w:rPr>
        <w:t>9</w:t>
      </w:r>
      <w:r w:rsidRPr="00C23DB2">
        <w:rPr>
          <w:rFonts w:ascii="Times New Roman" w:hAnsi="Times New Roman" w:cs="Times New Roman"/>
          <w:noProof/>
          <w:sz w:val="24"/>
          <w:szCs w:val="24"/>
        </w:rPr>
        <w:t xml:space="preserve"> </w:t>
      </w:r>
      <w:r w:rsidR="00A8778F" w:rsidRPr="00C23DB2">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537216" w:rsidRPr="00537216">
        <w:rPr>
          <w:rFonts w:ascii="Times New Roman" w:hAnsi="Times New Roman" w:cs="Times New Roman"/>
          <w:b/>
          <w:noProof/>
          <w:sz w:val="24"/>
          <w:szCs w:val="24"/>
        </w:rPr>
        <w:t>Programovanie podpory v rámci zdieľaného riadenia</w:t>
      </w:r>
      <w:r w:rsidR="00537216">
        <w:rPr>
          <w:i/>
          <w:iCs/>
          <w:sz w:val="23"/>
          <w:szCs w:val="23"/>
        </w:rPr>
        <w:t xml:space="preserve"> </w:t>
      </w:r>
    </w:p>
    <w:p w:rsidR="00537216" w:rsidRPr="00455E7D" w:rsidRDefault="00455E7D" w:rsidP="00455E7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Stanovuje, že v súlade s čl.</w:t>
      </w:r>
      <w:r w:rsidRPr="00455E7D">
        <w:rPr>
          <w:rFonts w:ascii="Times New Roman" w:hAnsi="Times New Roman" w:cs="Times New Roman"/>
          <w:noProof/>
          <w:sz w:val="24"/>
          <w:szCs w:val="24"/>
        </w:rPr>
        <w:t xml:space="preserve"> 16 nariadenia (EÚ) č. [všeobecné nariadenie] každý </w:t>
      </w:r>
      <w:r w:rsidR="008A4106">
        <w:rPr>
          <w:rFonts w:ascii="Times New Roman" w:hAnsi="Times New Roman" w:cs="Times New Roman"/>
          <w:noProof/>
          <w:sz w:val="24"/>
          <w:szCs w:val="24"/>
        </w:rPr>
        <w:t>ČŠ</w:t>
      </w:r>
      <w:r w:rsidRPr="00455E7D">
        <w:rPr>
          <w:rFonts w:ascii="Times New Roman" w:hAnsi="Times New Roman" w:cs="Times New Roman"/>
          <w:noProof/>
          <w:sz w:val="24"/>
          <w:szCs w:val="24"/>
        </w:rPr>
        <w:t xml:space="preserve"> pripraví jediný program na implemen</w:t>
      </w:r>
      <w:r>
        <w:rPr>
          <w:rFonts w:ascii="Times New Roman" w:hAnsi="Times New Roman" w:cs="Times New Roman"/>
          <w:noProof/>
          <w:sz w:val="24"/>
          <w:szCs w:val="24"/>
        </w:rPr>
        <w:t>táciu priorít uvedených v čl.</w:t>
      </w:r>
      <w:r w:rsidR="00163F95">
        <w:rPr>
          <w:rFonts w:ascii="Times New Roman" w:hAnsi="Times New Roman" w:cs="Times New Roman"/>
          <w:noProof/>
          <w:sz w:val="24"/>
          <w:szCs w:val="24"/>
        </w:rPr>
        <w:t xml:space="preserve"> 4, pričom p</w:t>
      </w:r>
      <w:r w:rsidR="00163F95" w:rsidRPr="00163F95">
        <w:rPr>
          <w:rFonts w:ascii="Times New Roman" w:hAnsi="Times New Roman" w:cs="Times New Roman"/>
          <w:noProof/>
          <w:sz w:val="24"/>
          <w:szCs w:val="24"/>
        </w:rPr>
        <w:t>odpora</w:t>
      </w:r>
      <w:r w:rsidR="00163F95">
        <w:rPr>
          <w:rFonts w:ascii="Times New Roman" w:hAnsi="Times New Roman" w:cs="Times New Roman"/>
          <w:noProof/>
          <w:sz w:val="24"/>
          <w:szCs w:val="24"/>
        </w:rPr>
        <w:t xml:space="preserve"> v rámci zdieľaného riadenia (Hlava</w:t>
      </w:r>
      <w:r w:rsidR="00163F95" w:rsidRPr="00163F95">
        <w:rPr>
          <w:rFonts w:ascii="Times New Roman" w:hAnsi="Times New Roman" w:cs="Times New Roman"/>
          <w:noProof/>
          <w:sz w:val="24"/>
          <w:szCs w:val="24"/>
        </w:rPr>
        <w:t xml:space="preserve"> II</w:t>
      </w:r>
      <w:r w:rsidR="00163F95">
        <w:rPr>
          <w:rFonts w:ascii="Times New Roman" w:hAnsi="Times New Roman" w:cs="Times New Roman"/>
          <w:noProof/>
          <w:sz w:val="24"/>
          <w:szCs w:val="24"/>
        </w:rPr>
        <w:t>)</w:t>
      </w:r>
      <w:r w:rsidR="00163F95" w:rsidRPr="00163F95">
        <w:rPr>
          <w:rFonts w:ascii="Times New Roman" w:hAnsi="Times New Roman" w:cs="Times New Roman"/>
          <w:noProof/>
          <w:sz w:val="24"/>
          <w:szCs w:val="24"/>
        </w:rPr>
        <w:t xml:space="preserve"> sa organizuje v oblastiach podpory stano</w:t>
      </w:r>
      <w:r w:rsidR="00163F95">
        <w:rPr>
          <w:rFonts w:ascii="Times New Roman" w:hAnsi="Times New Roman" w:cs="Times New Roman"/>
          <w:noProof/>
          <w:sz w:val="24"/>
          <w:szCs w:val="24"/>
        </w:rPr>
        <w:t>vených v prílohe II,</w:t>
      </w:r>
      <w:r w:rsidR="00163F95" w:rsidRPr="00163F95">
        <w:rPr>
          <w:rFonts w:ascii="Times New Roman" w:hAnsi="Times New Roman" w:cs="Times New Roman"/>
          <w:noProof/>
          <w:sz w:val="24"/>
          <w:szCs w:val="24"/>
        </w:rPr>
        <w:t xml:space="preserve"> </w:t>
      </w:r>
      <w:r w:rsidR="00163F95">
        <w:rPr>
          <w:rFonts w:ascii="Times New Roman" w:hAnsi="Times New Roman" w:cs="Times New Roman"/>
          <w:noProof/>
          <w:sz w:val="24"/>
          <w:szCs w:val="24"/>
        </w:rPr>
        <w:t xml:space="preserve"> a ustanovuje obsahové prvky programu nad rámec </w:t>
      </w:r>
      <w:r w:rsidR="00163F95" w:rsidRPr="00163F95">
        <w:rPr>
          <w:rFonts w:ascii="Times New Roman" w:hAnsi="Times New Roman" w:cs="Times New Roman"/>
          <w:noProof/>
          <w:sz w:val="24"/>
          <w:szCs w:val="24"/>
        </w:rPr>
        <w:t>v čl. 17 nariadenia (EÚ) č. [všeobecné nariadenie]</w:t>
      </w:r>
      <w:r w:rsidR="00163F95">
        <w:rPr>
          <w:rFonts w:ascii="Times New Roman" w:hAnsi="Times New Roman" w:cs="Times New Roman"/>
          <w:noProof/>
          <w:sz w:val="24"/>
          <w:szCs w:val="24"/>
        </w:rPr>
        <w:t>. Ďalej stanovuje povinnosť dotknutým ČŠ</w:t>
      </w:r>
      <w:r w:rsidR="00163F95" w:rsidRPr="00163F95">
        <w:rPr>
          <w:rFonts w:ascii="Times New Roman" w:hAnsi="Times New Roman" w:cs="Times New Roman"/>
          <w:noProof/>
          <w:sz w:val="24"/>
          <w:szCs w:val="24"/>
        </w:rPr>
        <w:t xml:space="preserve"> </w:t>
      </w:r>
      <w:r w:rsidR="00163F95">
        <w:rPr>
          <w:rFonts w:ascii="Times New Roman" w:hAnsi="Times New Roman" w:cs="Times New Roman"/>
          <w:noProof/>
          <w:sz w:val="24"/>
          <w:szCs w:val="24"/>
        </w:rPr>
        <w:t>pripraviť</w:t>
      </w:r>
      <w:r w:rsidR="00163F95" w:rsidRPr="00163F95">
        <w:rPr>
          <w:rFonts w:ascii="Times New Roman" w:hAnsi="Times New Roman" w:cs="Times New Roman"/>
          <w:noProof/>
          <w:sz w:val="24"/>
          <w:szCs w:val="24"/>
        </w:rPr>
        <w:t xml:space="preserve"> v rámci svojho programu akčný plán pre každý zo svojich najvzdialenejších regiónov</w:t>
      </w:r>
      <w:r w:rsidR="00F0375E">
        <w:rPr>
          <w:rFonts w:ascii="Times New Roman" w:hAnsi="Times New Roman" w:cs="Times New Roman"/>
          <w:noProof/>
          <w:sz w:val="24"/>
          <w:szCs w:val="24"/>
        </w:rPr>
        <w:t xml:space="preserve"> a zároveň stanovuje jeho obsahovú náplň. </w:t>
      </w:r>
      <w:r w:rsidR="00C71667" w:rsidRPr="00C71667">
        <w:rPr>
          <w:rFonts w:ascii="Times New Roman" w:hAnsi="Times New Roman" w:cs="Times New Roman"/>
          <w:noProof/>
          <w:sz w:val="24"/>
          <w:szCs w:val="24"/>
        </w:rPr>
        <w:t>Komisia p</w:t>
      </w:r>
      <w:r w:rsidR="00C71667">
        <w:rPr>
          <w:rFonts w:ascii="Times New Roman" w:hAnsi="Times New Roman" w:cs="Times New Roman"/>
          <w:noProof/>
          <w:sz w:val="24"/>
          <w:szCs w:val="24"/>
        </w:rPr>
        <w:t>osúdi program v súlade s čl.</w:t>
      </w:r>
      <w:r w:rsidR="00C71667" w:rsidRPr="00C71667">
        <w:rPr>
          <w:rFonts w:ascii="Times New Roman" w:hAnsi="Times New Roman" w:cs="Times New Roman"/>
          <w:noProof/>
          <w:sz w:val="24"/>
          <w:szCs w:val="24"/>
        </w:rPr>
        <w:t xml:space="preserve"> 18 nariadenia</w:t>
      </w:r>
      <w:r w:rsidR="00C71667">
        <w:rPr>
          <w:rFonts w:ascii="Times New Roman" w:hAnsi="Times New Roman" w:cs="Times New Roman"/>
          <w:noProof/>
          <w:sz w:val="24"/>
          <w:szCs w:val="24"/>
        </w:rPr>
        <w:t xml:space="preserve"> (EÚ) č. [všeobecné nariadenie], pričom prijme vykonávacie akty pre portebu schválenia samotného programu vrátane jeho zmien. </w:t>
      </w:r>
      <w:r w:rsidR="00F0375E">
        <w:rPr>
          <w:rFonts w:ascii="Times New Roman" w:hAnsi="Times New Roman" w:cs="Times New Roman"/>
          <w:noProof/>
          <w:sz w:val="24"/>
          <w:szCs w:val="24"/>
        </w:rPr>
        <w:t>Taktiež stanovuje, že Komisia vypracuje analýzu pre každú morskú oblasť,</w:t>
      </w:r>
      <w:r w:rsidR="00F0375E" w:rsidRPr="00F0375E">
        <w:rPr>
          <w:sz w:val="23"/>
          <w:szCs w:val="23"/>
        </w:rPr>
        <w:t xml:space="preserve"> </w:t>
      </w:r>
      <w:r w:rsidR="00F0375E" w:rsidRPr="00F0375E">
        <w:rPr>
          <w:rFonts w:ascii="Times New Roman" w:hAnsi="Times New Roman" w:cs="Times New Roman"/>
          <w:noProof/>
          <w:sz w:val="24"/>
          <w:szCs w:val="24"/>
        </w:rPr>
        <w:t xml:space="preserve">v ktorej uvedie spoločné silné a slabé stránky danej morskej oblasti z hľadiska dosiahnutia cieľov </w:t>
      </w:r>
      <w:r w:rsidR="00B66F75">
        <w:rPr>
          <w:rFonts w:ascii="Times New Roman" w:hAnsi="Times New Roman" w:cs="Times New Roman"/>
          <w:noProof/>
          <w:sz w:val="24"/>
          <w:szCs w:val="24"/>
        </w:rPr>
        <w:t>SRP</w:t>
      </w:r>
      <w:r w:rsidR="00F0375E" w:rsidRPr="00F0375E">
        <w:rPr>
          <w:rFonts w:ascii="Times New Roman" w:hAnsi="Times New Roman" w:cs="Times New Roman"/>
          <w:noProof/>
          <w:sz w:val="24"/>
          <w:szCs w:val="24"/>
        </w:rPr>
        <w:t xml:space="preserve"> uvedených v</w:t>
      </w:r>
      <w:r w:rsidR="00F0375E">
        <w:rPr>
          <w:rFonts w:ascii="Times New Roman" w:hAnsi="Times New Roman" w:cs="Times New Roman"/>
          <w:noProof/>
          <w:sz w:val="24"/>
          <w:szCs w:val="24"/>
        </w:rPr>
        <w:t> </w:t>
      </w:r>
      <w:r w:rsidR="00F0375E" w:rsidRPr="00F0375E">
        <w:rPr>
          <w:rFonts w:ascii="Times New Roman" w:hAnsi="Times New Roman" w:cs="Times New Roman"/>
          <w:noProof/>
          <w:sz w:val="24"/>
          <w:szCs w:val="24"/>
        </w:rPr>
        <w:t>č</w:t>
      </w:r>
      <w:r w:rsidR="00F0375E">
        <w:rPr>
          <w:rFonts w:ascii="Times New Roman" w:hAnsi="Times New Roman" w:cs="Times New Roman"/>
          <w:noProof/>
          <w:sz w:val="24"/>
          <w:szCs w:val="24"/>
        </w:rPr>
        <w:t>l.</w:t>
      </w:r>
      <w:r w:rsidR="00F0375E" w:rsidRPr="00F0375E">
        <w:rPr>
          <w:rFonts w:ascii="Times New Roman" w:hAnsi="Times New Roman" w:cs="Times New Roman"/>
          <w:noProof/>
          <w:sz w:val="24"/>
          <w:szCs w:val="24"/>
        </w:rPr>
        <w:t xml:space="preserve"> 2 nariadenia (EÚ) č. 1380/2013. V tejto analýze sa prípadne zohľadnia existujúce stratégie pre morské oblasti a makroregionálne stratégie.</w:t>
      </w:r>
      <w:r w:rsidR="00F0375E">
        <w:rPr>
          <w:rFonts w:ascii="Times New Roman" w:hAnsi="Times New Roman" w:cs="Times New Roman"/>
          <w:noProof/>
          <w:sz w:val="24"/>
          <w:szCs w:val="24"/>
        </w:rPr>
        <w:t xml:space="preserve"> </w:t>
      </w:r>
    </w:p>
    <w:p w:rsidR="00537216" w:rsidRPr="00537216" w:rsidRDefault="00537216" w:rsidP="00537216">
      <w:pPr>
        <w:spacing w:before="120" w:after="0" w:line="240" w:lineRule="auto"/>
        <w:jc w:val="both"/>
        <w:rPr>
          <w:rFonts w:ascii="Times New Roman" w:hAnsi="Times New Roman" w:cs="Times New Roman"/>
          <w:noProof/>
          <w:sz w:val="24"/>
          <w:szCs w:val="24"/>
        </w:rPr>
      </w:pPr>
      <w:r>
        <w:rPr>
          <w:rFonts w:ascii="Times New Roman" w:hAnsi="Times New Roman" w:cs="Times New Roman"/>
          <w:i/>
          <w:noProof/>
          <w:sz w:val="24"/>
          <w:szCs w:val="24"/>
        </w:rPr>
        <w:t>Článok 10</w:t>
      </w:r>
      <w:r w:rsidR="00374FD8" w:rsidRPr="00C23DB2">
        <w:rPr>
          <w:rFonts w:ascii="Times New Roman" w:hAnsi="Times New Roman" w:cs="Times New Roman"/>
          <w:i/>
          <w:noProof/>
          <w:sz w:val="24"/>
          <w:szCs w:val="24"/>
        </w:rPr>
        <w:t xml:space="preserve"> </w:t>
      </w:r>
      <w:r>
        <w:rPr>
          <w:rFonts w:ascii="Times New Roman" w:hAnsi="Times New Roman" w:cs="Times New Roman"/>
          <w:noProof/>
          <w:sz w:val="24"/>
          <w:szCs w:val="24"/>
        </w:rPr>
        <w:t>–</w:t>
      </w:r>
      <w:r w:rsidR="00374FD8" w:rsidRPr="00C23DB2">
        <w:rPr>
          <w:rFonts w:ascii="Times New Roman" w:hAnsi="Times New Roman" w:cs="Times New Roman"/>
          <w:noProof/>
          <w:sz w:val="24"/>
          <w:szCs w:val="24"/>
        </w:rPr>
        <w:t xml:space="preserve"> </w:t>
      </w:r>
      <w:r w:rsidRPr="00537216">
        <w:rPr>
          <w:rFonts w:ascii="Times New Roman" w:hAnsi="Times New Roman" w:cs="Times New Roman"/>
          <w:b/>
          <w:noProof/>
          <w:sz w:val="24"/>
          <w:szCs w:val="24"/>
        </w:rPr>
        <w:t>Programovanie podpory v rámci priameho a nepriameho riadenia</w:t>
      </w:r>
      <w:r>
        <w:rPr>
          <w:i/>
          <w:iCs/>
          <w:sz w:val="23"/>
          <w:szCs w:val="23"/>
        </w:rPr>
        <w:t xml:space="preserve"> </w:t>
      </w:r>
    </w:p>
    <w:p w:rsidR="00537216" w:rsidRPr="00537216" w:rsidRDefault="00537216" w:rsidP="0053721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Stanovuje, že </w:t>
      </w:r>
      <w:r w:rsidR="00455E7D">
        <w:rPr>
          <w:rFonts w:ascii="Times New Roman" w:eastAsia="Times New Roman" w:hAnsi="Times New Roman" w:cs="Times New Roman"/>
          <w:bCs/>
          <w:sz w:val="24"/>
          <w:szCs w:val="24"/>
          <w:lang w:eastAsia="sk-SK"/>
        </w:rPr>
        <w:t>podpora v rámci priameho a nepriameho riadenia (</w:t>
      </w:r>
      <w:r w:rsidRPr="00537216">
        <w:rPr>
          <w:rFonts w:ascii="Times New Roman" w:eastAsia="Times New Roman" w:hAnsi="Times New Roman" w:cs="Times New Roman"/>
          <w:bCs/>
          <w:sz w:val="24"/>
          <w:szCs w:val="24"/>
          <w:lang w:eastAsia="sk-SK"/>
        </w:rPr>
        <w:t>Hlava III</w:t>
      </w:r>
      <w:r w:rsidR="00455E7D">
        <w:rPr>
          <w:rFonts w:ascii="Times New Roman" w:eastAsia="Times New Roman" w:hAnsi="Times New Roman" w:cs="Times New Roman"/>
          <w:bCs/>
          <w:sz w:val="24"/>
          <w:szCs w:val="24"/>
          <w:lang w:eastAsia="sk-SK"/>
        </w:rPr>
        <w:t>)</w:t>
      </w:r>
      <w:r w:rsidRPr="00537216">
        <w:rPr>
          <w:rFonts w:ascii="Times New Roman" w:eastAsia="Times New Roman" w:hAnsi="Times New Roman" w:cs="Times New Roman"/>
          <w:bCs/>
          <w:sz w:val="24"/>
          <w:szCs w:val="24"/>
          <w:lang w:eastAsia="sk-SK"/>
        </w:rPr>
        <w:t xml:space="preserve"> sa implementuje prostredníctvom pracovných programov uvedených v</w:t>
      </w:r>
      <w:r>
        <w:rPr>
          <w:rFonts w:ascii="Times New Roman" w:eastAsia="Times New Roman" w:hAnsi="Times New Roman" w:cs="Times New Roman"/>
          <w:bCs/>
          <w:sz w:val="24"/>
          <w:szCs w:val="24"/>
          <w:lang w:eastAsia="sk-SK"/>
        </w:rPr>
        <w:t> čl.</w:t>
      </w:r>
      <w:r w:rsidRPr="00537216">
        <w:rPr>
          <w:rFonts w:ascii="Times New Roman" w:eastAsia="Times New Roman" w:hAnsi="Times New Roman" w:cs="Times New Roman"/>
          <w:bCs/>
          <w:sz w:val="24"/>
          <w:szCs w:val="24"/>
          <w:lang w:eastAsia="sk-SK"/>
        </w:rPr>
        <w:t xml:space="preserve"> 110 nariadenia (EÚ) č. [nariadenie o rozpočtových pravidlách, ktoré sa vzťahujú na všeobecný rozpočet Únie]. V pracovných programoch sa prípadne stanoví celková suma vyčlenená na operácie kombinované</w:t>
      </w:r>
      <w:r>
        <w:rPr>
          <w:rFonts w:ascii="Times New Roman" w:eastAsia="Times New Roman" w:hAnsi="Times New Roman" w:cs="Times New Roman"/>
          <w:bCs/>
          <w:sz w:val="24"/>
          <w:szCs w:val="24"/>
          <w:lang w:eastAsia="sk-SK"/>
        </w:rPr>
        <w:t>ho financovania v zmysle čl.</w:t>
      </w:r>
      <w:r w:rsidRPr="00537216">
        <w:rPr>
          <w:rFonts w:ascii="Times New Roman" w:eastAsia="Times New Roman" w:hAnsi="Times New Roman" w:cs="Times New Roman"/>
          <w:bCs/>
          <w:sz w:val="24"/>
          <w:szCs w:val="24"/>
          <w:lang w:eastAsia="sk-SK"/>
        </w:rPr>
        <w:t xml:space="preserve"> 47.</w:t>
      </w:r>
    </w:p>
    <w:p w:rsidR="00537216" w:rsidRDefault="00537216" w:rsidP="00B61E0A">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HLAVA II: PODPORA V RÁMCI ZDIEĽANÉHO RIADENIA</w:t>
      </w:r>
    </w:p>
    <w:p w:rsidR="00537216" w:rsidRPr="00537216" w:rsidRDefault="00537216" w:rsidP="00B61E0A">
      <w:pPr>
        <w:spacing w:before="240" w:after="120" w:line="240" w:lineRule="auto"/>
        <w:jc w:val="both"/>
        <w:rPr>
          <w:rFonts w:ascii="Times New Roman" w:hAnsi="Times New Roman" w:cs="Times New Roman"/>
          <w:b/>
          <w:noProof/>
          <w:sz w:val="24"/>
          <w:szCs w:val="24"/>
        </w:rPr>
      </w:pPr>
      <w:r w:rsidRPr="00537216">
        <w:rPr>
          <w:rFonts w:ascii="Times New Roman" w:hAnsi="Times New Roman" w:cs="Times New Roman"/>
          <w:b/>
          <w:sz w:val="24"/>
          <w:szCs w:val="24"/>
        </w:rPr>
        <w:t>Kapitola</w:t>
      </w:r>
      <w:r w:rsidRPr="00537216">
        <w:rPr>
          <w:rFonts w:ascii="Times New Roman" w:hAnsi="Times New Roman" w:cs="Times New Roman"/>
          <w:b/>
          <w:noProof/>
          <w:sz w:val="24"/>
          <w:szCs w:val="24"/>
        </w:rPr>
        <w:t xml:space="preserve"> </w:t>
      </w:r>
      <w:r>
        <w:rPr>
          <w:rFonts w:ascii="Times New Roman" w:hAnsi="Times New Roman" w:cs="Times New Roman"/>
          <w:b/>
          <w:noProof/>
          <w:sz w:val="24"/>
          <w:szCs w:val="24"/>
        </w:rPr>
        <w:t>I</w:t>
      </w:r>
      <w:r w:rsidRPr="00537216">
        <w:rPr>
          <w:rFonts w:ascii="Times New Roman" w:hAnsi="Times New Roman" w:cs="Times New Roman"/>
          <w:b/>
          <w:noProof/>
          <w:sz w:val="24"/>
          <w:szCs w:val="24"/>
        </w:rPr>
        <w:t xml:space="preserve"> –</w:t>
      </w:r>
      <w:r w:rsidRPr="00537216">
        <w:rPr>
          <w:rFonts w:ascii="Times New Roman" w:hAnsi="Times New Roman" w:cs="Times New Roman"/>
          <w:noProof/>
          <w:sz w:val="24"/>
          <w:szCs w:val="24"/>
        </w:rPr>
        <w:t xml:space="preserve"> </w:t>
      </w:r>
      <w:r>
        <w:rPr>
          <w:rFonts w:ascii="Times New Roman" w:hAnsi="Times New Roman" w:cs="Times New Roman"/>
          <w:b/>
          <w:sz w:val="24"/>
          <w:szCs w:val="24"/>
        </w:rPr>
        <w:t>Všeobecné zásady podpory</w:t>
      </w:r>
    </w:p>
    <w:p w:rsidR="00374FD8" w:rsidRPr="00C23DB2" w:rsidRDefault="00537216" w:rsidP="001623A8">
      <w:pPr>
        <w:spacing w:before="80" w:after="0" w:line="240" w:lineRule="auto"/>
        <w:jc w:val="both"/>
        <w:rPr>
          <w:rFonts w:ascii="Times New Roman" w:hAnsi="Times New Roman" w:cs="Times New Roman"/>
          <w:noProof/>
          <w:sz w:val="24"/>
          <w:szCs w:val="24"/>
        </w:rPr>
      </w:pPr>
      <w:r>
        <w:rPr>
          <w:rFonts w:ascii="Times New Roman" w:hAnsi="Times New Roman" w:cs="Times New Roman"/>
          <w:i/>
          <w:noProof/>
          <w:sz w:val="24"/>
          <w:szCs w:val="24"/>
        </w:rPr>
        <w:t>Článok 11</w:t>
      </w:r>
      <w:r w:rsidR="00374FD8" w:rsidRPr="00C23DB2">
        <w:rPr>
          <w:rFonts w:ascii="Times New Roman" w:hAnsi="Times New Roman" w:cs="Times New Roman"/>
          <w:noProof/>
          <w:sz w:val="24"/>
          <w:szCs w:val="24"/>
        </w:rPr>
        <w:t xml:space="preserve"> </w:t>
      </w:r>
      <w:r>
        <w:rPr>
          <w:rFonts w:ascii="Times New Roman" w:hAnsi="Times New Roman" w:cs="Times New Roman"/>
          <w:noProof/>
          <w:sz w:val="24"/>
          <w:szCs w:val="24"/>
        </w:rPr>
        <w:t>–</w:t>
      </w:r>
      <w:r w:rsidR="00374FD8" w:rsidRPr="00C23DB2">
        <w:rPr>
          <w:rFonts w:ascii="Times New Roman" w:hAnsi="Times New Roman" w:cs="Times New Roman"/>
          <w:noProof/>
          <w:sz w:val="24"/>
          <w:szCs w:val="24"/>
        </w:rPr>
        <w:t xml:space="preserve"> </w:t>
      </w:r>
      <w:r>
        <w:rPr>
          <w:rFonts w:ascii="Times New Roman" w:hAnsi="Times New Roman" w:cs="Times New Roman"/>
          <w:b/>
          <w:noProof/>
          <w:sz w:val="24"/>
          <w:szCs w:val="24"/>
        </w:rPr>
        <w:t>Štátna pomoc</w:t>
      </w:r>
    </w:p>
    <w:p w:rsidR="00374FD8" w:rsidRPr="00C23DB2" w:rsidRDefault="00C71667" w:rsidP="00C71667">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Stanovuje, že </w:t>
      </w:r>
      <w:r w:rsidRPr="00C71667">
        <w:rPr>
          <w:rFonts w:ascii="Times New Roman" w:eastAsia="Times New Roman" w:hAnsi="Times New Roman" w:cs="Times New Roman"/>
          <w:bCs/>
          <w:sz w:val="24"/>
          <w:szCs w:val="24"/>
          <w:lang w:eastAsia="sk-SK"/>
        </w:rPr>
        <w:t xml:space="preserve">na pomoc poskytovanú </w:t>
      </w:r>
      <w:r>
        <w:rPr>
          <w:rFonts w:ascii="Times New Roman" w:eastAsia="Times New Roman" w:hAnsi="Times New Roman" w:cs="Times New Roman"/>
          <w:bCs/>
          <w:sz w:val="24"/>
          <w:szCs w:val="24"/>
          <w:lang w:eastAsia="sk-SK"/>
        </w:rPr>
        <w:t>ČŠ</w:t>
      </w:r>
      <w:r w:rsidRPr="00C71667">
        <w:rPr>
          <w:rFonts w:ascii="Times New Roman" w:eastAsia="Times New Roman" w:hAnsi="Times New Roman" w:cs="Times New Roman"/>
          <w:bCs/>
          <w:sz w:val="24"/>
          <w:szCs w:val="24"/>
          <w:lang w:eastAsia="sk-SK"/>
        </w:rPr>
        <w:t xml:space="preserve"> podnikom v odvetví rybolovu a akvakultúry sa vzťahuj</w:t>
      </w:r>
      <w:r>
        <w:rPr>
          <w:rFonts w:ascii="Times New Roman" w:eastAsia="Times New Roman" w:hAnsi="Times New Roman" w:cs="Times New Roman"/>
          <w:bCs/>
          <w:sz w:val="24"/>
          <w:szCs w:val="24"/>
          <w:lang w:eastAsia="sk-SK"/>
        </w:rPr>
        <w:t xml:space="preserve">ú čl. 107, 108 a 109 zmluvy, </w:t>
      </w:r>
      <w:r w:rsidRPr="00C71667">
        <w:rPr>
          <w:rFonts w:ascii="Times New Roman" w:eastAsia="Times New Roman" w:hAnsi="Times New Roman" w:cs="Times New Roman"/>
          <w:bCs/>
          <w:sz w:val="24"/>
          <w:szCs w:val="24"/>
          <w:lang w:eastAsia="sk-SK"/>
        </w:rPr>
        <w:t xml:space="preserve">však </w:t>
      </w:r>
      <w:r>
        <w:rPr>
          <w:rFonts w:ascii="Times New Roman" w:eastAsia="Times New Roman" w:hAnsi="Times New Roman" w:cs="Times New Roman"/>
          <w:bCs/>
          <w:sz w:val="24"/>
          <w:szCs w:val="24"/>
          <w:lang w:eastAsia="sk-SK"/>
        </w:rPr>
        <w:t xml:space="preserve">tieto sa </w:t>
      </w:r>
      <w:r w:rsidRPr="00C71667">
        <w:rPr>
          <w:rFonts w:ascii="Times New Roman" w:eastAsia="Times New Roman" w:hAnsi="Times New Roman" w:cs="Times New Roman"/>
          <w:bCs/>
          <w:sz w:val="24"/>
          <w:szCs w:val="24"/>
          <w:lang w:eastAsia="sk-SK"/>
        </w:rPr>
        <w:t xml:space="preserve">nevzťahujú na platby vykonané </w:t>
      </w:r>
      <w:r>
        <w:rPr>
          <w:rFonts w:ascii="Times New Roman" w:eastAsia="Times New Roman" w:hAnsi="Times New Roman" w:cs="Times New Roman"/>
          <w:bCs/>
          <w:sz w:val="24"/>
          <w:szCs w:val="24"/>
          <w:lang w:eastAsia="sk-SK"/>
        </w:rPr>
        <w:t>ČŠ</w:t>
      </w:r>
      <w:r w:rsidRPr="00C71667">
        <w:rPr>
          <w:rFonts w:ascii="Times New Roman" w:eastAsia="Times New Roman" w:hAnsi="Times New Roman" w:cs="Times New Roman"/>
          <w:bCs/>
          <w:sz w:val="24"/>
          <w:szCs w:val="24"/>
          <w:lang w:eastAsia="sk-SK"/>
        </w:rPr>
        <w:t xml:space="preserve"> podľa nariadenia</w:t>
      </w:r>
      <w:r>
        <w:rPr>
          <w:rFonts w:ascii="Times New Roman" w:eastAsia="Times New Roman" w:hAnsi="Times New Roman" w:cs="Times New Roman"/>
          <w:bCs/>
          <w:sz w:val="24"/>
          <w:szCs w:val="24"/>
          <w:lang w:eastAsia="sk-SK"/>
        </w:rPr>
        <w:t xml:space="preserve"> o ENRF</w:t>
      </w:r>
      <w:r w:rsidRPr="00C71667">
        <w:rPr>
          <w:rFonts w:ascii="Times New Roman" w:eastAsia="Times New Roman" w:hAnsi="Times New Roman" w:cs="Times New Roman"/>
          <w:bCs/>
          <w:sz w:val="24"/>
          <w:szCs w:val="24"/>
          <w:lang w:eastAsia="sk-SK"/>
        </w:rPr>
        <w:t>, ktoré patria do rozsahu pôsobnosti článku 42 zmluvy</w:t>
      </w:r>
      <w:r>
        <w:rPr>
          <w:rFonts w:ascii="Times New Roman" w:eastAsia="Times New Roman" w:hAnsi="Times New Roman" w:cs="Times New Roman"/>
          <w:bCs/>
          <w:sz w:val="24"/>
          <w:szCs w:val="24"/>
          <w:lang w:eastAsia="sk-SK"/>
        </w:rPr>
        <w:t>. Tiež stanovuje, že n</w:t>
      </w:r>
      <w:r w:rsidRPr="00C71667">
        <w:rPr>
          <w:rFonts w:ascii="Times New Roman" w:eastAsia="Times New Roman" w:hAnsi="Times New Roman" w:cs="Times New Roman"/>
          <w:bCs/>
          <w:sz w:val="24"/>
          <w:szCs w:val="24"/>
          <w:lang w:eastAsia="sk-SK"/>
        </w:rPr>
        <w:t>a vnútroštátne ustanovenia, ktorými sa zriaďuje financovanie z verejných prostriedkov nad rámec ustanovení nariadenia</w:t>
      </w:r>
      <w:r>
        <w:rPr>
          <w:rFonts w:ascii="Times New Roman" w:eastAsia="Times New Roman" w:hAnsi="Times New Roman" w:cs="Times New Roman"/>
          <w:bCs/>
          <w:sz w:val="24"/>
          <w:szCs w:val="24"/>
          <w:lang w:eastAsia="sk-SK"/>
        </w:rPr>
        <w:t xml:space="preserve"> o ENRF</w:t>
      </w:r>
      <w:r w:rsidRPr="00C71667">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sa ako na celok vzťahujú čl. 107, 108 a 109 zmluvy</w:t>
      </w:r>
      <w:r w:rsidRPr="00C71667">
        <w:rPr>
          <w:rFonts w:ascii="Times New Roman" w:eastAsia="Times New Roman" w:hAnsi="Times New Roman" w:cs="Times New Roman"/>
          <w:bCs/>
          <w:sz w:val="24"/>
          <w:szCs w:val="24"/>
          <w:lang w:eastAsia="sk-SK"/>
        </w:rPr>
        <w:t>.</w:t>
      </w:r>
    </w:p>
    <w:p w:rsidR="00C71667" w:rsidRPr="00C23DB2" w:rsidRDefault="00C71667" w:rsidP="00C71667">
      <w:pPr>
        <w:spacing w:before="120" w:after="0" w:line="240" w:lineRule="auto"/>
        <w:jc w:val="both"/>
        <w:rPr>
          <w:rFonts w:ascii="Times New Roman" w:hAnsi="Times New Roman" w:cs="Times New Roman"/>
          <w:noProof/>
          <w:sz w:val="24"/>
          <w:szCs w:val="24"/>
        </w:rPr>
      </w:pPr>
      <w:r>
        <w:rPr>
          <w:rFonts w:ascii="Times New Roman" w:hAnsi="Times New Roman" w:cs="Times New Roman"/>
          <w:i/>
          <w:noProof/>
          <w:sz w:val="24"/>
          <w:szCs w:val="24"/>
        </w:rPr>
        <w:lastRenderedPageBreak/>
        <w:t>Článok 12</w:t>
      </w:r>
      <w:r w:rsidRPr="00C23DB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Pr>
          <w:rFonts w:ascii="Times New Roman" w:hAnsi="Times New Roman" w:cs="Times New Roman"/>
          <w:b/>
          <w:noProof/>
          <w:sz w:val="24"/>
          <w:szCs w:val="24"/>
        </w:rPr>
        <w:t>Prípustnosť žiadostí</w:t>
      </w:r>
    </w:p>
    <w:p w:rsidR="00537216" w:rsidRPr="00C71667" w:rsidRDefault="00C71667" w:rsidP="00C7166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Definuje </w:t>
      </w:r>
      <w:r w:rsidR="007D7FC7">
        <w:rPr>
          <w:rFonts w:ascii="Times New Roman" w:hAnsi="Times New Roman" w:cs="Times New Roman"/>
          <w:noProof/>
          <w:sz w:val="24"/>
          <w:szCs w:val="24"/>
        </w:rPr>
        <w:t>podmienky prípustnosti žiadosti</w:t>
      </w:r>
      <w:r>
        <w:rPr>
          <w:rFonts w:ascii="Times New Roman" w:hAnsi="Times New Roman" w:cs="Times New Roman"/>
          <w:noProof/>
          <w:sz w:val="24"/>
          <w:szCs w:val="24"/>
        </w:rPr>
        <w:t xml:space="preserve"> o podporu z ENRF </w:t>
      </w:r>
      <w:r w:rsidR="007D7FC7">
        <w:rPr>
          <w:rFonts w:ascii="Times New Roman" w:hAnsi="Times New Roman" w:cs="Times New Roman"/>
          <w:noProof/>
          <w:sz w:val="24"/>
          <w:szCs w:val="24"/>
        </w:rPr>
        <w:t xml:space="preserve">predloženej </w:t>
      </w:r>
      <w:r w:rsidR="007D7FC7" w:rsidRPr="008A4106">
        <w:rPr>
          <w:rFonts w:ascii="Times New Roman" w:hAnsi="Times New Roman" w:cs="Times New Roman"/>
          <w:noProof/>
          <w:sz w:val="24"/>
          <w:szCs w:val="24"/>
          <w:u w:val="single"/>
        </w:rPr>
        <w:t>prijímateľom, ktorý musí spĺňať podmienky prípustnosti počas celého obdobia implementácie operácie, ako aj počas obdobia piatich rokov po záverečnej platbe</w:t>
      </w:r>
      <w:r w:rsidR="007D7FC7" w:rsidRPr="007D7FC7">
        <w:rPr>
          <w:rFonts w:ascii="Times New Roman" w:hAnsi="Times New Roman" w:cs="Times New Roman"/>
          <w:noProof/>
          <w:sz w:val="24"/>
          <w:szCs w:val="24"/>
        </w:rPr>
        <w:t>.</w:t>
      </w:r>
      <w:r w:rsidR="00D1078B" w:rsidRPr="00D1078B">
        <w:rPr>
          <w:rFonts w:ascii="Times New Roman" w:hAnsi="Times New Roman" w:cs="Times New Roman"/>
          <w:noProof/>
          <w:sz w:val="24"/>
          <w:szCs w:val="24"/>
        </w:rPr>
        <w:t xml:space="preserve"> </w:t>
      </w:r>
      <w:r w:rsidR="00D1078B">
        <w:rPr>
          <w:rFonts w:ascii="Times New Roman" w:hAnsi="Times New Roman" w:cs="Times New Roman"/>
          <w:noProof/>
          <w:sz w:val="24"/>
          <w:szCs w:val="24"/>
        </w:rPr>
        <w:t>Ďalej</w:t>
      </w:r>
      <w:r w:rsidR="00D1078B" w:rsidRPr="00D1078B">
        <w:rPr>
          <w:rFonts w:ascii="Times New Roman" w:hAnsi="Times New Roman" w:cs="Times New Roman"/>
          <w:noProof/>
          <w:sz w:val="24"/>
          <w:szCs w:val="24"/>
        </w:rPr>
        <w:t xml:space="preserve"> stanovuje postup preuk</w:t>
      </w:r>
      <w:r w:rsidR="00D1078B">
        <w:rPr>
          <w:rFonts w:ascii="Times New Roman" w:hAnsi="Times New Roman" w:cs="Times New Roman"/>
          <w:noProof/>
          <w:sz w:val="24"/>
          <w:szCs w:val="24"/>
        </w:rPr>
        <w:t>ázania splnenia týchto podmienok</w:t>
      </w:r>
      <w:r w:rsidR="00D1078B" w:rsidRPr="00D1078B">
        <w:rPr>
          <w:rFonts w:ascii="Times New Roman" w:hAnsi="Times New Roman" w:cs="Times New Roman"/>
          <w:noProof/>
          <w:sz w:val="24"/>
          <w:szCs w:val="24"/>
        </w:rPr>
        <w:t xml:space="preserve"> zo strany prijímateľa a spôsob </w:t>
      </w:r>
      <w:r w:rsidR="00D1078B">
        <w:rPr>
          <w:rFonts w:ascii="Times New Roman" w:hAnsi="Times New Roman" w:cs="Times New Roman"/>
          <w:noProof/>
          <w:sz w:val="24"/>
          <w:szCs w:val="24"/>
        </w:rPr>
        <w:t xml:space="preserve">ich </w:t>
      </w:r>
      <w:r w:rsidR="00D1078B" w:rsidRPr="00D1078B">
        <w:rPr>
          <w:rFonts w:ascii="Times New Roman" w:hAnsi="Times New Roman" w:cs="Times New Roman"/>
          <w:noProof/>
          <w:sz w:val="24"/>
          <w:szCs w:val="24"/>
        </w:rPr>
        <w:t>overenia zo</w:t>
      </w:r>
      <w:r w:rsidR="00D1078B">
        <w:rPr>
          <w:rFonts w:ascii="Times New Roman" w:hAnsi="Times New Roman" w:cs="Times New Roman"/>
          <w:noProof/>
          <w:sz w:val="24"/>
          <w:szCs w:val="24"/>
        </w:rPr>
        <w:t xml:space="preserve"> strany ČŠ</w:t>
      </w:r>
      <w:r w:rsidR="00D1078B" w:rsidRPr="00D1078B">
        <w:rPr>
          <w:rFonts w:ascii="Times New Roman" w:hAnsi="Times New Roman" w:cs="Times New Roman"/>
          <w:noProof/>
          <w:sz w:val="24"/>
          <w:szCs w:val="24"/>
        </w:rPr>
        <w:t>.</w:t>
      </w:r>
      <w:r w:rsidR="00D1078B">
        <w:rPr>
          <w:rFonts w:ascii="Times New Roman" w:hAnsi="Times New Roman" w:cs="Times New Roman"/>
          <w:noProof/>
          <w:sz w:val="24"/>
          <w:szCs w:val="24"/>
        </w:rPr>
        <w:t xml:space="preserve"> Pre stanovejnie obdobia neprípustnosti žiadosti Komisia príjme delegoavné akty.</w:t>
      </w:r>
      <w:r w:rsidR="00D1078B" w:rsidRPr="00D1078B">
        <w:rPr>
          <w:rFonts w:ascii="Times New Roman" w:hAnsi="Times New Roman" w:cs="Times New Roman"/>
          <w:noProof/>
          <w:sz w:val="24"/>
          <w:szCs w:val="24"/>
        </w:rPr>
        <w:t xml:space="preserve"> </w:t>
      </w:r>
    </w:p>
    <w:p w:rsidR="00374FD8" w:rsidRPr="00C23DB2" w:rsidRDefault="00374FD8" w:rsidP="00D1078B">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 xml:space="preserve">Článok 13 </w:t>
      </w:r>
      <w:r w:rsidR="00D1078B">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D1078B">
        <w:rPr>
          <w:rFonts w:ascii="Times New Roman" w:hAnsi="Times New Roman" w:cs="Times New Roman"/>
          <w:b/>
          <w:noProof/>
          <w:sz w:val="24"/>
          <w:szCs w:val="24"/>
        </w:rPr>
        <w:t>Neoprávnené operácie</w:t>
      </w:r>
    </w:p>
    <w:p w:rsidR="00D1078B" w:rsidRPr="00D1078B" w:rsidRDefault="00D1078B" w:rsidP="00D1078B">
      <w:pPr>
        <w:spacing w:after="0" w:line="240" w:lineRule="auto"/>
        <w:jc w:val="both"/>
        <w:rPr>
          <w:rFonts w:ascii="Times New Roman" w:hAnsi="Times New Roman" w:cs="Times New Roman"/>
          <w:noProof/>
          <w:sz w:val="24"/>
          <w:szCs w:val="24"/>
        </w:rPr>
      </w:pPr>
      <w:r w:rsidRPr="00D1078B">
        <w:rPr>
          <w:rFonts w:ascii="Times New Roman" w:hAnsi="Times New Roman" w:cs="Times New Roman"/>
          <w:noProof/>
          <w:sz w:val="24"/>
          <w:szCs w:val="24"/>
        </w:rPr>
        <w:t>Definuje neoprávnené operácie v rámci ENRF.</w:t>
      </w:r>
    </w:p>
    <w:p w:rsidR="00D1078B" w:rsidRDefault="00D1078B" w:rsidP="00B61E0A">
      <w:pPr>
        <w:spacing w:before="240" w:after="120" w:line="240" w:lineRule="auto"/>
        <w:jc w:val="both"/>
        <w:rPr>
          <w:rFonts w:ascii="Times New Roman" w:hAnsi="Times New Roman" w:cs="Times New Roman"/>
          <w:b/>
          <w:noProof/>
          <w:sz w:val="24"/>
          <w:szCs w:val="24"/>
        </w:rPr>
      </w:pPr>
      <w:r w:rsidRPr="00D1078B">
        <w:rPr>
          <w:rFonts w:ascii="Times New Roman" w:hAnsi="Times New Roman" w:cs="Times New Roman"/>
          <w:b/>
          <w:noProof/>
          <w:sz w:val="24"/>
          <w:szCs w:val="24"/>
        </w:rPr>
        <w:t>Kapitola I</w:t>
      </w:r>
      <w:r>
        <w:rPr>
          <w:rFonts w:ascii="Times New Roman" w:hAnsi="Times New Roman" w:cs="Times New Roman"/>
          <w:b/>
          <w:noProof/>
          <w:sz w:val="24"/>
          <w:szCs w:val="24"/>
        </w:rPr>
        <w:t xml:space="preserve">I – Priorita 1: </w:t>
      </w:r>
      <w:r w:rsidRPr="00D1078B">
        <w:rPr>
          <w:rFonts w:ascii="Times New Roman" w:hAnsi="Times New Roman" w:cs="Times New Roman"/>
          <w:b/>
          <w:noProof/>
          <w:sz w:val="24"/>
          <w:szCs w:val="24"/>
        </w:rPr>
        <w:t>Podpora udržateľného rybolovu a ochrany morských biologických zdrojov</w:t>
      </w:r>
    </w:p>
    <w:p w:rsidR="00D1078B" w:rsidRPr="00D1078B" w:rsidRDefault="00D1078B" w:rsidP="00B61E0A">
      <w:pPr>
        <w:spacing w:before="240" w:after="240" w:line="240" w:lineRule="auto"/>
        <w:jc w:val="both"/>
        <w:rPr>
          <w:rFonts w:ascii="Times New Roman" w:hAnsi="Times New Roman" w:cs="Times New Roman"/>
          <w:noProof/>
          <w:sz w:val="24"/>
          <w:szCs w:val="24"/>
          <w:u w:val="single"/>
        </w:rPr>
      </w:pPr>
      <w:r w:rsidRPr="00D1078B">
        <w:rPr>
          <w:rFonts w:ascii="Times New Roman" w:hAnsi="Times New Roman" w:cs="Times New Roman"/>
          <w:noProof/>
          <w:sz w:val="24"/>
          <w:szCs w:val="24"/>
          <w:u w:val="single"/>
        </w:rPr>
        <w:t>Oddiel 1 – Všeobecné podmienky</w:t>
      </w:r>
    </w:p>
    <w:p w:rsidR="00374FD8" w:rsidRPr="00C23DB2" w:rsidRDefault="00374FD8" w:rsidP="00D1078B">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14</w:t>
      </w:r>
      <w:r w:rsidRPr="00C23DB2">
        <w:rPr>
          <w:rFonts w:ascii="Times New Roman" w:hAnsi="Times New Roman" w:cs="Times New Roman"/>
          <w:noProof/>
          <w:sz w:val="24"/>
          <w:szCs w:val="24"/>
        </w:rPr>
        <w:t xml:space="preserve"> </w:t>
      </w:r>
      <w:r w:rsidR="00D1078B">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D1078B" w:rsidRPr="00D1078B">
        <w:rPr>
          <w:rFonts w:ascii="Times New Roman" w:hAnsi="Times New Roman" w:cs="Times New Roman"/>
          <w:b/>
          <w:noProof/>
          <w:sz w:val="24"/>
          <w:szCs w:val="24"/>
        </w:rPr>
        <w:t>Všeobecný rozsah podpory</w:t>
      </w:r>
    </w:p>
    <w:p w:rsidR="00D1078B" w:rsidRDefault="00D1078B" w:rsidP="008A4106">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Stanovuje, že p</w:t>
      </w:r>
      <w:r w:rsidRPr="00D1078B">
        <w:rPr>
          <w:rFonts w:ascii="Times New Roman" w:hAnsi="Times New Roman" w:cs="Times New Roman"/>
          <w:noProof/>
          <w:sz w:val="24"/>
          <w:szCs w:val="24"/>
        </w:rPr>
        <w:t>odpora podľa tejto kapitoly prispieva k plneniu cieľov SRP v environmentálnej, hospodárskej a sociálnej oblasti, ako aj v oblasti zamestnanosti, ktoré sú stanovené v článku</w:t>
      </w:r>
      <w:r>
        <w:rPr>
          <w:rFonts w:ascii="Times New Roman" w:hAnsi="Times New Roman" w:cs="Times New Roman"/>
          <w:noProof/>
          <w:sz w:val="24"/>
          <w:szCs w:val="24"/>
        </w:rPr>
        <w:t xml:space="preserve"> 2 nariadenia (EÚ) č. 1380/2013 a </w:t>
      </w:r>
      <w:r w:rsidRPr="00D1078B">
        <w:rPr>
          <w:rFonts w:ascii="Times New Roman" w:hAnsi="Times New Roman" w:cs="Times New Roman"/>
          <w:noProof/>
          <w:sz w:val="24"/>
          <w:szCs w:val="24"/>
        </w:rPr>
        <w:t>sa vzťahuje aj na vnútroz</w:t>
      </w:r>
      <w:r>
        <w:rPr>
          <w:rFonts w:ascii="Times New Roman" w:hAnsi="Times New Roman" w:cs="Times New Roman"/>
          <w:noProof/>
          <w:sz w:val="24"/>
          <w:szCs w:val="24"/>
        </w:rPr>
        <w:t>emský rybolov s výnimkou čl.</w:t>
      </w:r>
      <w:r w:rsidRPr="00D1078B">
        <w:rPr>
          <w:rFonts w:ascii="Times New Roman" w:hAnsi="Times New Roman" w:cs="Times New Roman"/>
          <w:noProof/>
          <w:sz w:val="24"/>
          <w:szCs w:val="24"/>
        </w:rPr>
        <w:t xml:space="preserve"> 15 a</w:t>
      </w:r>
      <w:r>
        <w:rPr>
          <w:rFonts w:ascii="Times New Roman" w:hAnsi="Times New Roman" w:cs="Times New Roman"/>
          <w:noProof/>
          <w:sz w:val="24"/>
          <w:szCs w:val="24"/>
        </w:rPr>
        <w:t> </w:t>
      </w:r>
      <w:r w:rsidRPr="00D1078B">
        <w:rPr>
          <w:rFonts w:ascii="Times New Roman" w:hAnsi="Times New Roman" w:cs="Times New Roman"/>
          <w:noProof/>
          <w:sz w:val="24"/>
          <w:szCs w:val="24"/>
        </w:rPr>
        <w:t>17</w:t>
      </w:r>
      <w:r>
        <w:rPr>
          <w:rFonts w:ascii="Times New Roman" w:hAnsi="Times New Roman" w:cs="Times New Roman"/>
          <w:noProof/>
          <w:sz w:val="24"/>
          <w:szCs w:val="24"/>
        </w:rPr>
        <w:t xml:space="preserve">. </w:t>
      </w:r>
    </w:p>
    <w:p w:rsidR="00D1078B" w:rsidRPr="00D1078B" w:rsidRDefault="00D1078B" w:rsidP="008A4106">
      <w:pPr>
        <w:spacing w:before="240" w:after="240" w:line="240" w:lineRule="auto"/>
        <w:jc w:val="both"/>
        <w:rPr>
          <w:rFonts w:ascii="Times New Roman" w:hAnsi="Times New Roman" w:cs="Times New Roman"/>
          <w:noProof/>
          <w:sz w:val="24"/>
          <w:szCs w:val="24"/>
          <w:u w:val="single"/>
        </w:rPr>
      </w:pPr>
      <w:r w:rsidRPr="00D1078B">
        <w:rPr>
          <w:rFonts w:ascii="Times New Roman" w:hAnsi="Times New Roman" w:cs="Times New Roman"/>
          <w:noProof/>
          <w:sz w:val="24"/>
          <w:szCs w:val="24"/>
          <w:u w:val="single"/>
        </w:rPr>
        <w:t xml:space="preserve">Oddiel 2 – </w:t>
      </w:r>
      <w:r w:rsidR="00BE4480">
        <w:rPr>
          <w:rFonts w:ascii="Times New Roman" w:hAnsi="Times New Roman" w:cs="Times New Roman"/>
          <w:noProof/>
          <w:sz w:val="24"/>
          <w:szCs w:val="24"/>
          <w:u w:val="single"/>
        </w:rPr>
        <w:t>M</w:t>
      </w:r>
      <w:r>
        <w:rPr>
          <w:rFonts w:ascii="Times New Roman" w:hAnsi="Times New Roman" w:cs="Times New Roman"/>
          <w:noProof/>
          <w:sz w:val="24"/>
          <w:szCs w:val="24"/>
          <w:u w:val="single"/>
        </w:rPr>
        <w:t>aloobjemový pobrežný rybolov</w:t>
      </w:r>
    </w:p>
    <w:p w:rsidR="00374FD8" w:rsidRPr="00C23DB2" w:rsidRDefault="00374FD8" w:rsidP="00D1078B">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15</w:t>
      </w:r>
      <w:r w:rsidRPr="00C23DB2">
        <w:rPr>
          <w:rFonts w:ascii="Times New Roman" w:hAnsi="Times New Roman" w:cs="Times New Roman"/>
          <w:noProof/>
          <w:sz w:val="24"/>
          <w:szCs w:val="24"/>
        </w:rPr>
        <w:t xml:space="preserve"> </w:t>
      </w:r>
      <w:r w:rsidR="00BE4480">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BE4480" w:rsidRPr="00BE4480">
        <w:rPr>
          <w:rFonts w:ascii="Times New Roman" w:hAnsi="Times New Roman" w:cs="Times New Roman"/>
          <w:b/>
          <w:noProof/>
          <w:sz w:val="24"/>
          <w:szCs w:val="24"/>
        </w:rPr>
        <w:t>Akčný plán pre maloobjemový pobrežný rybolov</w:t>
      </w:r>
    </w:p>
    <w:p w:rsidR="00BE4480" w:rsidRPr="00BE4480" w:rsidRDefault="00BE4480" w:rsidP="008A4106">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Stanovuje povinnť ČŠ v</w:t>
      </w:r>
      <w:r w:rsidRPr="00BE4480">
        <w:rPr>
          <w:rFonts w:ascii="Times New Roman" w:hAnsi="Times New Roman" w:cs="Times New Roman"/>
          <w:noProof/>
          <w:sz w:val="24"/>
          <w:szCs w:val="24"/>
        </w:rPr>
        <w:t xml:space="preserve"> rámci svojich programov priprav</w:t>
      </w:r>
      <w:r>
        <w:rPr>
          <w:rFonts w:ascii="Times New Roman" w:hAnsi="Times New Roman" w:cs="Times New Roman"/>
          <w:noProof/>
          <w:sz w:val="24"/>
          <w:szCs w:val="24"/>
        </w:rPr>
        <w:t>iť</w:t>
      </w:r>
      <w:r w:rsidRPr="00BE4480">
        <w:rPr>
          <w:rFonts w:ascii="Times New Roman" w:hAnsi="Times New Roman" w:cs="Times New Roman"/>
          <w:noProof/>
          <w:sz w:val="24"/>
          <w:szCs w:val="24"/>
        </w:rPr>
        <w:t xml:space="preserve"> akčný plán pre maloobjemový pobrežný rybolov, v ktorom sa stanoví stratégia rozvoja ziskového a udržateľného mal</w:t>
      </w:r>
      <w:r>
        <w:rPr>
          <w:rFonts w:ascii="Times New Roman" w:hAnsi="Times New Roman" w:cs="Times New Roman"/>
          <w:noProof/>
          <w:sz w:val="24"/>
          <w:szCs w:val="24"/>
        </w:rPr>
        <w:t>oobjemového pobrežného rybolovu, pričom definuje obsahovú štruktúru tejto stratégie vrátane požiadaviek pre akčný plán.</w:t>
      </w:r>
      <w:r w:rsidRPr="00BE4480">
        <w:rPr>
          <w:rFonts w:ascii="Times New Roman" w:hAnsi="Times New Roman" w:cs="Times New Roman"/>
          <w:noProof/>
          <w:sz w:val="24"/>
          <w:szCs w:val="24"/>
        </w:rPr>
        <w:t xml:space="preserve"> </w:t>
      </w:r>
    </w:p>
    <w:p w:rsidR="00BE4480" w:rsidRPr="00BE4480" w:rsidRDefault="00374FD8" w:rsidP="00BE4480">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16</w:t>
      </w:r>
      <w:r w:rsidRPr="00C23DB2">
        <w:rPr>
          <w:rFonts w:ascii="Times New Roman" w:hAnsi="Times New Roman" w:cs="Times New Roman"/>
          <w:noProof/>
          <w:sz w:val="24"/>
          <w:szCs w:val="24"/>
        </w:rPr>
        <w:t xml:space="preserve"> </w:t>
      </w:r>
      <w:r w:rsidR="00BE4480">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BE4480" w:rsidRPr="00BE4480">
        <w:rPr>
          <w:rFonts w:ascii="Times New Roman" w:hAnsi="Times New Roman" w:cs="Times New Roman"/>
          <w:b/>
          <w:noProof/>
          <w:sz w:val="24"/>
          <w:szCs w:val="24"/>
        </w:rPr>
        <w:t xml:space="preserve">Investície do plavidiel vykonávajúcich maloobjemový pobrežný rybolov </w:t>
      </w:r>
    </w:p>
    <w:p w:rsidR="00BE4480" w:rsidRPr="00BE4480" w:rsidRDefault="00BE4480" w:rsidP="00BE4480">
      <w:pPr>
        <w:spacing w:after="0" w:line="240" w:lineRule="auto"/>
        <w:jc w:val="both"/>
        <w:rPr>
          <w:rFonts w:ascii="Times New Roman" w:hAnsi="Times New Roman" w:cs="Times New Roman"/>
          <w:noProof/>
          <w:sz w:val="24"/>
          <w:szCs w:val="24"/>
        </w:rPr>
      </w:pPr>
      <w:r w:rsidRPr="00BE4480">
        <w:rPr>
          <w:rFonts w:ascii="Times New Roman" w:hAnsi="Times New Roman" w:cs="Times New Roman"/>
          <w:noProof/>
          <w:sz w:val="24"/>
          <w:szCs w:val="24"/>
        </w:rPr>
        <w:t>Definuje typy podprovaných in</w:t>
      </w:r>
      <w:r>
        <w:rPr>
          <w:rFonts w:ascii="Times New Roman" w:hAnsi="Times New Roman" w:cs="Times New Roman"/>
          <w:noProof/>
          <w:sz w:val="24"/>
          <w:szCs w:val="24"/>
        </w:rPr>
        <w:t>vestícií, podmienky poskytnutia podpory pre plavidlá vykonávajúce maloobjemový pobrežný rybolov.</w:t>
      </w:r>
    </w:p>
    <w:p w:rsidR="00BE4480" w:rsidRPr="00BE4480" w:rsidRDefault="00BE4480" w:rsidP="00B61E0A">
      <w:pPr>
        <w:spacing w:before="240" w:after="24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Oddiel 3</w:t>
      </w:r>
      <w:r w:rsidRPr="00BE4480">
        <w:rPr>
          <w:rFonts w:ascii="Times New Roman" w:hAnsi="Times New Roman" w:cs="Times New Roman"/>
          <w:noProof/>
          <w:sz w:val="24"/>
          <w:szCs w:val="24"/>
          <w:u w:val="single"/>
        </w:rPr>
        <w:t xml:space="preserve"> – </w:t>
      </w:r>
      <w:r>
        <w:rPr>
          <w:rFonts w:ascii="Times New Roman" w:hAnsi="Times New Roman" w:cs="Times New Roman"/>
          <w:noProof/>
          <w:sz w:val="24"/>
          <w:szCs w:val="24"/>
          <w:u w:val="single"/>
        </w:rPr>
        <w:t>Osobitné oblasti podpory</w:t>
      </w:r>
    </w:p>
    <w:p w:rsidR="00374FD8" w:rsidRPr="00C23DB2" w:rsidRDefault="00374FD8" w:rsidP="00BE4480">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17</w:t>
      </w:r>
      <w:r w:rsidRPr="00C23DB2">
        <w:rPr>
          <w:rFonts w:ascii="Times New Roman" w:hAnsi="Times New Roman" w:cs="Times New Roman"/>
          <w:noProof/>
          <w:sz w:val="24"/>
          <w:szCs w:val="24"/>
        </w:rPr>
        <w:t xml:space="preserve"> </w:t>
      </w:r>
      <w:r w:rsidR="00BE4480">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BE4480" w:rsidRPr="00BE4480">
        <w:rPr>
          <w:rFonts w:ascii="Times New Roman" w:hAnsi="Times New Roman" w:cs="Times New Roman"/>
          <w:b/>
          <w:noProof/>
          <w:sz w:val="24"/>
          <w:szCs w:val="24"/>
        </w:rPr>
        <w:t>Riadenie rybárstva a rybárskych flotíl</w:t>
      </w:r>
    </w:p>
    <w:p w:rsidR="00585EBD" w:rsidRPr="00585EBD" w:rsidRDefault="00716E99" w:rsidP="00716E9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Definuje podmienky pre poskytnutie </w:t>
      </w:r>
      <w:r w:rsidRPr="00585EBD">
        <w:rPr>
          <w:rFonts w:ascii="Times New Roman" w:hAnsi="Times New Roman" w:cs="Times New Roman"/>
          <w:noProof/>
          <w:sz w:val="24"/>
          <w:szCs w:val="24"/>
        </w:rPr>
        <w:t>kompenzácie za trvalé ukončenie rybolovných činností</w:t>
      </w:r>
      <w:r>
        <w:rPr>
          <w:rFonts w:ascii="Times New Roman" w:hAnsi="Times New Roman" w:cs="Times New Roman"/>
          <w:noProof/>
          <w:sz w:val="24"/>
          <w:szCs w:val="24"/>
        </w:rPr>
        <w:t>.</w:t>
      </w:r>
    </w:p>
    <w:p w:rsidR="00716E99" w:rsidRPr="00716E99" w:rsidRDefault="00374FD8" w:rsidP="00716E99">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18</w:t>
      </w:r>
      <w:r w:rsidRPr="00C23DB2">
        <w:rPr>
          <w:rFonts w:ascii="Times New Roman" w:hAnsi="Times New Roman" w:cs="Times New Roman"/>
          <w:noProof/>
          <w:sz w:val="24"/>
          <w:szCs w:val="24"/>
        </w:rPr>
        <w:t xml:space="preserve"> </w:t>
      </w:r>
      <w:r w:rsidR="00716E99">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716E99" w:rsidRPr="00716E99">
        <w:rPr>
          <w:rFonts w:ascii="Times New Roman" w:hAnsi="Times New Roman" w:cs="Times New Roman"/>
          <w:b/>
          <w:sz w:val="24"/>
          <w:szCs w:val="24"/>
        </w:rPr>
        <w:t>Mimoriadne pozastavenie rybolovných činností</w:t>
      </w:r>
    </w:p>
    <w:p w:rsidR="00716E99" w:rsidRPr="00585EBD" w:rsidRDefault="00716E99" w:rsidP="00716E9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Definuje podmienky pre poskytnutie </w:t>
      </w:r>
      <w:r w:rsidRPr="00585EBD">
        <w:rPr>
          <w:rFonts w:ascii="Times New Roman" w:hAnsi="Times New Roman" w:cs="Times New Roman"/>
          <w:noProof/>
          <w:sz w:val="24"/>
          <w:szCs w:val="24"/>
        </w:rPr>
        <w:t xml:space="preserve">kompenzácie za </w:t>
      </w:r>
      <w:r>
        <w:rPr>
          <w:rFonts w:ascii="Times New Roman" w:hAnsi="Times New Roman" w:cs="Times New Roman"/>
          <w:noProof/>
          <w:sz w:val="24"/>
          <w:szCs w:val="24"/>
        </w:rPr>
        <w:t>mimoriadne</w:t>
      </w:r>
      <w:r w:rsidRPr="00585EBD">
        <w:rPr>
          <w:rFonts w:ascii="Times New Roman" w:hAnsi="Times New Roman" w:cs="Times New Roman"/>
          <w:noProof/>
          <w:sz w:val="24"/>
          <w:szCs w:val="24"/>
        </w:rPr>
        <w:t xml:space="preserve"> </w:t>
      </w:r>
      <w:r>
        <w:rPr>
          <w:rFonts w:ascii="Times New Roman" w:hAnsi="Times New Roman" w:cs="Times New Roman"/>
          <w:noProof/>
          <w:sz w:val="24"/>
          <w:szCs w:val="24"/>
        </w:rPr>
        <w:t>pozastavenie</w:t>
      </w:r>
      <w:r w:rsidRPr="00585EBD">
        <w:rPr>
          <w:rFonts w:ascii="Times New Roman" w:hAnsi="Times New Roman" w:cs="Times New Roman"/>
          <w:noProof/>
          <w:sz w:val="24"/>
          <w:szCs w:val="24"/>
        </w:rPr>
        <w:t xml:space="preserve"> rybolovných činností</w:t>
      </w:r>
      <w:r>
        <w:rPr>
          <w:rFonts w:ascii="Times New Roman" w:hAnsi="Times New Roman" w:cs="Times New Roman"/>
          <w:noProof/>
          <w:sz w:val="24"/>
          <w:szCs w:val="24"/>
        </w:rPr>
        <w:t>.</w:t>
      </w:r>
    </w:p>
    <w:p w:rsidR="00374FD8" w:rsidRPr="00381EA4" w:rsidRDefault="00374FD8" w:rsidP="00716E99">
      <w:pPr>
        <w:spacing w:before="120" w:after="0" w:line="240" w:lineRule="auto"/>
        <w:jc w:val="both"/>
        <w:rPr>
          <w:rFonts w:ascii="Times New Roman" w:hAnsi="Times New Roman" w:cs="Times New Roman"/>
          <w:noProof/>
          <w:sz w:val="24"/>
          <w:szCs w:val="24"/>
        </w:rPr>
      </w:pPr>
      <w:r w:rsidRPr="00381EA4">
        <w:rPr>
          <w:rFonts w:ascii="Times New Roman" w:hAnsi="Times New Roman" w:cs="Times New Roman"/>
          <w:i/>
          <w:noProof/>
          <w:sz w:val="24"/>
          <w:szCs w:val="24"/>
        </w:rPr>
        <w:t>Článok 19</w:t>
      </w:r>
      <w:r w:rsidRPr="00381EA4">
        <w:rPr>
          <w:rFonts w:ascii="Times New Roman" w:hAnsi="Times New Roman" w:cs="Times New Roman"/>
          <w:noProof/>
          <w:sz w:val="24"/>
          <w:szCs w:val="24"/>
        </w:rPr>
        <w:t xml:space="preserve"> </w:t>
      </w:r>
      <w:r w:rsidR="00716E99" w:rsidRPr="00381EA4">
        <w:rPr>
          <w:rFonts w:ascii="Times New Roman" w:hAnsi="Times New Roman" w:cs="Times New Roman"/>
          <w:noProof/>
          <w:sz w:val="24"/>
          <w:szCs w:val="24"/>
        </w:rPr>
        <w:t>–</w:t>
      </w:r>
      <w:r w:rsidRPr="00381EA4">
        <w:rPr>
          <w:rFonts w:ascii="Times New Roman" w:hAnsi="Times New Roman" w:cs="Times New Roman"/>
          <w:noProof/>
          <w:sz w:val="24"/>
          <w:szCs w:val="24"/>
        </w:rPr>
        <w:t xml:space="preserve"> </w:t>
      </w:r>
      <w:r w:rsidR="00716E99" w:rsidRPr="00381EA4">
        <w:rPr>
          <w:rFonts w:ascii="Times New Roman" w:hAnsi="Times New Roman" w:cs="Times New Roman"/>
          <w:b/>
          <w:sz w:val="24"/>
          <w:szCs w:val="24"/>
        </w:rPr>
        <w:t>Kontrola a presadzovanie</w:t>
      </w:r>
    </w:p>
    <w:p w:rsidR="00716E99" w:rsidRPr="00381EA4" w:rsidRDefault="00716E99" w:rsidP="00716E99">
      <w:pPr>
        <w:spacing w:after="0" w:line="240" w:lineRule="auto"/>
        <w:jc w:val="both"/>
        <w:rPr>
          <w:rFonts w:ascii="Times New Roman" w:hAnsi="Times New Roman" w:cs="Times New Roman"/>
          <w:noProof/>
          <w:sz w:val="24"/>
          <w:szCs w:val="24"/>
        </w:rPr>
      </w:pPr>
      <w:r w:rsidRPr="00381EA4">
        <w:rPr>
          <w:rFonts w:ascii="Times New Roman" w:hAnsi="Times New Roman" w:cs="Times New Roman"/>
          <w:noProof/>
          <w:sz w:val="24"/>
          <w:szCs w:val="24"/>
        </w:rPr>
        <w:t xml:space="preserve">Stanovuje podmienky pre podporu rozvoja a realizácie systému Únie na kontrolu rybárstva, ktorý je stanovený v článku 36 nariadenia (EÚ) č. 1380/2013 a podrobnejšie špecifikovaný v nariadení Rady (ES) č. 1224/2009. </w:t>
      </w:r>
    </w:p>
    <w:p w:rsidR="00716E99" w:rsidRPr="00381EA4" w:rsidRDefault="00374FD8" w:rsidP="00716E99">
      <w:pPr>
        <w:spacing w:before="120" w:after="0" w:line="240" w:lineRule="auto"/>
        <w:jc w:val="both"/>
        <w:rPr>
          <w:rFonts w:ascii="Times New Roman" w:hAnsi="Times New Roman" w:cs="Times New Roman"/>
          <w:noProof/>
          <w:sz w:val="24"/>
          <w:szCs w:val="24"/>
        </w:rPr>
      </w:pPr>
      <w:r w:rsidRPr="00381EA4">
        <w:rPr>
          <w:rFonts w:ascii="Times New Roman" w:hAnsi="Times New Roman" w:cs="Times New Roman"/>
          <w:i/>
          <w:noProof/>
          <w:sz w:val="24"/>
          <w:szCs w:val="24"/>
        </w:rPr>
        <w:t>Článok 20</w:t>
      </w:r>
      <w:r w:rsidRPr="00381EA4">
        <w:rPr>
          <w:rFonts w:ascii="Times New Roman" w:hAnsi="Times New Roman" w:cs="Times New Roman"/>
          <w:noProof/>
          <w:sz w:val="24"/>
          <w:szCs w:val="24"/>
        </w:rPr>
        <w:t xml:space="preserve"> </w:t>
      </w:r>
      <w:r w:rsidR="00716E99" w:rsidRPr="00381EA4">
        <w:rPr>
          <w:rFonts w:ascii="Times New Roman" w:hAnsi="Times New Roman" w:cs="Times New Roman"/>
          <w:noProof/>
          <w:sz w:val="24"/>
          <w:szCs w:val="24"/>
        </w:rPr>
        <w:t>–</w:t>
      </w:r>
      <w:r w:rsidRPr="00381EA4">
        <w:rPr>
          <w:rFonts w:ascii="Times New Roman" w:hAnsi="Times New Roman" w:cs="Times New Roman"/>
          <w:noProof/>
          <w:sz w:val="24"/>
          <w:szCs w:val="24"/>
        </w:rPr>
        <w:t xml:space="preserve"> </w:t>
      </w:r>
      <w:r w:rsidR="00716E99" w:rsidRPr="00381EA4">
        <w:rPr>
          <w:rFonts w:ascii="Times New Roman" w:hAnsi="Times New Roman" w:cs="Times New Roman"/>
          <w:b/>
          <w:sz w:val="24"/>
          <w:szCs w:val="24"/>
        </w:rPr>
        <w:t xml:space="preserve">Zber a spracovanie údajov na účely riadenia rybárstva a vedecké účely </w:t>
      </w:r>
    </w:p>
    <w:p w:rsidR="00716E99" w:rsidRPr="00716E99" w:rsidRDefault="002D3BB3" w:rsidP="002D3BB3">
      <w:pPr>
        <w:spacing w:after="0" w:line="240" w:lineRule="auto"/>
        <w:jc w:val="both"/>
        <w:rPr>
          <w:rFonts w:ascii="Times New Roman" w:hAnsi="Times New Roman" w:cs="Times New Roman"/>
          <w:noProof/>
          <w:sz w:val="24"/>
          <w:szCs w:val="24"/>
        </w:rPr>
      </w:pPr>
      <w:r w:rsidRPr="00381EA4">
        <w:rPr>
          <w:rFonts w:ascii="Times New Roman" w:hAnsi="Times New Roman" w:cs="Times New Roman"/>
          <w:noProof/>
          <w:sz w:val="24"/>
          <w:szCs w:val="24"/>
        </w:rPr>
        <w:t xml:space="preserve">Stanovuje, že </w:t>
      </w:r>
      <w:r w:rsidR="00716E99" w:rsidRPr="00381EA4">
        <w:rPr>
          <w:rFonts w:ascii="Times New Roman" w:hAnsi="Times New Roman" w:cs="Times New Roman"/>
          <w:noProof/>
          <w:sz w:val="24"/>
          <w:szCs w:val="24"/>
        </w:rPr>
        <w:t>možno</w:t>
      </w:r>
      <w:r w:rsidRPr="00381EA4">
        <w:rPr>
          <w:rFonts w:ascii="Times New Roman" w:hAnsi="Times New Roman" w:cs="Times New Roman"/>
          <w:noProof/>
          <w:sz w:val="24"/>
          <w:szCs w:val="24"/>
        </w:rPr>
        <w:t>sť</w:t>
      </w:r>
      <w:r w:rsidR="00716E99" w:rsidRPr="00381EA4">
        <w:rPr>
          <w:rFonts w:ascii="Times New Roman" w:hAnsi="Times New Roman" w:cs="Times New Roman"/>
          <w:noProof/>
          <w:sz w:val="24"/>
          <w:szCs w:val="24"/>
        </w:rPr>
        <w:t xml:space="preserve"> podporovať zber, správu a využívanie údajov na účely riadenia rybárstva a vedecké úč</w:t>
      </w:r>
      <w:r w:rsidRPr="00381EA4">
        <w:rPr>
          <w:rFonts w:ascii="Times New Roman" w:hAnsi="Times New Roman" w:cs="Times New Roman"/>
          <w:noProof/>
          <w:sz w:val="24"/>
          <w:szCs w:val="24"/>
        </w:rPr>
        <w:t>ely, ktoré sú stanovené v čl. 25 ods. 1 a 2 a čl.</w:t>
      </w:r>
      <w:r w:rsidR="00716E99" w:rsidRPr="00381EA4">
        <w:rPr>
          <w:rFonts w:ascii="Times New Roman" w:hAnsi="Times New Roman" w:cs="Times New Roman"/>
          <w:noProof/>
          <w:sz w:val="24"/>
          <w:szCs w:val="24"/>
        </w:rPr>
        <w:t xml:space="preserve"> 27 nariadenia (EÚ) č. 1380/2013 a podrobnejšie špecifikované v nariadení (EÚ) č. </w:t>
      </w:r>
      <w:r w:rsidR="00381EA4" w:rsidRPr="00381EA4">
        <w:rPr>
          <w:rFonts w:ascii="Times New Roman" w:hAnsi="Times New Roman" w:cs="Times New Roman"/>
          <w:noProof/>
          <w:sz w:val="24"/>
          <w:szCs w:val="24"/>
        </w:rPr>
        <w:t>1004/2017</w:t>
      </w:r>
      <w:r w:rsidR="00716E99" w:rsidRPr="00381EA4">
        <w:rPr>
          <w:rFonts w:ascii="Times New Roman" w:hAnsi="Times New Roman" w:cs="Times New Roman"/>
          <w:noProof/>
          <w:sz w:val="24"/>
          <w:szCs w:val="24"/>
        </w:rPr>
        <w:t>, na základe národných prac</w:t>
      </w:r>
      <w:r w:rsidRPr="00381EA4">
        <w:rPr>
          <w:rFonts w:ascii="Times New Roman" w:hAnsi="Times New Roman" w:cs="Times New Roman"/>
          <w:noProof/>
          <w:sz w:val="24"/>
          <w:szCs w:val="24"/>
        </w:rPr>
        <w:t xml:space="preserve">ovných plánov uvedených v čl. 6 nariadenia (EÚ) </w:t>
      </w:r>
      <w:r w:rsidR="00381EA4" w:rsidRPr="00381EA4">
        <w:rPr>
          <w:rFonts w:ascii="Times New Roman" w:hAnsi="Times New Roman" w:cs="Times New Roman"/>
          <w:noProof/>
          <w:sz w:val="24"/>
          <w:szCs w:val="24"/>
        </w:rPr>
        <w:t>1044/2017</w:t>
      </w:r>
      <w:r w:rsidRPr="00381EA4">
        <w:rPr>
          <w:rFonts w:ascii="Times New Roman" w:hAnsi="Times New Roman" w:cs="Times New Roman"/>
          <w:noProof/>
          <w:sz w:val="24"/>
          <w:szCs w:val="24"/>
        </w:rPr>
        <w:t xml:space="preserve">. </w:t>
      </w:r>
      <w:r w:rsidR="00716E99" w:rsidRPr="00381EA4">
        <w:rPr>
          <w:rFonts w:ascii="Times New Roman" w:hAnsi="Times New Roman" w:cs="Times New Roman"/>
          <w:noProof/>
          <w:sz w:val="24"/>
          <w:szCs w:val="24"/>
        </w:rPr>
        <w:t xml:space="preserve">Komisia môže prijať vykonávacie akty, ktorými stanoví pravidlá týkajúce sa postupov, formátu a časových harmonogramov </w:t>
      </w:r>
      <w:r w:rsidRPr="00381EA4">
        <w:rPr>
          <w:rFonts w:ascii="Times New Roman" w:hAnsi="Times New Roman" w:cs="Times New Roman"/>
          <w:noProof/>
          <w:sz w:val="24"/>
          <w:szCs w:val="24"/>
        </w:rPr>
        <w:t>vo vzťahu k</w:t>
      </w:r>
      <w:r w:rsidR="00716E99" w:rsidRPr="00381EA4">
        <w:rPr>
          <w:rFonts w:ascii="Times New Roman" w:hAnsi="Times New Roman" w:cs="Times New Roman"/>
          <w:noProof/>
          <w:sz w:val="24"/>
          <w:szCs w:val="24"/>
        </w:rPr>
        <w:t xml:space="preserve"> predklada</w:t>
      </w:r>
      <w:r w:rsidRPr="00381EA4">
        <w:rPr>
          <w:rFonts w:ascii="Times New Roman" w:hAnsi="Times New Roman" w:cs="Times New Roman"/>
          <w:noProof/>
          <w:sz w:val="24"/>
          <w:szCs w:val="24"/>
        </w:rPr>
        <w:t xml:space="preserve">niu národných pracovných plánov, a ktorými ich </w:t>
      </w:r>
      <w:r w:rsidRPr="00381EA4">
        <w:rPr>
          <w:rFonts w:ascii="Times New Roman" w:hAnsi="Times New Roman" w:cs="Times New Roman"/>
          <w:noProof/>
          <w:sz w:val="24"/>
          <w:szCs w:val="24"/>
        </w:rPr>
        <w:lastRenderedPageBreak/>
        <w:t>schváli alebo zmení</w:t>
      </w:r>
      <w:r w:rsidRPr="00381EA4">
        <w:t xml:space="preserve"> </w:t>
      </w:r>
      <w:r w:rsidRPr="00381EA4">
        <w:rPr>
          <w:rFonts w:ascii="Times New Roman" w:hAnsi="Times New Roman" w:cs="Times New Roman"/>
          <w:noProof/>
          <w:sz w:val="24"/>
          <w:szCs w:val="24"/>
        </w:rPr>
        <w:t>do 31. decembra roku, ktorý predchádza roku, od ktorého sa má uplatňovať pracovný plán.</w:t>
      </w:r>
    </w:p>
    <w:p w:rsidR="00374FD8" w:rsidRPr="002D3BB3" w:rsidRDefault="00374FD8" w:rsidP="001623A8">
      <w:pPr>
        <w:spacing w:before="8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21</w:t>
      </w:r>
      <w:r w:rsidRPr="00C23DB2">
        <w:rPr>
          <w:rFonts w:ascii="Times New Roman" w:hAnsi="Times New Roman" w:cs="Times New Roman"/>
          <w:noProof/>
          <w:sz w:val="24"/>
          <w:szCs w:val="24"/>
        </w:rPr>
        <w:t xml:space="preserve"> </w:t>
      </w:r>
      <w:r w:rsidR="002D3BB3">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2D3BB3" w:rsidRPr="002D3BB3">
        <w:rPr>
          <w:rFonts w:ascii="Times New Roman" w:hAnsi="Times New Roman" w:cs="Times New Roman"/>
          <w:b/>
          <w:noProof/>
          <w:sz w:val="24"/>
          <w:szCs w:val="24"/>
        </w:rPr>
        <w:t>Kompenzácia dodatočných nákladov na produkty rybolovu a akvakultúry v najvzdialenejších regiónoch</w:t>
      </w:r>
    </w:p>
    <w:p w:rsidR="002D3BB3" w:rsidRPr="002D3BB3" w:rsidRDefault="002D3BB3" w:rsidP="002D3BB3">
      <w:pPr>
        <w:spacing w:after="0" w:line="240" w:lineRule="auto"/>
        <w:jc w:val="both"/>
        <w:rPr>
          <w:rFonts w:ascii="Times New Roman" w:hAnsi="Times New Roman" w:cs="Times New Roman"/>
          <w:noProof/>
          <w:sz w:val="24"/>
          <w:szCs w:val="24"/>
        </w:rPr>
      </w:pPr>
      <w:r w:rsidRPr="002D3BB3">
        <w:rPr>
          <w:rFonts w:ascii="Times New Roman" w:hAnsi="Times New Roman" w:cs="Times New Roman"/>
          <w:noProof/>
          <w:sz w:val="24"/>
          <w:szCs w:val="24"/>
        </w:rPr>
        <w:t xml:space="preserve">Definuje podmienky </w:t>
      </w:r>
      <w:r>
        <w:rPr>
          <w:rFonts w:ascii="Times New Roman" w:hAnsi="Times New Roman" w:cs="Times New Roman"/>
          <w:noProof/>
          <w:sz w:val="24"/>
          <w:szCs w:val="24"/>
        </w:rPr>
        <w:t xml:space="preserve"> kritéria </w:t>
      </w:r>
      <w:r w:rsidRPr="002D3BB3">
        <w:rPr>
          <w:rFonts w:ascii="Times New Roman" w:hAnsi="Times New Roman" w:cs="Times New Roman"/>
          <w:noProof/>
          <w:sz w:val="24"/>
          <w:szCs w:val="24"/>
        </w:rPr>
        <w:t>pre poskytnutie kompenzácie dodatočných nákladov, ktoré prijímateľom vznikli pri rybolove, chove, spracovaní a uvádzaní na trh určitých produktov rybolovu a akvakultúry z najvzdialenejších regiónov</w:t>
      </w:r>
      <w:r>
        <w:rPr>
          <w:rFonts w:ascii="Times New Roman" w:hAnsi="Times New Roman" w:cs="Times New Roman"/>
          <w:noProof/>
          <w:sz w:val="24"/>
          <w:szCs w:val="24"/>
        </w:rPr>
        <w:t>.</w:t>
      </w:r>
      <w:r w:rsidRPr="002D3BB3">
        <w:t xml:space="preserve"> </w:t>
      </w:r>
      <w:r w:rsidRPr="002D3BB3">
        <w:rPr>
          <w:rFonts w:ascii="Times New Roman" w:hAnsi="Times New Roman" w:cs="Times New Roman"/>
          <w:noProof/>
          <w:sz w:val="24"/>
          <w:szCs w:val="24"/>
        </w:rPr>
        <w:t>Komisia je splnomocnená prijímať akty s cieľom stanoviť kritériá výpočtu dodatočných nákladov, ktoré vznikli v dôsledku špecifických znevýhodnení predmetných regiónov</w:t>
      </w:r>
      <w:r>
        <w:rPr>
          <w:rFonts w:ascii="Times New Roman" w:hAnsi="Times New Roman" w:cs="Times New Roman"/>
          <w:noProof/>
          <w:sz w:val="24"/>
          <w:szCs w:val="24"/>
        </w:rPr>
        <w:t>.</w:t>
      </w:r>
    </w:p>
    <w:p w:rsidR="00374FD8" w:rsidRDefault="00374FD8" w:rsidP="001623A8">
      <w:pPr>
        <w:spacing w:before="80" w:after="0" w:line="240" w:lineRule="auto"/>
        <w:jc w:val="both"/>
        <w:rPr>
          <w:rFonts w:ascii="Times New Roman" w:hAnsi="Times New Roman" w:cs="Times New Roman"/>
          <w:b/>
          <w:noProof/>
          <w:sz w:val="24"/>
          <w:szCs w:val="24"/>
        </w:rPr>
      </w:pPr>
      <w:r w:rsidRPr="00C23DB2">
        <w:rPr>
          <w:rFonts w:ascii="Times New Roman" w:hAnsi="Times New Roman" w:cs="Times New Roman"/>
          <w:i/>
          <w:noProof/>
          <w:sz w:val="24"/>
          <w:szCs w:val="24"/>
        </w:rPr>
        <w:t>Článok 22</w:t>
      </w:r>
      <w:r w:rsidRPr="00C23DB2">
        <w:rPr>
          <w:rFonts w:ascii="Times New Roman" w:hAnsi="Times New Roman" w:cs="Times New Roman"/>
          <w:noProof/>
          <w:sz w:val="24"/>
          <w:szCs w:val="24"/>
        </w:rPr>
        <w:t xml:space="preserve"> </w:t>
      </w:r>
      <w:r w:rsidR="002D3BB3">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2D3BB3" w:rsidRPr="002D3BB3">
        <w:rPr>
          <w:rFonts w:ascii="Times New Roman" w:hAnsi="Times New Roman" w:cs="Times New Roman"/>
          <w:b/>
          <w:noProof/>
          <w:sz w:val="24"/>
          <w:szCs w:val="24"/>
        </w:rPr>
        <w:t>Ochrana a obnova biodiverzity a ekosystémov v morských a pobrežných oblastiach</w:t>
      </w:r>
    </w:p>
    <w:p w:rsidR="002D3BB3" w:rsidRPr="002D3BB3" w:rsidRDefault="002D3BB3" w:rsidP="002D3BB3">
      <w:pPr>
        <w:pStyle w:val="Default"/>
        <w:jc w:val="both"/>
        <w:rPr>
          <w:sz w:val="23"/>
          <w:szCs w:val="23"/>
        </w:rPr>
      </w:pPr>
      <w:r>
        <w:rPr>
          <w:sz w:val="23"/>
          <w:szCs w:val="23"/>
        </w:rPr>
        <w:t>Stanovuje</w:t>
      </w:r>
      <w:r w:rsidRPr="002D3BB3">
        <w:rPr>
          <w:sz w:val="23"/>
          <w:szCs w:val="23"/>
        </w:rPr>
        <w:t xml:space="preserve"> možno</w:t>
      </w:r>
      <w:r>
        <w:rPr>
          <w:sz w:val="23"/>
          <w:szCs w:val="23"/>
        </w:rPr>
        <w:t>sť</w:t>
      </w:r>
      <w:r w:rsidRPr="002D3BB3">
        <w:rPr>
          <w:sz w:val="23"/>
          <w:szCs w:val="23"/>
        </w:rPr>
        <w:t xml:space="preserve"> podporovať činnosti zamerané na ochranu a obnovu biodiverzity a ekosystémov v morských a pobrežných oblastiach </w:t>
      </w:r>
      <w:r w:rsidRPr="00032B28">
        <w:rPr>
          <w:sz w:val="23"/>
          <w:szCs w:val="23"/>
          <w:u w:val="single"/>
        </w:rPr>
        <w:t>vrátane vnútrozemských vôd</w:t>
      </w:r>
      <w:r w:rsidRPr="002D3BB3">
        <w:rPr>
          <w:sz w:val="23"/>
          <w:szCs w:val="23"/>
        </w:rPr>
        <w:t xml:space="preserve">. </w:t>
      </w:r>
      <w:r>
        <w:rPr>
          <w:sz w:val="23"/>
          <w:szCs w:val="23"/>
        </w:rPr>
        <w:t xml:space="preserve">Podpora </w:t>
      </w:r>
      <w:r w:rsidRPr="002D3BB3">
        <w:rPr>
          <w:sz w:val="23"/>
          <w:szCs w:val="23"/>
        </w:rPr>
        <w:t xml:space="preserve">sa môže vzťahovať na: </w:t>
      </w:r>
    </w:p>
    <w:p w:rsidR="002D3BB3" w:rsidRPr="002D3BB3" w:rsidRDefault="002D3BB3" w:rsidP="002D3BB3">
      <w:pPr>
        <w:pStyle w:val="Default"/>
        <w:numPr>
          <w:ilvl w:val="1"/>
          <w:numId w:val="18"/>
        </w:numPr>
        <w:ind w:left="425" w:hanging="357"/>
        <w:jc w:val="both"/>
        <w:rPr>
          <w:sz w:val="23"/>
          <w:szCs w:val="23"/>
        </w:rPr>
      </w:pPr>
      <w:r w:rsidRPr="002D3BB3">
        <w:rPr>
          <w:sz w:val="23"/>
          <w:szCs w:val="23"/>
        </w:rPr>
        <w:t xml:space="preserve">kompenzácie poskytované rybárom za zber strateného rybárskeho výstroja a morského odpadu z mora; </w:t>
      </w:r>
    </w:p>
    <w:p w:rsidR="002D3BB3" w:rsidRPr="002D3BB3" w:rsidRDefault="002D3BB3" w:rsidP="002D3BB3">
      <w:pPr>
        <w:pStyle w:val="Default"/>
        <w:numPr>
          <w:ilvl w:val="1"/>
          <w:numId w:val="18"/>
        </w:numPr>
        <w:ind w:left="425" w:hanging="357"/>
        <w:jc w:val="both"/>
        <w:rPr>
          <w:sz w:val="23"/>
          <w:szCs w:val="23"/>
        </w:rPr>
      </w:pPr>
      <w:r w:rsidRPr="002D3BB3">
        <w:rPr>
          <w:sz w:val="23"/>
          <w:szCs w:val="23"/>
        </w:rPr>
        <w:t xml:space="preserve">investície do prístavov s cieľom poskytnúť primerané zberné zariadenia pre stratený rybársky výstroj a morský odpad zozbieraný z mora; </w:t>
      </w:r>
    </w:p>
    <w:p w:rsidR="002D3BB3" w:rsidRPr="002D3BB3" w:rsidRDefault="002D3BB3" w:rsidP="002D3BB3">
      <w:pPr>
        <w:pStyle w:val="Default"/>
        <w:numPr>
          <w:ilvl w:val="1"/>
          <w:numId w:val="18"/>
        </w:numPr>
        <w:ind w:left="425" w:hanging="357"/>
        <w:jc w:val="both"/>
        <w:rPr>
          <w:sz w:val="23"/>
          <w:szCs w:val="23"/>
        </w:rPr>
      </w:pPr>
      <w:r w:rsidRPr="002D3BB3">
        <w:rPr>
          <w:sz w:val="23"/>
          <w:szCs w:val="23"/>
        </w:rPr>
        <w:t xml:space="preserve">akcie na dosiahnutie alebo udržanie dobrého environmentálneho stavu morského prostredia v zmysle článku 1 ods. 1 smernice 2008/56/ES; </w:t>
      </w:r>
    </w:p>
    <w:p w:rsidR="002D3BB3" w:rsidRPr="002D3BB3" w:rsidRDefault="002D3BB3" w:rsidP="002D3BB3">
      <w:pPr>
        <w:pStyle w:val="Default"/>
        <w:numPr>
          <w:ilvl w:val="1"/>
          <w:numId w:val="18"/>
        </w:numPr>
        <w:ind w:left="425" w:hanging="357"/>
        <w:jc w:val="both"/>
        <w:rPr>
          <w:sz w:val="23"/>
          <w:szCs w:val="23"/>
        </w:rPr>
      </w:pPr>
      <w:r w:rsidRPr="002D3BB3">
        <w:rPr>
          <w:sz w:val="23"/>
          <w:szCs w:val="23"/>
        </w:rPr>
        <w:t xml:space="preserve">vykonávanie opatrení priestorovej ochrany stanovených článku 13 ods. 4 smernice 2008/56/ES; </w:t>
      </w:r>
    </w:p>
    <w:p w:rsidR="002D3BB3" w:rsidRPr="002D3BB3" w:rsidRDefault="002D3BB3" w:rsidP="002D3BB3">
      <w:pPr>
        <w:pStyle w:val="Default"/>
        <w:numPr>
          <w:ilvl w:val="1"/>
          <w:numId w:val="18"/>
        </w:numPr>
        <w:ind w:left="425" w:hanging="357"/>
        <w:jc w:val="both"/>
        <w:rPr>
          <w:sz w:val="23"/>
          <w:szCs w:val="23"/>
        </w:rPr>
      </w:pPr>
      <w:r w:rsidRPr="002D3BB3">
        <w:rPr>
          <w:sz w:val="23"/>
          <w:szCs w:val="23"/>
        </w:rPr>
        <w:t xml:space="preserve">spravovanie, obnovu a monitorovanie oblastí Natura 2000 v súlade s prioritnými akčnými rámcami stanovenými v článku 8 smernice 92/43/EHS; </w:t>
      </w:r>
    </w:p>
    <w:p w:rsidR="002D3BB3" w:rsidRPr="002D3BB3" w:rsidRDefault="002D3BB3" w:rsidP="002D3BB3">
      <w:pPr>
        <w:pStyle w:val="Odsekzoznamu"/>
        <w:numPr>
          <w:ilvl w:val="1"/>
          <w:numId w:val="18"/>
        </w:numPr>
        <w:spacing w:after="0" w:line="240" w:lineRule="auto"/>
        <w:ind w:left="425" w:hanging="357"/>
        <w:contextualSpacing w:val="0"/>
        <w:jc w:val="both"/>
        <w:rPr>
          <w:rFonts w:ascii="Times New Roman" w:hAnsi="Times New Roman" w:cs="Times New Roman"/>
          <w:noProof/>
          <w:sz w:val="24"/>
          <w:szCs w:val="24"/>
        </w:rPr>
      </w:pPr>
      <w:r w:rsidRPr="002D3BB3">
        <w:rPr>
          <w:rFonts w:ascii="Times New Roman" w:hAnsi="Times New Roman" w:cs="Times New Roman"/>
          <w:sz w:val="23"/>
          <w:szCs w:val="23"/>
        </w:rPr>
        <w:t>ochranu druhov podľa smernice 92/43/EHS a smernice 2009/147/ES v súlade s prioritnými akčnými rámcami stanovenými v článku 8 smernice 92/43/EHS.</w:t>
      </w:r>
    </w:p>
    <w:p w:rsidR="002D3BB3" w:rsidRPr="002D3BB3" w:rsidRDefault="002D3BB3" w:rsidP="00B61E0A">
      <w:pPr>
        <w:spacing w:before="240" w:after="120" w:line="240" w:lineRule="auto"/>
        <w:jc w:val="both"/>
        <w:rPr>
          <w:rFonts w:ascii="Times New Roman" w:hAnsi="Times New Roman" w:cs="Times New Roman"/>
          <w:b/>
          <w:noProof/>
          <w:sz w:val="24"/>
          <w:szCs w:val="24"/>
        </w:rPr>
      </w:pPr>
      <w:r w:rsidRPr="00D1078B">
        <w:rPr>
          <w:rFonts w:ascii="Times New Roman" w:hAnsi="Times New Roman" w:cs="Times New Roman"/>
          <w:b/>
          <w:noProof/>
          <w:sz w:val="24"/>
          <w:szCs w:val="24"/>
        </w:rPr>
        <w:t>Kapitola I</w:t>
      </w:r>
      <w:r w:rsidR="00186A74">
        <w:rPr>
          <w:rFonts w:ascii="Times New Roman" w:hAnsi="Times New Roman" w:cs="Times New Roman"/>
          <w:b/>
          <w:noProof/>
          <w:sz w:val="24"/>
          <w:szCs w:val="24"/>
        </w:rPr>
        <w:t xml:space="preserve">II </w:t>
      </w:r>
      <w:r>
        <w:rPr>
          <w:rFonts w:ascii="Times New Roman" w:hAnsi="Times New Roman" w:cs="Times New Roman"/>
          <w:b/>
          <w:noProof/>
          <w:sz w:val="24"/>
          <w:szCs w:val="24"/>
        </w:rPr>
        <w:t xml:space="preserve">– </w:t>
      </w:r>
      <w:r w:rsidRPr="002D3BB3">
        <w:rPr>
          <w:rFonts w:ascii="Times New Roman" w:hAnsi="Times New Roman" w:cs="Times New Roman"/>
          <w:b/>
          <w:noProof/>
          <w:sz w:val="24"/>
          <w:szCs w:val="24"/>
        </w:rPr>
        <w:t>Priorita 2: Prispievanie k potravinovej bezpečnosti v Únii prostredníctvom konkurencieschopnej a udržateľnej akvakultúry a trhov</w:t>
      </w:r>
    </w:p>
    <w:p w:rsidR="002C3080" w:rsidRDefault="002C3080" w:rsidP="002D3BB3">
      <w:pPr>
        <w:spacing w:before="120" w:after="0" w:line="240" w:lineRule="auto"/>
        <w:jc w:val="both"/>
        <w:rPr>
          <w:rFonts w:ascii="Times New Roman" w:hAnsi="Times New Roman" w:cs="Times New Roman"/>
          <w:b/>
          <w:noProof/>
          <w:sz w:val="24"/>
          <w:szCs w:val="24"/>
        </w:rPr>
      </w:pPr>
      <w:r w:rsidRPr="00C23DB2">
        <w:rPr>
          <w:rFonts w:ascii="Times New Roman" w:hAnsi="Times New Roman" w:cs="Times New Roman"/>
          <w:i/>
          <w:noProof/>
          <w:sz w:val="24"/>
          <w:szCs w:val="24"/>
        </w:rPr>
        <w:t>Článok 23</w:t>
      </w:r>
      <w:r w:rsidRPr="00C23DB2">
        <w:rPr>
          <w:rFonts w:ascii="Times New Roman" w:hAnsi="Times New Roman" w:cs="Times New Roman"/>
          <w:noProof/>
          <w:sz w:val="24"/>
          <w:szCs w:val="24"/>
        </w:rPr>
        <w:t xml:space="preserve"> </w:t>
      </w:r>
      <w:r w:rsidR="002D3BB3">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2D3BB3" w:rsidRPr="002D3BB3">
        <w:rPr>
          <w:rFonts w:ascii="Times New Roman" w:hAnsi="Times New Roman" w:cs="Times New Roman"/>
          <w:b/>
          <w:noProof/>
          <w:sz w:val="24"/>
          <w:szCs w:val="24"/>
        </w:rPr>
        <w:t>Akvakultúra</w:t>
      </w:r>
    </w:p>
    <w:p w:rsidR="002D3BB3" w:rsidRPr="00381EA4" w:rsidRDefault="00186A74" w:rsidP="00186A74">
      <w:pPr>
        <w:pStyle w:val="Default"/>
        <w:jc w:val="both"/>
        <w:rPr>
          <w:sz w:val="23"/>
          <w:szCs w:val="23"/>
        </w:rPr>
      </w:pPr>
      <w:r w:rsidRPr="00381EA4">
        <w:rPr>
          <w:sz w:val="23"/>
          <w:szCs w:val="23"/>
        </w:rPr>
        <w:t>Stanovuje</w:t>
      </w:r>
      <w:r w:rsidR="002D3BB3" w:rsidRPr="00381EA4">
        <w:rPr>
          <w:sz w:val="23"/>
          <w:szCs w:val="23"/>
        </w:rPr>
        <w:t xml:space="preserve"> možno</w:t>
      </w:r>
      <w:r w:rsidRPr="00381EA4">
        <w:rPr>
          <w:sz w:val="23"/>
          <w:szCs w:val="23"/>
        </w:rPr>
        <w:t>sť</w:t>
      </w:r>
      <w:r w:rsidR="002D3BB3" w:rsidRPr="00381EA4">
        <w:rPr>
          <w:sz w:val="23"/>
          <w:szCs w:val="23"/>
        </w:rPr>
        <w:t xml:space="preserve"> podporovať udržateľ</w:t>
      </w:r>
      <w:r w:rsidRPr="00381EA4">
        <w:rPr>
          <w:sz w:val="23"/>
          <w:szCs w:val="23"/>
        </w:rPr>
        <w:t>nú</w:t>
      </w:r>
      <w:r w:rsidR="002D3BB3" w:rsidRPr="00381EA4">
        <w:rPr>
          <w:sz w:val="23"/>
          <w:szCs w:val="23"/>
        </w:rPr>
        <w:t xml:space="preserve"> akvakultú</w:t>
      </w:r>
      <w:r w:rsidRPr="00381EA4">
        <w:rPr>
          <w:sz w:val="23"/>
          <w:szCs w:val="23"/>
        </w:rPr>
        <w:t>ru</w:t>
      </w:r>
      <w:r w:rsidR="002D3BB3" w:rsidRPr="00381EA4">
        <w:rPr>
          <w:sz w:val="23"/>
          <w:szCs w:val="23"/>
        </w:rPr>
        <w:t xml:space="preserve"> v zmysle čl</w:t>
      </w:r>
      <w:r w:rsidRPr="00381EA4">
        <w:rPr>
          <w:sz w:val="23"/>
          <w:szCs w:val="23"/>
        </w:rPr>
        <w:t>.</w:t>
      </w:r>
      <w:r w:rsidR="002D3BB3" w:rsidRPr="00381EA4">
        <w:rPr>
          <w:sz w:val="23"/>
          <w:szCs w:val="23"/>
        </w:rPr>
        <w:t xml:space="preserve"> 34 ods. 1 nariadenia (EÚ) č</w:t>
      </w:r>
      <w:r w:rsidRPr="00381EA4">
        <w:rPr>
          <w:sz w:val="23"/>
          <w:szCs w:val="23"/>
        </w:rPr>
        <w:t>. 1380/2013 vrátane zdravia</w:t>
      </w:r>
      <w:r w:rsidR="002D3BB3" w:rsidRPr="00381EA4">
        <w:rPr>
          <w:sz w:val="23"/>
          <w:szCs w:val="23"/>
        </w:rPr>
        <w:t xml:space="preserve"> a dobré životné podmienky zvierat v akvakultúre v súlade s nariadením Európskeho parlamentu a Rady (EÚ) č. </w:t>
      </w:r>
      <w:r w:rsidR="00032B28" w:rsidRPr="00381EA4">
        <w:rPr>
          <w:sz w:val="23"/>
          <w:szCs w:val="23"/>
        </w:rPr>
        <w:t>429</w:t>
      </w:r>
      <w:r w:rsidR="00032B28">
        <w:rPr>
          <w:sz w:val="23"/>
          <w:szCs w:val="23"/>
        </w:rPr>
        <w:t xml:space="preserve">/2016 </w:t>
      </w:r>
      <w:r w:rsidR="002D3BB3" w:rsidRPr="00381EA4">
        <w:rPr>
          <w:sz w:val="23"/>
          <w:szCs w:val="23"/>
        </w:rPr>
        <w:t xml:space="preserve">a nariadením Európskeho parlamentu a Rady (EÚ) č. 652/2014. </w:t>
      </w:r>
      <w:r w:rsidRPr="00381EA4">
        <w:rPr>
          <w:sz w:val="23"/>
          <w:szCs w:val="23"/>
        </w:rPr>
        <w:t xml:space="preserve"> </w:t>
      </w:r>
      <w:r w:rsidR="002D3BB3" w:rsidRPr="00381EA4">
        <w:rPr>
          <w:sz w:val="23"/>
          <w:szCs w:val="23"/>
        </w:rPr>
        <w:t>Podpora musí byť v súlade s viacročnými národnými strategickými plánmi rozvoja akvakultúry uvedenými v</w:t>
      </w:r>
      <w:r w:rsidRPr="00381EA4">
        <w:rPr>
          <w:sz w:val="23"/>
          <w:szCs w:val="23"/>
        </w:rPr>
        <w:t> </w:t>
      </w:r>
      <w:r w:rsidR="002D3BB3" w:rsidRPr="00381EA4">
        <w:rPr>
          <w:sz w:val="23"/>
          <w:szCs w:val="23"/>
        </w:rPr>
        <w:t>čl</w:t>
      </w:r>
      <w:r w:rsidRPr="00381EA4">
        <w:rPr>
          <w:sz w:val="23"/>
          <w:szCs w:val="23"/>
        </w:rPr>
        <w:t>.</w:t>
      </w:r>
      <w:r w:rsidR="002D3BB3" w:rsidRPr="00381EA4">
        <w:rPr>
          <w:sz w:val="23"/>
          <w:szCs w:val="23"/>
        </w:rPr>
        <w:t xml:space="preserve"> 34 ods. 2 nariadenia (EÚ) č. 1380/2013. Produktívne investície do akvakultúry možno podporovať len prostredníctvom finančnýc</w:t>
      </w:r>
      <w:r w:rsidRPr="00381EA4">
        <w:rPr>
          <w:sz w:val="23"/>
          <w:szCs w:val="23"/>
        </w:rPr>
        <w:t>h nástrojov stanovených v čl.</w:t>
      </w:r>
      <w:r w:rsidR="002D3BB3" w:rsidRPr="00381EA4">
        <w:rPr>
          <w:sz w:val="23"/>
          <w:szCs w:val="23"/>
        </w:rPr>
        <w:t xml:space="preserve"> 52 nariadenia (EÚ) </w:t>
      </w:r>
      <w:r w:rsidR="002D3BB3" w:rsidRPr="00381EA4">
        <w:rPr>
          <w:color w:val="auto"/>
          <w:sz w:val="23"/>
          <w:szCs w:val="23"/>
        </w:rPr>
        <w:t>č. [</w:t>
      </w:r>
      <w:r w:rsidR="00381EA4" w:rsidRPr="00381EA4">
        <w:rPr>
          <w:color w:val="auto"/>
          <w:sz w:val="23"/>
          <w:szCs w:val="23"/>
        </w:rPr>
        <w:t>všeobecné nariadenie</w:t>
      </w:r>
      <w:r w:rsidR="002D3BB3" w:rsidRPr="00381EA4">
        <w:rPr>
          <w:color w:val="auto"/>
          <w:sz w:val="23"/>
          <w:szCs w:val="23"/>
        </w:rPr>
        <w:t xml:space="preserve">] </w:t>
      </w:r>
      <w:r w:rsidR="002D3BB3" w:rsidRPr="00381EA4">
        <w:rPr>
          <w:sz w:val="23"/>
          <w:szCs w:val="23"/>
        </w:rPr>
        <w:t>a prostredníctvom programu InvestEU v súlade s článkom 10 daného nariadenia.</w:t>
      </w:r>
    </w:p>
    <w:p w:rsidR="002C3080" w:rsidRPr="00C23DB2" w:rsidRDefault="002C3080" w:rsidP="002D3BB3">
      <w:pPr>
        <w:spacing w:before="120" w:after="0" w:line="240" w:lineRule="auto"/>
        <w:jc w:val="both"/>
        <w:rPr>
          <w:rFonts w:ascii="Times New Roman" w:hAnsi="Times New Roman" w:cs="Times New Roman"/>
          <w:noProof/>
          <w:sz w:val="24"/>
          <w:szCs w:val="24"/>
        </w:rPr>
      </w:pPr>
      <w:r w:rsidRPr="00381EA4">
        <w:rPr>
          <w:rFonts w:ascii="Times New Roman" w:hAnsi="Times New Roman" w:cs="Times New Roman"/>
          <w:i/>
          <w:noProof/>
          <w:sz w:val="24"/>
          <w:szCs w:val="24"/>
        </w:rPr>
        <w:t>Článok 24</w:t>
      </w:r>
      <w:r w:rsidRPr="00381EA4">
        <w:rPr>
          <w:rFonts w:ascii="Times New Roman" w:hAnsi="Times New Roman" w:cs="Times New Roman"/>
          <w:noProof/>
          <w:sz w:val="24"/>
          <w:szCs w:val="24"/>
        </w:rPr>
        <w:t xml:space="preserve"> </w:t>
      </w:r>
      <w:r w:rsidR="00186A74" w:rsidRPr="00381EA4">
        <w:rPr>
          <w:rFonts w:ascii="Times New Roman" w:hAnsi="Times New Roman" w:cs="Times New Roman"/>
          <w:noProof/>
          <w:sz w:val="24"/>
          <w:szCs w:val="24"/>
        </w:rPr>
        <w:t>–</w:t>
      </w:r>
      <w:r w:rsidRPr="00381EA4">
        <w:rPr>
          <w:rFonts w:ascii="Times New Roman" w:hAnsi="Times New Roman" w:cs="Times New Roman"/>
          <w:noProof/>
          <w:sz w:val="24"/>
          <w:szCs w:val="24"/>
        </w:rPr>
        <w:t xml:space="preserve"> </w:t>
      </w:r>
      <w:r w:rsidR="00186A74" w:rsidRPr="00381EA4">
        <w:rPr>
          <w:rFonts w:ascii="Times New Roman" w:hAnsi="Times New Roman" w:cs="Times New Roman"/>
          <w:b/>
          <w:noProof/>
          <w:sz w:val="24"/>
          <w:szCs w:val="24"/>
        </w:rPr>
        <w:t>Obchodovanie s produktmi rybolovu a akvakultúry</w:t>
      </w:r>
    </w:p>
    <w:p w:rsidR="00186A74" w:rsidRDefault="00186A74" w:rsidP="00186A74">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Stanovuje</w:t>
      </w:r>
      <w:r w:rsidRPr="00186A74">
        <w:rPr>
          <w:rFonts w:ascii="Times New Roman" w:eastAsia="Times New Roman" w:hAnsi="Times New Roman" w:cs="Times New Roman"/>
          <w:bCs/>
          <w:sz w:val="24"/>
          <w:szCs w:val="24"/>
          <w:lang w:eastAsia="sk-SK"/>
        </w:rPr>
        <w:t xml:space="preserve"> možno</w:t>
      </w:r>
      <w:r>
        <w:rPr>
          <w:rFonts w:ascii="Times New Roman" w:eastAsia="Times New Roman" w:hAnsi="Times New Roman" w:cs="Times New Roman"/>
          <w:bCs/>
          <w:sz w:val="24"/>
          <w:szCs w:val="24"/>
          <w:lang w:eastAsia="sk-SK"/>
        </w:rPr>
        <w:t>sť</w:t>
      </w:r>
      <w:r w:rsidRPr="00186A74">
        <w:rPr>
          <w:rFonts w:ascii="Times New Roman" w:eastAsia="Times New Roman" w:hAnsi="Times New Roman" w:cs="Times New Roman"/>
          <w:bCs/>
          <w:sz w:val="24"/>
          <w:szCs w:val="24"/>
          <w:lang w:eastAsia="sk-SK"/>
        </w:rPr>
        <w:t xml:space="preserve"> podporovať akcie, ktoré prispievajú k dosahovaniu cieľov </w:t>
      </w:r>
      <w:r w:rsidR="00032B28">
        <w:rPr>
          <w:rFonts w:ascii="Times New Roman" w:eastAsia="Times New Roman" w:hAnsi="Times New Roman" w:cs="Times New Roman"/>
          <w:bCs/>
          <w:sz w:val="24"/>
          <w:szCs w:val="24"/>
          <w:lang w:eastAsia="sk-SK"/>
        </w:rPr>
        <w:t>SOT</w:t>
      </w:r>
      <w:r w:rsidRPr="00186A74">
        <w:rPr>
          <w:rFonts w:ascii="Times New Roman" w:eastAsia="Times New Roman" w:hAnsi="Times New Roman" w:cs="Times New Roman"/>
          <w:bCs/>
          <w:sz w:val="24"/>
          <w:szCs w:val="24"/>
          <w:lang w:eastAsia="sk-SK"/>
        </w:rPr>
        <w:t xml:space="preserve"> s produktmi rybolovu a akvakultúry, ktoré sú stanovené v</w:t>
      </w:r>
      <w:r>
        <w:rPr>
          <w:rFonts w:ascii="Times New Roman" w:eastAsia="Times New Roman" w:hAnsi="Times New Roman" w:cs="Times New Roman"/>
          <w:bCs/>
          <w:sz w:val="24"/>
          <w:szCs w:val="24"/>
          <w:lang w:eastAsia="sk-SK"/>
        </w:rPr>
        <w:t> </w:t>
      </w:r>
      <w:r w:rsidRPr="00186A74">
        <w:rPr>
          <w:rFonts w:ascii="Times New Roman" w:eastAsia="Times New Roman" w:hAnsi="Times New Roman" w:cs="Times New Roman"/>
          <w:bCs/>
          <w:sz w:val="24"/>
          <w:szCs w:val="24"/>
          <w:lang w:eastAsia="sk-SK"/>
        </w:rPr>
        <w:t>čl</w:t>
      </w:r>
      <w:r>
        <w:rPr>
          <w:rFonts w:ascii="Times New Roman" w:eastAsia="Times New Roman" w:hAnsi="Times New Roman" w:cs="Times New Roman"/>
          <w:bCs/>
          <w:sz w:val="24"/>
          <w:szCs w:val="24"/>
          <w:lang w:eastAsia="sk-SK"/>
        </w:rPr>
        <w:t xml:space="preserve">. </w:t>
      </w:r>
      <w:r w:rsidRPr="00186A74">
        <w:rPr>
          <w:rFonts w:ascii="Times New Roman" w:eastAsia="Times New Roman" w:hAnsi="Times New Roman" w:cs="Times New Roman"/>
          <w:bCs/>
          <w:sz w:val="24"/>
          <w:szCs w:val="24"/>
          <w:lang w:eastAsia="sk-SK"/>
        </w:rPr>
        <w:t xml:space="preserve">35 nariadenia (EÚ) č. 1380/2013 a podrobnejšie špecifikované v nariadení (ES) č. 1379/2013. Okrem toho z neho možno podporovať aj akcie na podporu obchodovania s produktmi rybolovu a akvakultúry, ich kvality a pridanej hodnoty. </w:t>
      </w:r>
    </w:p>
    <w:p w:rsidR="002C3080" w:rsidRPr="00E85855" w:rsidRDefault="002C3080" w:rsidP="00186A74">
      <w:pPr>
        <w:spacing w:before="120" w:after="0" w:line="240" w:lineRule="auto"/>
        <w:jc w:val="both"/>
        <w:rPr>
          <w:rFonts w:ascii="Times New Roman" w:hAnsi="Times New Roman" w:cs="Times New Roman"/>
          <w:noProof/>
          <w:sz w:val="24"/>
          <w:szCs w:val="24"/>
        </w:rPr>
      </w:pPr>
      <w:r w:rsidRPr="00E85855">
        <w:rPr>
          <w:rFonts w:ascii="Times New Roman" w:hAnsi="Times New Roman" w:cs="Times New Roman"/>
          <w:i/>
          <w:noProof/>
          <w:sz w:val="24"/>
          <w:szCs w:val="24"/>
        </w:rPr>
        <w:t>Článok 25</w:t>
      </w:r>
      <w:r w:rsidRPr="00E85855">
        <w:rPr>
          <w:rFonts w:ascii="Times New Roman" w:hAnsi="Times New Roman" w:cs="Times New Roman"/>
          <w:noProof/>
          <w:sz w:val="24"/>
          <w:szCs w:val="24"/>
        </w:rPr>
        <w:t xml:space="preserve"> </w:t>
      </w:r>
      <w:r w:rsidR="00284FB6" w:rsidRPr="00E85855">
        <w:rPr>
          <w:rFonts w:ascii="Times New Roman" w:hAnsi="Times New Roman" w:cs="Times New Roman"/>
          <w:noProof/>
          <w:sz w:val="24"/>
          <w:szCs w:val="24"/>
        </w:rPr>
        <w:t>–</w:t>
      </w:r>
      <w:r w:rsidRPr="00E85855">
        <w:rPr>
          <w:rFonts w:ascii="Times New Roman" w:hAnsi="Times New Roman" w:cs="Times New Roman"/>
          <w:noProof/>
          <w:sz w:val="24"/>
          <w:szCs w:val="24"/>
        </w:rPr>
        <w:t xml:space="preserve"> </w:t>
      </w:r>
      <w:r w:rsidR="00186A74" w:rsidRPr="00E85855">
        <w:rPr>
          <w:rFonts w:ascii="Times New Roman" w:hAnsi="Times New Roman" w:cs="Times New Roman"/>
          <w:b/>
          <w:noProof/>
          <w:sz w:val="24"/>
          <w:szCs w:val="24"/>
        </w:rPr>
        <w:t>Spracovanie produktov rybolovu a akvakultúry</w:t>
      </w:r>
    </w:p>
    <w:p w:rsidR="00186A74" w:rsidRPr="00186A74" w:rsidRDefault="00186A74" w:rsidP="00186A74">
      <w:pPr>
        <w:spacing w:after="0" w:line="240" w:lineRule="auto"/>
        <w:jc w:val="both"/>
        <w:rPr>
          <w:rFonts w:ascii="Times New Roman" w:eastAsia="Times New Roman" w:hAnsi="Times New Roman" w:cs="Times New Roman"/>
          <w:bCs/>
          <w:sz w:val="24"/>
          <w:szCs w:val="24"/>
          <w:lang w:eastAsia="sk-SK"/>
        </w:rPr>
      </w:pPr>
      <w:r w:rsidRPr="00E85855">
        <w:rPr>
          <w:rFonts w:ascii="Times New Roman" w:eastAsia="Times New Roman" w:hAnsi="Times New Roman" w:cs="Times New Roman"/>
          <w:bCs/>
          <w:sz w:val="24"/>
          <w:szCs w:val="24"/>
          <w:lang w:eastAsia="sk-SK"/>
        </w:rPr>
        <w:t xml:space="preserve">Stanovuje možnosť podporovať investície do spracovania produktov rybolovu a akvakultúry. Takáto podpora prispeje k dosahovaniu cieľov </w:t>
      </w:r>
      <w:r w:rsidR="00032B28">
        <w:rPr>
          <w:rFonts w:ascii="Times New Roman" w:eastAsia="Times New Roman" w:hAnsi="Times New Roman" w:cs="Times New Roman"/>
          <w:bCs/>
          <w:sz w:val="24"/>
          <w:szCs w:val="24"/>
          <w:lang w:eastAsia="sk-SK"/>
        </w:rPr>
        <w:t>SOT</w:t>
      </w:r>
      <w:r w:rsidRPr="00E85855">
        <w:rPr>
          <w:rFonts w:ascii="Times New Roman" w:eastAsia="Times New Roman" w:hAnsi="Times New Roman" w:cs="Times New Roman"/>
          <w:bCs/>
          <w:sz w:val="24"/>
          <w:szCs w:val="24"/>
          <w:lang w:eastAsia="sk-SK"/>
        </w:rPr>
        <w:t xml:space="preserve"> s produktmi rybolovu a akvakultúry v zmysle čl. 35 nariadenia (EÚ) č. 1380/2013, ktoré sú podrobnejšie špecifikované v nariadení (ES) č. 1379/2013. Produktívne investície do akvakultúry možno podporovať len </w:t>
      </w:r>
      <w:r w:rsidRPr="00E85855">
        <w:rPr>
          <w:rFonts w:ascii="Times New Roman" w:eastAsia="Times New Roman" w:hAnsi="Times New Roman" w:cs="Times New Roman"/>
          <w:bCs/>
          <w:sz w:val="24"/>
          <w:szCs w:val="24"/>
          <w:lang w:eastAsia="sk-SK"/>
        </w:rPr>
        <w:lastRenderedPageBreak/>
        <w:t>prostredníctvom finančných nástrojov stanovených v čl. 52 nariadenia (EÚ) č. [</w:t>
      </w:r>
      <w:r w:rsidR="00381EA4" w:rsidRPr="00E85855">
        <w:rPr>
          <w:rFonts w:ascii="Times New Roman" w:eastAsia="Times New Roman" w:hAnsi="Times New Roman" w:cs="Times New Roman"/>
          <w:bCs/>
          <w:sz w:val="24"/>
          <w:szCs w:val="24"/>
          <w:lang w:eastAsia="sk-SK"/>
        </w:rPr>
        <w:t>všeobecné nariadenie</w:t>
      </w:r>
      <w:r w:rsidRPr="00E85855">
        <w:rPr>
          <w:rFonts w:ascii="Times New Roman" w:eastAsia="Times New Roman" w:hAnsi="Times New Roman" w:cs="Times New Roman"/>
          <w:bCs/>
          <w:sz w:val="24"/>
          <w:szCs w:val="24"/>
          <w:lang w:eastAsia="sk-SK"/>
        </w:rPr>
        <w:t>] a prostredníctvom programu InvestEU v súlade s článkom 10 daného nariadenia.</w:t>
      </w:r>
    </w:p>
    <w:p w:rsidR="00186A74" w:rsidRPr="00186A74" w:rsidRDefault="00186A74" w:rsidP="00B61E0A">
      <w:pPr>
        <w:spacing w:before="240" w:after="120" w:line="240" w:lineRule="auto"/>
        <w:jc w:val="both"/>
        <w:rPr>
          <w:rFonts w:ascii="Times New Roman" w:hAnsi="Times New Roman" w:cs="Times New Roman"/>
          <w:b/>
          <w:noProof/>
          <w:sz w:val="24"/>
          <w:szCs w:val="24"/>
        </w:rPr>
      </w:pPr>
      <w:r w:rsidRPr="00D1078B">
        <w:rPr>
          <w:rFonts w:ascii="Times New Roman" w:hAnsi="Times New Roman" w:cs="Times New Roman"/>
          <w:b/>
          <w:noProof/>
          <w:sz w:val="24"/>
          <w:szCs w:val="24"/>
        </w:rPr>
        <w:t>Kapitola I</w:t>
      </w:r>
      <w:r>
        <w:rPr>
          <w:rFonts w:ascii="Times New Roman" w:hAnsi="Times New Roman" w:cs="Times New Roman"/>
          <w:b/>
          <w:noProof/>
          <w:sz w:val="24"/>
          <w:szCs w:val="24"/>
        </w:rPr>
        <w:t>V – Priorita 3</w:t>
      </w:r>
      <w:r w:rsidRPr="002D3BB3">
        <w:rPr>
          <w:rFonts w:ascii="Times New Roman" w:hAnsi="Times New Roman" w:cs="Times New Roman"/>
          <w:b/>
          <w:noProof/>
          <w:sz w:val="24"/>
          <w:szCs w:val="24"/>
        </w:rPr>
        <w:t xml:space="preserve">: </w:t>
      </w:r>
      <w:r w:rsidRPr="00186A74">
        <w:rPr>
          <w:rFonts w:ascii="Times New Roman" w:hAnsi="Times New Roman" w:cs="Times New Roman"/>
          <w:b/>
          <w:noProof/>
          <w:sz w:val="24"/>
          <w:szCs w:val="24"/>
        </w:rPr>
        <w:t>Umožnenie rastu udržateľného modrého hospodárstva a podpora prosperujúcich pobrežných komunít</w:t>
      </w:r>
    </w:p>
    <w:p w:rsidR="00186A74" w:rsidRPr="00186A74" w:rsidRDefault="002C3080" w:rsidP="00186A74">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26</w:t>
      </w:r>
      <w:r w:rsidRPr="00C23DB2">
        <w:rPr>
          <w:rFonts w:ascii="Times New Roman" w:hAnsi="Times New Roman" w:cs="Times New Roman"/>
          <w:noProof/>
          <w:sz w:val="24"/>
          <w:szCs w:val="24"/>
        </w:rPr>
        <w:t xml:space="preserve"> </w:t>
      </w:r>
      <w:r w:rsidR="00186A74">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186A74" w:rsidRPr="00186A74">
        <w:rPr>
          <w:rFonts w:ascii="Times New Roman" w:hAnsi="Times New Roman" w:cs="Times New Roman"/>
          <w:b/>
          <w:noProof/>
          <w:sz w:val="24"/>
          <w:szCs w:val="24"/>
        </w:rPr>
        <w:t>Miestny rozvoj vedený komunitou</w:t>
      </w:r>
      <w:r w:rsidR="00186A74">
        <w:rPr>
          <w:i/>
          <w:iCs/>
          <w:sz w:val="23"/>
          <w:szCs w:val="23"/>
        </w:rPr>
        <w:t xml:space="preserve"> </w:t>
      </w:r>
    </w:p>
    <w:p w:rsidR="00186A74" w:rsidRDefault="00186A74" w:rsidP="00186A74">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Stanovuje</w:t>
      </w:r>
      <w:r w:rsidRPr="00186A74">
        <w:rPr>
          <w:rFonts w:ascii="Times New Roman" w:eastAsia="Times New Roman" w:hAnsi="Times New Roman" w:cs="Times New Roman"/>
          <w:bCs/>
          <w:sz w:val="24"/>
          <w:szCs w:val="24"/>
          <w:lang w:eastAsia="sk-SK"/>
        </w:rPr>
        <w:t xml:space="preserve"> možno</w:t>
      </w:r>
      <w:r>
        <w:rPr>
          <w:rFonts w:ascii="Times New Roman" w:eastAsia="Times New Roman" w:hAnsi="Times New Roman" w:cs="Times New Roman"/>
          <w:bCs/>
          <w:sz w:val="24"/>
          <w:szCs w:val="24"/>
          <w:lang w:eastAsia="sk-SK"/>
        </w:rPr>
        <w:t>sť</w:t>
      </w:r>
      <w:r w:rsidRPr="00186A74">
        <w:rPr>
          <w:rFonts w:ascii="Times New Roman" w:eastAsia="Times New Roman" w:hAnsi="Times New Roman" w:cs="Times New Roman"/>
          <w:bCs/>
          <w:sz w:val="24"/>
          <w:szCs w:val="24"/>
          <w:lang w:eastAsia="sk-SK"/>
        </w:rPr>
        <w:t xml:space="preserve"> podporovať udržateľný rozvoj miestnych hospodárstiev a komunít prostredníctvom miestneho rozvoja vedenéh</w:t>
      </w:r>
      <w:r>
        <w:rPr>
          <w:rFonts w:ascii="Times New Roman" w:eastAsia="Times New Roman" w:hAnsi="Times New Roman" w:cs="Times New Roman"/>
          <w:bCs/>
          <w:sz w:val="24"/>
          <w:szCs w:val="24"/>
          <w:lang w:eastAsia="sk-SK"/>
        </w:rPr>
        <w:t>o komunitou stanoveného v čl.</w:t>
      </w:r>
      <w:r w:rsidRPr="00186A74">
        <w:rPr>
          <w:rFonts w:ascii="Times New Roman" w:eastAsia="Times New Roman" w:hAnsi="Times New Roman" w:cs="Times New Roman"/>
          <w:bCs/>
          <w:sz w:val="24"/>
          <w:szCs w:val="24"/>
          <w:lang w:eastAsia="sk-SK"/>
        </w:rPr>
        <w:t xml:space="preserve"> 25 nariadenia (EÚ) č</w:t>
      </w:r>
      <w:r w:rsidRPr="00381EA4">
        <w:rPr>
          <w:rFonts w:ascii="Times New Roman" w:eastAsia="Times New Roman" w:hAnsi="Times New Roman" w:cs="Times New Roman"/>
          <w:bCs/>
          <w:sz w:val="24"/>
          <w:szCs w:val="24"/>
          <w:lang w:eastAsia="sk-SK"/>
        </w:rPr>
        <w:t xml:space="preserve">. [všeobecné nariadenie]. </w:t>
      </w:r>
      <w:r>
        <w:rPr>
          <w:rFonts w:ascii="Times New Roman" w:eastAsia="Times New Roman" w:hAnsi="Times New Roman" w:cs="Times New Roman"/>
          <w:bCs/>
          <w:sz w:val="24"/>
          <w:szCs w:val="24"/>
          <w:lang w:eastAsia="sk-SK"/>
        </w:rPr>
        <w:t>V</w:t>
      </w:r>
      <w:r w:rsidRPr="00186A74">
        <w:rPr>
          <w:rFonts w:ascii="Times New Roman" w:eastAsia="Times New Roman" w:hAnsi="Times New Roman" w:cs="Times New Roman"/>
          <w:bCs/>
          <w:sz w:val="24"/>
          <w:szCs w:val="24"/>
          <w:lang w:eastAsia="sk-SK"/>
        </w:rPr>
        <w:t xml:space="preserve"> rámci stratégií miestneho rozvoja vedeného komunitou uvedených v</w:t>
      </w:r>
      <w:r>
        <w:rPr>
          <w:rFonts w:ascii="Times New Roman" w:eastAsia="Times New Roman" w:hAnsi="Times New Roman" w:cs="Times New Roman"/>
          <w:bCs/>
          <w:sz w:val="24"/>
          <w:szCs w:val="24"/>
          <w:lang w:eastAsia="sk-SK"/>
        </w:rPr>
        <w:t> </w:t>
      </w:r>
      <w:r w:rsidRPr="00186A74">
        <w:rPr>
          <w:rFonts w:ascii="Times New Roman" w:eastAsia="Times New Roman" w:hAnsi="Times New Roman" w:cs="Times New Roman"/>
          <w:bCs/>
          <w:sz w:val="24"/>
          <w:szCs w:val="24"/>
          <w:lang w:eastAsia="sk-SK"/>
        </w:rPr>
        <w:t>čl</w:t>
      </w:r>
      <w:r>
        <w:rPr>
          <w:rFonts w:ascii="Times New Roman" w:eastAsia="Times New Roman" w:hAnsi="Times New Roman" w:cs="Times New Roman"/>
          <w:bCs/>
          <w:sz w:val="24"/>
          <w:szCs w:val="24"/>
          <w:lang w:eastAsia="sk-SK"/>
        </w:rPr>
        <w:t>.</w:t>
      </w:r>
      <w:r w:rsidRPr="00186A74">
        <w:rPr>
          <w:rFonts w:ascii="Times New Roman" w:eastAsia="Times New Roman" w:hAnsi="Times New Roman" w:cs="Times New Roman"/>
          <w:bCs/>
          <w:sz w:val="24"/>
          <w:szCs w:val="24"/>
          <w:lang w:eastAsia="sk-SK"/>
        </w:rPr>
        <w:t xml:space="preserve"> 26 nariadenia (EÚ) č. [všeobecné nariadenie] </w:t>
      </w:r>
      <w:r>
        <w:rPr>
          <w:rFonts w:ascii="Times New Roman" w:eastAsia="Times New Roman" w:hAnsi="Times New Roman" w:cs="Times New Roman"/>
          <w:bCs/>
          <w:sz w:val="24"/>
          <w:szCs w:val="24"/>
          <w:lang w:eastAsia="sk-SK"/>
        </w:rPr>
        <w:t xml:space="preserve">sa </w:t>
      </w:r>
      <w:r w:rsidRPr="00186A74">
        <w:rPr>
          <w:rFonts w:ascii="Times New Roman" w:eastAsia="Times New Roman" w:hAnsi="Times New Roman" w:cs="Times New Roman"/>
          <w:bCs/>
          <w:sz w:val="24"/>
          <w:szCs w:val="24"/>
          <w:lang w:eastAsia="sk-SK"/>
        </w:rPr>
        <w:t>zabezpečí, aby miestne komunity lepšie využívali príležitosti, ktoré ponúka modré hospodárstvo, pričom využijú a posilnia environmentálne, kultúrne, sociálne a ľudské zdroje.</w:t>
      </w:r>
    </w:p>
    <w:p w:rsidR="002C3080" w:rsidRPr="00186A74" w:rsidRDefault="002C3080" w:rsidP="00032B28">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27</w:t>
      </w:r>
      <w:r w:rsidRPr="00C23DB2">
        <w:rPr>
          <w:rFonts w:ascii="Times New Roman" w:hAnsi="Times New Roman" w:cs="Times New Roman"/>
          <w:noProof/>
          <w:sz w:val="24"/>
          <w:szCs w:val="24"/>
        </w:rPr>
        <w:t xml:space="preserve"> </w:t>
      </w:r>
      <w:r w:rsidR="00186A74">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186A74" w:rsidRPr="00186A74">
        <w:rPr>
          <w:rFonts w:ascii="Times New Roman" w:hAnsi="Times New Roman" w:cs="Times New Roman"/>
          <w:b/>
          <w:noProof/>
          <w:sz w:val="24"/>
          <w:szCs w:val="24"/>
        </w:rPr>
        <w:t>Poznatky o mori</w:t>
      </w:r>
    </w:p>
    <w:p w:rsidR="00186A74" w:rsidRPr="00186A74" w:rsidRDefault="00186A74" w:rsidP="00186A74">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Stanovuje </w:t>
      </w:r>
      <w:r w:rsidRPr="00186A74">
        <w:rPr>
          <w:rFonts w:ascii="Times New Roman" w:eastAsia="Times New Roman" w:hAnsi="Times New Roman" w:cs="Times New Roman"/>
          <w:bCs/>
          <w:sz w:val="24"/>
          <w:szCs w:val="24"/>
          <w:lang w:eastAsia="sk-SK"/>
        </w:rPr>
        <w:t>možno</w:t>
      </w:r>
      <w:r>
        <w:rPr>
          <w:rFonts w:ascii="Times New Roman" w:eastAsia="Times New Roman" w:hAnsi="Times New Roman" w:cs="Times New Roman"/>
          <w:bCs/>
          <w:sz w:val="24"/>
          <w:szCs w:val="24"/>
          <w:lang w:eastAsia="sk-SK"/>
        </w:rPr>
        <w:t>sť</w:t>
      </w:r>
      <w:r w:rsidRPr="00186A74">
        <w:rPr>
          <w:rFonts w:ascii="Times New Roman" w:eastAsia="Times New Roman" w:hAnsi="Times New Roman" w:cs="Times New Roman"/>
          <w:bCs/>
          <w:sz w:val="24"/>
          <w:szCs w:val="24"/>
          <w:lang w:eastAsia="sk-SK"/>
        </w:rPr>
        <w:t xml:space="preserve"> podporovať zber, správu a využívanie údajov na účely prehĺbenia poznatkov o stave morského prostredia</w:t>
      </w:r>
      <w:r>
        <w:rPr>
          <w:rFonts w:ascii="Times New Roman" w:eastAsia="Times New Roman" w:hAnsi="Times New Roman" w:cs="Times New Roman"/>
          <w:bCs/>
          <w:sz w:val="24"/>
          <w:szCs w:val="24"/>
          <w:lang w:eastAsia="sk-SK"/>
        </w:rPr>
        <w:t>.</w:t>
      </w:r>
      <w:r w:rsidRPr="00186A74">
        <w:rPr>
          <w:rFonts w:ascii="Times New Roman" w:eastAsia="Times New Roman" w:hAnsi="Times New Roman" w:cs="Times New Roman"/>
          <w:bCs/>
          <w:sz w:val="24"/>
          <w:szCs w:val="24"/>
          <w:lang w:eastAsia="sk-SK"/>
        </w:rPr>
        <w:t xml:space="preserve"> </w:t>
      </w:r>
    </w:p>
    <w:p w:rsidR="00C25F57" w:rsidRPr="00C25F57" w:rsidRDefault="00C25F57" w:rsidP="00B61E0A">
      <w:pPr>
        <w:spacing w:before="240" w:after="120" w:line="240" w:lineRule="auto"/>
        <w:jc w:val="both"/>
        <w:rPr>
          <w:rFonts w:ascii="Times New Roman" w:hAnsi="Times New Roman" w:cs="Times New Roman"/>
          <w:b/>
          <w:bCs/>
          <w:sz w:val="24"/>
          <w:szCs w:val="24"/>
        </w:rPr>
      </w:pPr>
      <w:r w:rsidRPr="00C25F57">
        <w:rPr>
          <w:rFonts w:ascii="Times New Roman" w:hAnsi="Times New Roman" w:cs="Times New Roman"/>
          <w:b/>
          <w:noProof/>
          <w:sz w:val="24"/>
          <w:szCs w:val="24"/>
        </w:rPr>
        <w:t xml:space="preserve">Kapitola V – </w:t>
      </w:r>
      <w:r w:rsidR="00186A74" w:rsidRPr="00C25F57">
        <w:rPr>
          <w:rFonts w:ascii="Times New Roman" w:hAnsi="Times New Roman" w:cs="Times New Roman"/>
          <w:b/>
          <w:bCs/>
          <w:sz w:val="24"/>
          <w:szCs w:val="24"/>
        </w:rPr>
        <w:t xml:space="preserve">Priorita 4: Posilnenie medzinárodnej správy oceánov a umožnenie bezpečných, chránených, čistých a udržateľne spravovaných morí </w:t>
      </w:r>
    </w:p>
    <w:p w:rsidR="002C3080" w:rsidRPr="00C25F57" w:rsidRDefault="002C3080" w:rsidP="002D3BB3">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28</w:t>
      </w:r>
      <w:r w:rsidRPr="00C23DB2">
        <w:rPr>
          <w:rFonts w:ascii="Times New Roman" w:hAnsi="Times New Roman" w:cs="Times New Roman"/>
          <w:noProof/>
          <w:sz w:val="24"/>
          <w:szCs w:val="24"/>
        </w:rPr>
        <w:t xml:space="preserve"> </w:t>
      </w:r>
      <w:r w:rsidR="00C25F57">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C25F57" w:rsidRPr="00C25F57">
        <w:rPr>
          <w:rFonts w:ascii="Times New Roman" w:hAnsi="Times New Roman" w:cs="Times New Roman"/>
          <w:b/>
          <w:noProof/>
          <w:sz w:val="24"/>
          <w:szCs w:val="24"/>
        </w:rPr>
        <w:t>Námorný dozor</w:t>
      </w:r>
    </w:p>
    <w:p w:rsidR="00C25F57" w:rsidRPr="00C25F57" w:rsidRDefault="00C25F57" w:rsidP="00C25F57">
      <w:pPr>
        <w:spacing w:after="0" w:line="240" w:lineRule="auto"/>
        <w:jc w:val="both"/>
        <w:rPr>
          <w:rFonts w:ascii="Times New Roman" w:hAnsi="Times New Roman" w:cs="Times New Roman"/>
          <w:noProof/>
          <w:sz w:val="24"/>
          <w:szCs w:val="24"/>
        </w:rPr>
      </w:pPr>
      <w:r w:rsidRPr="00C25F57">
        <w:rPr>
          <w:rFonts w:ascii="Times New Roman" w:hAnsi="Times New Roman" w:cs="Times New Roman"/>
          <w:noProof/>
          <w:sz w:val="24"/>
          <w:szCs w:val="24"/>
        </w:rPr>
        <w:t>Stanovuje možnosť podporovať akcie, ktoré prispievajú k dosahovaniu cieľov v oblasti spoločného prostredia na výmenu informáci</w:t>
      </w:r>
      <w:r>
        <w:rPr>
          <w:rFonts w:ascii="Times New Roman" w:hAnsi="Times New Roman" w:cs="Times New Roman"/>
          <w:noProof/>
          <w:sz w:val="24"/>
          <w:szCs w:val="24"/>
        </w:rPr>
        <w:t>í.</w:t>
      </w:r>
    </w:p>
    <w:p w:rsidR="002C3080" w:rsidRPr="00C25F57" w:rsidRDefault="002C3080" w:rsidP="002D3BB3">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29</w:t>
      </w:r>
      <w:r w:rsidRPr="00C23DB2">
        <w:rPr>
          <w:rFonts w:ascii="Times New Roman" w:hAnsi="Times New Roman" w:cs="Times New Roman"/>
          <w:noProof/>
          <w:sz w:val="24"/>
          <w:szCs w:val="24"/>
        </w:rPr>
        <w:t xml:space="preserve"> </w:t>
      </w:r>
      <w:r w:rsidR="00C25F57">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C25F57" w:rsidRPr="00C25F57">
        <w:rPr>
          <w:rFonts w:ascii="Times New Roman" w:hAnsi="Times New Roman" w:cs="Times New Roman"/>
          <w:b/>
          <w:noProof/>
          <w:sz w:val="24"/>
          <w:szCs w:val="24"/>
        </w:rPr>
        <w:t>Spolupráca medzi pobrežnými strážami</w:t>
      </w:r>
    </w:p>
    <w:p w:rsidR="00C25F57" w:rsidRPr="00C25F57" w:rsidRDefault="006453A1" w:rsidP="00C25F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Stano</w:t>
      </w:r>
      <w:r w:rsidR="00C25F57">
        <w:rPr>
          <w:rFonts w:ascii="Times New Roman" w:hAnsi="Times New Roman" w:cs="Times New Roman"/>
          <w:noProof/>
          <w:sz w:val="24"/>
          <w:szCs w:val="24"/>
        </w:rPr>
        <w:t xml:space="preserve">vuje </w:t>
      </w:r>
      <w:r w:rsidR="00C25F57" w:rsidRPr="00C25F57">
        <w:rPr>
          <w:rFonts w:ascii="Times New Roman" w:hAnsi="Times New Roman" w:cs="Times New Roman"/>
          <w:noProof/>
          <w:sz w:val="24"/>
          <w:szCs w:val="24"/>
        </w:rPr>
        <w:t>možno</w:t>
      </w:r>
      <w:r w:rsidR="00C25F57">
        <w:rPr>
          <w:rFonts w:ascii="Times New Roman" w:hAnsi="Times New Roman" w:cs="Times New Roman"/>
          <w:noProof/>
          <w:sz w:val="24"/>
          <w:szCs w:val="24"/>
        </w:rPr>
        <w:t>sť</w:t>
      </w:r>
      <w:r w:rsidR="00C25F57" w:rsidRPr="00C25F57">
        <w:rPr>
          <w:rFonts w:ascii="Times New Roman" w:hAnsi="Times New Roman" w:cs="Times New Roman"/>
          <w:noProof/>
          <w:sz w:val="24"/>
          <w:szCs w:val="24"/>
        </w:rPr>
        <w:t xml:space="preserve"> podporovať akcie vykonávané vnútroštátnymi orgánmi, ktoré prispievajú k európskej spolupráci pri činnostiach pobrežnej stráže</w:t>
      </w:r>
      <w:r w:rsidR="00C25F57">
        <w:rPr>
          <w:rFonts w:ascii="Times New Roman" w:hAnsi="Times New Roman" w:cs="Times New Roman"/>
          <w:noProof/>
          <w:sz w:val="24"/>
          <w:szCs w:val="24"/>
        </w:rPr>
        <w:t>.</w:t>
      </w:r>
      <w:r w:rsidR="00C25F57" w:rsidRPr="00C25F57">
        <w:rPr>
          <w:rFonts w:ascii="Times New Roman" w:hAnsi="Times New Roman" w:cs="Times New Roman"/>
          <w:noProof/>
          <w:sz w:val="24"/>
          <w:szCs w:val="24"/>
        </w:rPr>
        <w:t xml:space="preserve"> </w:t>
      </w:r>
    </w:p>
    <w:p w:rsidR="00C25F57" w:rsidRPr="00C25F57" w:rsidRDefault="00C25F57" w:rsidP="00B61E0A">
      <w:pPr>
        <w:spacing w:before="240" w:after="120" w:line="240" w:lineRule="auto"/>
        <w:jc w:val="both"/>
        <w:rPr>
          <w:rFonts w:ascii="Times New Roman" w:hAnsi="Times New Roman" w:cs="Times New Roman"/>
          <w:b/>
          <w:i/>
          <w:noProof/>
          <w:sz w:val="24"/>
          <w:szCs w:val="24"/>
        </w:rPr>
      </w:pPr>
      <w:r w:rsidRPr="00D1078B">
        <w:rPr>
          <w:rFonts w:ascii="Times New Roman" w:hAnsi="Times New Roman" w:cs="Times New Roman"/>
          <w:b/>
          <w:noProof/>
          <w:sz w:val="24"/>
          <w:szCs w:val="24"/>
        </w:rPr>
        <w:t>Kapitola</w:t>
      </w:r>
      <w:r>
        <w:rPr>
          <w:rFonts w:ascii="Times New Roman" w:hAnsi="Times New Roman" w:cs="Times New Roman"/>
          <w:b/>
          <w:noProof/>
          <w:sz w:val="24"/>
          <w:szCs w:val="24"/>
        </w:rPr>
        <w:t xml:space="preserve">VI </w:t>
      </w:r>
      <w:r>
        <w:rPr>
          <w:rFonts w:ascii="Times New Roman" w:hAnsi="Times New Roman" w:cs="Times New Roman"/>
          <w:b/>
          <w:i/>
          <w:noProof/>
          <w:sz w:val="24"/>
          <w:szCs w:val="24"/>
        </w:rPr>
        <w:t xml:space="preserve">– </w:t>
      </w:r>
      <w:r w:rsidRPr="00C25F57">
        <w:rPr>
          <w:rFonts w:ascii="Times New Roman" w:hAnsi="Times New Roman" w:cs="Times New Roman"/>
          <w:b/>
          <w:noProof/>
          <w:sz w:val="24"/>
          <w:szCs w:val="24"/>
        </w:rPr>
        <w:t>Pravidlá implementácie v rámci zdieľaného riadenia</w:t>
      </w:r>
    </w:p>
    <w:p w:rsidR="00C25F57" w:rsidRPr="00BE4480" w:rsidRDefault="00C25F57" w:rsidP="00D90109">
      <w:pPr>
        <w:spacing w:before="240" w:after="24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Oddiel 1</w:t>
      </w:r>
      <w:r w:rsidRPr="00BE4480">
        <w:rPr>
          <w:rFonts w:ascii="Times New Roman" w:hAnsi="Times New Roman" w:cs="Times New Roman"/>
          <w:noProof/>
          <w:sz w:val="24"/>
          <w:szCs w:val="24"/>
          <w:u w:val="single"/>
        </w:rPr>
        <w:t xml:space="preserve"> – </w:t>
      </w:r>
      <w:r>
        <w:rPr>
          <w:rFonts w:ascii="Times New Roman" w:hAnsi="Times New Roman" w:cs="Times New Roman"/>
          <w:noProof/>
          <w:sz w:val="24"/>
          <w:szCs w:val="24"/>
          <w:u w:val="single"/>
        </w:rPr>
        <w:t>Podpora z ENRF</w:t>
      </w:r>
    </w:p>
    <w:p w:rsidR="002C3080" w:rsidRPr="00C23DB2" w:rsidRDefault="002C3080" w:rsidP="00C25F57">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30</w:t>
      </w:r>
      <w:r w:rsidRPr="00C23DB2">
        <w:rPr>
          <w:rFonts w:ascii="Times New Roman" w:hAnsi="Times New Roman" w:cs="Times New Roman"/>
          <w:noProof/>
          <w:sz w:val="24"/>
          <w:szCs w:val="24"/>
        </w:rPr>
        <w:t xml:space="preserve"> </w:t>
      </w:r>
      <w:r w:rsidR="00C25F57">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C25F57" w:rsidRPr="00C25F57">
        <w:rPr>
          <w:rFonts w:ascii="Times New Roman" w:hAnsi="Times New Roman" w:cs="Times New Roman"/>
          <w:b/>
          <w:noProof/>
          <w:sz w:val="24"/>
          <w:szCs w:val="24"/>
        </w:rPr>
        <w:t>Výpočet dodatočných nákladov alebo ušlého príjmu</w:t>
      </w:r>
    </w:p>
    <w:p w:rsidR="00C25F57" w:rsidRPr="00C25F57" w:rsidRDefault="00C25F57" w:rsidP="00C25F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Stanovuje, že p</w:t>
      </w:r>
      <w:r w:rsidRPr="00C25F57">
        <w:rPr>
          <w:rFonts w:ascii="Times New Roman" w:hAnsi="Times New Roman" w:cs="Times New Roman"/>
          <w:noProof/>
          <w:sz w:val="24"/>
          <w:szCs w:val="24"/>
        </w:rPr>
        <w:t>odpora poskytovaná na kompenzáciu dodatočných nákladov alebo ušlého príjmu sa poskytuje v akejkoľvek z foriem uvedených v článku 46 písm. a), c), d) a e) nariadenia (EÚ) č</w:t>
      </w:r>
      <w:r w:rsidRPr="00381EA4">
        <w:rPr>
          <w:rFonts w:ascii="Times New Roman" w:hAnsi="Times New Roman" w:cs="Times New Roman"/>
          <w:noProof/>
          <w:sz w:val="24"/>
          <w:szCs w:val="24"/>
        </w:rPr>
        <w:t>. [všeobecné nariadenie].</w:t>
      </w:r>
    </w:p>
    <w:p w:rsidR="00C25F57" w:rsidRPr="00C25F57" w:rsidRDefault="002C3080" w:rsidP="00C25F57">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31</w:t>
      </w:r>
      <w:r w:rsidRPr="00C23DB2">
        <w:rPr>
          <w:rFonts w:ascii="Times New Roman" w:hAnsi="Times New Roman" w:cs="Times New Roman"/>
          <w:noProof/>
          <w:sz w:val="24"/>
          <w:szCs w:val="24"/>
        </w:rPr>
        <w:t xml:space="preserve"> </w:t>
      </w:r>
      <w:r w:rsidR="00C25F57">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C25F57" w:rsidRPr="00C25F57">
        <w:rPr>
          <w:rFonts w:ascii="Times New Roman" w:hAnsi="Times New Roman" w:cs="Times New Roman"/>
          <w:b/>
          <w:noProof/>
          <w:sz w:val="24"/>
          <w:szCs w:val="24"/>
        </w:rPr>
        <w:t>Stanovenie miery spolufinancovania</w:t>
      </w:r>
      <w:r w:rsidR="00C25F57">
        <w:rPr>
          <w:i/>
          <w:iCs/>
          <w:sz w:val="23"/>
          <w:szCs w:val="23"/>
        </w:rPr>
        <w:t xml:space="preserve"> </w:t>
      </w:r>
    </w:p>
    <w:p w:rsidR="00C25F57" w:rsidRPr="00C25F57" w:rsidRDefault="00B61E0A" w:rsidP="00C25F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Odkazuje na prílohu II, v ktorej je stanovená m</w:t>
      </w:r>
      <w:r w:rsidR="00C25F57" w:rsidRPr="00C25F57">
        <w:rPr>
          <w:rFonts w:ascii="Times New Roman" w:hAnsi="Times New Roman" w:cs="Times New Roman"/>
          <w:noProof/>
          <w:sz w:val="24"/>
          <w:szCs w:val="24"/>
        </w:rPr>
        <w:t>aximálna miera sp</w:t>
      </w:r>
      <w:r w:rsidR="0044695D">
        <w:rPr>
          <w:rFonts w:ascii="Times New Roman" w:hAnsi="Times New Roman" w:cs="Times New Roman"/>
          <w:noProof/>
          <w:sz w:val="24"/>
          <w:szCs w:val="24"/>
        </w:rPr>
        <w:t>olufinancovania z ENRF podľa jednotlivých oblastí</w:t>
      </w:r>
      <w:r w:rsidR="00C25F57" w:rsidRPr="00C25F57">
        <w:rPr>
          <w:rFonts w:ascii="Times New Roman" w:hAnsi="Times New Roman" w:cs="Times New Roman"/>
          <w:noProof/>
          <w:sz w:val="24"/>
          <w:szCs w:val="24"/>
        </w:rPr>
        <w:t xml:space="preserve"> podpory.</w:t>
      </w:r>
    </w:p>
    <w:p w:rsidR="002C3080" w:rsidRPr="00C23DB2" w:rsidRDefault="002C3080" w:rsidP="00C25F57">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32</w:t>
      </w:r>
      <w:r w:rsidRPr="00C23DB2">
        <w:rPr>
          <w:rFonts w:ascii="Times New Roman" w:hAnsi="Times New Roman" w:cs="Times New Roman"/>
          <w:noProof/>
          <w:sz w:val="24"/>
          <w:szCs w:val="24"/>
        </w:rPr>
        <w:t xml:space="preserve"> </w:t>
      </w:r>
      <w:r w:rsidR="00C25F57">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C25F57" w:rsidRPr="00C25F57">
        <w:rPr>
          <w:rFonts w:ascii="Times New Roman" w:hAnsi="Times New Roman" w:cs="Times New Roman"/>
          <w:b/>
          <w:noProof/>
          <w:sz w:val="24"/>
          <w:szCs w:val="24"/>
        </w:rPr>
        <w:t>Výška verejnej pomoci</w:t>
      </w:r>
    </w:p>
    <w:p w:rsidR="00C25F57" w:rsidRPr="00C25F57" w:rsidRDefault="00C25F57" w:rsidP="002705F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Stanovuje</w:t>
      </w:r>
      <w:r w:rsidRPr="00C25F57">
        <w:rPr>
          <w:rFonts w:ascii="Times New Roman" w:hAnsi="Times New Roman" w:cs="Times New Roman"/>
          <w:noProof/>
          <w:sz w:val="24"/>
          <w:szCs w:val="24"/>
        </w:rPr>
        <w:t xml:space="preserve"> mieru maximálnej intenzity pomoci vo výške 50 % celkových o</w:t>
      </w:r>
      <w:r>
        <w:rPr>
          <w:rFonts w:ascii="Times New Roman" w:hAnsi="Times New Roman" w:cs="Times New Roman"/>
          <w:noProof/>
          <w:sz w:val="24"/>
          <w:szCs w:val="24"/>
        </w:rPr>
        <w:t>právnenýc</w:t>
      </w:r>
      <w:r w:rsidR="00B61E0A">
        <w:rPr>
          <w:rFonts w:ascii="Times New Roman" w:hAnsi="Times New Roman" w:cs="Times New Roman"/>
          <w:noProof/>
          <w:sz w:val="24"/>
          <w:szCs w:val="24"/>
        </w:rPr>
        <w:t>h výdavkov na operá</w:t>
      </w:r>
      <w:r w:rsidR="00032B28">
        <w:rPr>
          <w:rFonts w:ascii="Times New Roman" w:hAnsi="Times New Roman" w:cs="Times New Roman"/>
          <w:noProof/>
          <w:sz w:val="24"/>
          <w:szCs w:val="24"/>
        </w:rPr>
        <w:t>ciu, pričom od</w:t>
      </w:r>
      <w:r w:rsidR="00B61E0A">
        <w:rPr>
          <w:rFonts w:ascii="Times New Roman" w:hAnsi="Times New Roman" w:cs="Times New Roman"/>
          <w:noProof/>
          <w:sz w:val="24"/>
          <w:szCs w:val="24"/>
        </w:rPr>
        <w:t>kazuje na prílohu</w:t>
      </w:r>
      <w:r>
        <w:rPr>
          <w:rFonts w:ascii="Times New Roman" w:hAnsi="Times New Roman" w:cs="Times New Roman"/>
          <w:noProof/>
          <w:sz w:val="24"/>
          <w:szCs w:val="24"/>
        </w:rPr>
        <w:t xml:space="preserve"> III</w:t>
      </w:r>
      <w:r w:rsidR="00032B28">
        <w:rPr>
          <w:rFonts w:ascii="Times New Roman" w:hAnsi="Times New Roman" w:cs="Times New Roman"/>
          <w:noProof/>
          <w:sz w:val="24"/>
          <w:szCs w:val="24"/>
        </w:rPr>
        <w:t xml:space="preserve"> nariadenia o ENRF</w:t>
      </w:r>
      <w:r w:rsidR="00B61E0A">
        <w:rPr>
          <w:rFonts w:ascii="Times New Roman" w:hAnsi="Times New Roman" w:cs="Times New Roman"/>
          <w:noProof/>
          <w:sz w:val="24"/>
          <w:szCs w:val="24"/>
        </w:rPr>
        <w:t>, ktorá</w:t>
      </w:r>
      <w:r>
        <w:rPr>
          <w:rFonts w:ascii="Times New Roman" w:hAnsi="Times New Roman" w:cs="Times New Roman"/>
          <w:noProof/>
          <w:sz w:val="24"/>
          <w:szCs w:val="24"/>
        </w:rPr>
        <w:t xml:space="preserve"> stanovuje mieru</w:t>
      </w:r>
      <w:r w:rsidRPr="00C25F57">
        <w:rPr>
          <w:rFonts w:ascii="Times New Roman" w:hAnsi="Times New Roman" w:cs="Times New Roman"/>
          <w:noProof/>
          <w:sz w:val="24"/>
          <w:szCs w:val="24"/>
        </w:rPr>
        <w:t xml:space="preserve"> maximálnej intenzity pomoci pre určité oblasti podpory a určité typy oper</w:t>
      </w:r>
      <w:r w:rsidR="00032B28">
        <w:rPr>
          <w:rFonts w:ascii="Times New Roman" w:hAnsi="Times New Roman" w:cs="Times New Roman"/>
          <w:noProof/>
          <w:sz w:val="24"/>
          <w:szCs w:val="24"/>
        </w:rPr>
        <w:t xml:space="preserve">ácií.               </w:t>
      </w:r>
    </w:p>
    <w:p w:rsidR="002705F7" w:rsidRPr="00BE4480" w:rsidRDefault="002705F7" w:rsidP="00D90109">
      <w:pPr>
        <w:spacing w:before="240" w:after="24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Oddiel 2</w:t>
      </w:r>
      <w:r w:rsidRPr="00BE4480">
        <w:rPr>
          <w:rFonts w:ascii="Times New Roman" w:hAnsi="Times New Roman" w:cs="Times New Roman"/>
          <w:noProof/>
          <w:sz w:val="24"/>
          <w:szCs w:val="24"/>
          <w:u w:val="single"/>
        </w:rPr>
        <w:t xml:space="preserve"> – </w:t>
      </w:r>
      <w:r>
        <w:rPr>
          <w:rFonts w:ascii="Times New Roman" w:hAnsi="Times New Roman" w:cs="Times New Roman"/>
          <w:noProof/>
          <w:sz w:val="24"/>
          <w:szCs w:val="24"/>
          <w:u w:val="single"/>
        </w:rPr>
        <w:t>Finančné riadenie</w:t>
      </w:r>
    </w:p>
    <w:p w:rsidR="002C3080" w:rsidRDefault="002C3080" w:rsidP="002705F7">
      <w:pPr>
        <w:spacing w:before="120" w:after="0" w:line="240" w:lineRule="auto"/>
        <w:jc w:val="both"/>
        <w:rPr>
          <w:rFonts w:ascii="Times New Roman" w:hAnsi="Times New Roman" w:cs="Times New Roman"/>
          <w:b/>
          <w:noProof/>
          <w:sz w:val="24"/>
          <w:szCs w:val="24"/>
        </w:rPr>
      </w:pPr>
      <w:r w:rsidRPr="00C23DB2">
        <w:rPr>
          <w:rFonts w:ascii="Times New Roman" w:hAnsi="Times New Roman" w:cs="Times New Roman"/>
          <w:i/>
          <w:noProof/>
          <w:sz w:val="24"/>
          <w:szCs w:val="24"/>
        </w:rPr>
        <w:t>Článok 33</w:t>
      </w:r>
      <w:r w:rsidRPr="00C23DB2">
        <w:rPr>
          <w:rFonts w:ascii="Times New Roman" w:hAnsi="Times New Roman" w:cs="Times New Roman"/>
          <w:noProof/>
          <w:sz w:val="24"/>
          <w:szCs w:val="24"/>
        </w:rPr>
        <w:t xml:space="preserve"> </w:t>
      </w:r>
      <w:r w:rsidR="002705F7">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2705F7" w:rsidRPr="002705F7">
        <w:rPr>
          <w:rFonts w:ascii="Times New Roman" w:hAnsi="Times New Roman" w:cs="Times New Roman"/>
          <w:b/>
          <w:noProof/>
          <w:sz w:val="24"/>
          <w:szCs w:val="24"/>
        </w:rPr>
        <w:t>Prerušenie lehoty na platbu</w:t>
      </w:r>
    </w:p>
    <w:p w:rsidR="002705F7" w:rsidRPr="00C23DB2" w:rsidRDefault="002705F7" w:rsidP="002705F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Upravuje preručenie lehoty</w:t>
      </w:r>
      <w:r w:rsidRPr="002705F7">
        <w:rPr>
          <w:rFonts w:ascii="Times New Roman" w:hAnsi="Times New Roman" w:cs="Times New Roman"/>
          <w:noProof/>
          <w:sz w:val="24"/>
          <w:szCs w:val="24"/>
        </w:rPr>
        <w:t xml:space="preserve"> na platbu pre žiadosť o priebežnú platbu </w:t>
      </w:r>
      <w:r w:rsidR="00AF7035">
        <w:rPr>
          <w:rFonts w:ascii="Times New Roman" w:hAnsi="Times New Roman" w:cs="Times New Roman"/>
          <w:noProof/>
          <w:sz w:val="24"/>
          <w:szCs w:val="24"/>
        </w:rPr>
        <w:t xml:space="preserve">zo strany Komisie </w:t>
      </w:r>
      <w:r w:rsidRPr="002705F7">
        <w:rPr>
          <w:rFonts w:ascii="Times New Roman" w:hAnsi="Times New Roman" w:cs="Times New Roman"/>
          <w:noProof/>
          <w:sz w:val="24"/>
          <w:szCs w:val="24"/>
        </w:rPr>
        <w:t>alebo jej časť v prípade, že ČŠ nedodržal pravidlá platné v rámci SRP, a toto nedodržanie pravidiel môže mať vplyv na výdavky uvedené v žiadosti o platbu, pre ktoré sa požaduje priebežná platba.</w:t>
      </w:r>
      <w:r w:rsidRPr="002705F7">
        <w:t xml:space="preserve"> </w:t>
      </w:r>
      <w:r w:rsidRPr="002705F7">
        <w:rPr>
          <w:rFonts w:ascii="Times New Roman" w:hAnsi="Times New Roman" w:cs="Times New Roman"/>
          <w:noProof/>
          <w:sz w:val="24"/>
          <w:szCs w:val="24"/>
        </w:rPr>
        <w:t>Komisia je splnomocnená prijímať v súlade s</w:t>
      </w:r>
      <w:r>
        <w:rPr>
          <w:rFonts w:ascii="Times New Roman" w:hAnsi="Times New Roman" w:cs="Times New Roman"/>
          <w:noProof/>
          <w:sz w:val="24"/>
          <w:szCs w:val="24"/>
        </w:rPr>
        <w:t> </w:t>
      </w:r>
      <w:r w:rsidRPr="002705F7">
        <w:rPr>
          <w:rFonts w:ascii="Times New Roman" w:hAnsi="Times New Roman" w:cs="Times New Roman"/>
          <w:noProof/>
          <w:sz w:val="24"/>
          <w:szCs w:val="24"/>
        </w:rPr>
        <w:t>čl</w:t>
      </w:r>
      <w:r>
        <w:rPr>
          <w:rFonts w:ascii="Times New Roman" w:hAnsi="Times New Roman" w:cs="Times New Roman"/>
          <w:noProof/>
          <w:sz w:val="24"/>
          <w:szCs w:val="24"/>
        </w:rPr>
        <w:t>.</w:t>
      </w:r>
      <w:r w:rsidRPr="002705F7">
        <w:rPr>
          <w:rFonts w:ascii="Times New Roman" w:hAnsi="Times New Roman" w:cs="Times New Roman"/>
          <w:noProof/>
          <w:sz w:val="24"/>
          <w:szCs w:val="24"/>
        </w:rPr>
        <w:t xml:space="preserve"> 52 delegované akty s cieľom vymedziť prípady nedodržania </w:t>
      </w:r>
      <w:r>
        <w:rPr>
          <w:rFonts w:ascii="Times New Roman" w:hAnsi="Times New Roman" w:cs="Times New Roman"/>
          <w:noProof/>
          <w:sz w:val="24"/>
          <w:szCs w:val="24"/>
        </w:rPr>
        <w:t xml:space="preserve">týchto </w:t>
      </w:r>
      <w:r w:rsidRPr="002705F7">
        <w:rPr>
          <w:rFonts w:ascii="Times New Roman" w:hAnsi="Times New Roman" w:cs="Times New Roman"/>
          <w:noProof/>
          <w:sz w:val="24"/>
          <w:szCs w:val="24"/>
        </w:rPr>
        <w:t>pravidiel.</w:t>
      </w:r>
    </w:p>
    <w:p w:rsidR="002705F7" w:rsidRDefault="002C3080" w:rsidP="002705F7">
      <w:pPr>
        <w:spacing w:before="120" w:after="0" w:line="240" w:lineRule="auto"/>
        <w:jc w:val="both"/>
        <w:rPr>
          <w:i/>
          <w:iCs/>
          <w:sz w:val="23"/>
          <w:szCs w:val="23"/>
        </w:rPr>
      </w:pPr>
      <w:r w:rsidRPr="00C23DB2">
        <w:rPr>
          <w:rFonts w:ascii="Times New Roman" w:hAnsi="Times New Roman" w:cs="Times New Roman"/>
          <w:i/>
          <w:noProof/>
          <w:sz w:val="24"/>
          <w:szCs w:val="24"/>
        </w:rPr>
        <w:lastRenderedPageBreak/>
        <w:t>Článok 34</w:t>
      </w:r>
      <w:r w:rsidRPr="00C23DB2">
        <w:rPr>
          <w:rFonts w:ascii="Times New Roman" w:hAnsi="Times New Roman" w:cs="Times New Roman"/>
          <w:noProof/>
          <w:sz w:val="24"/>
          <w:szCs w:val="24"/>
        </w:rPr>
        <w:t xml:space="preserve"> </w:t>
      </w:r>
      <w:r w:rsidR="002705F7">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2705F7" w:rsidRPr="002705F7">
        <w:rPr>
          <w:rFonts w:ascii="Times New Roman" w:hAnsi="Times New Roman" w:cs="Times New Roman"/>
          <w:b/>
          <w:noProof/>
          <w:sz w:val="24"/>
          <w:szCs w:val="24"/>
        </w:rPr>
        <w:t>Pozastavenie platieb</w:t>
      </w:r>
      <w:r w:rsidR="002705F7">
        <w:rPr>
          <w:i/>
          <w:iCs/>
          <w:sz w:val="23"/>
          <w:szCs w:val="23"/>
        </w:rPr>
        <w:t xml:space="preserve"> </w:t>
      </w:r>
    </w:p>
    <w:p w:rsidR="00AF7035" w:rsidRPr="00AF7035" w:rsidRDefault="00AF7035" w:rsidP="00AF7035">
      <w:pPr>
        <w:spacing w:after="0" w:line="240" w:lineRule="auto"/>
        <w:jc w:val="both"/>
        <w:rPr>
          <w:rFonts w:ascii="Times New Roman" w:hAnsi="Times New Roman" w:cs="Times New Roman"/>
          <w:noProof/>
          <w:sz w:val="24"/>
          <w:szCs w:val="24"/>
        </w:rPr>
      </w:pPr>
      <w:r w:rsidRPr="00AF7035">
        <w:rPr>
          <w:rFonts w:ascii="Times New Roman" w:hAnsi="Times New Roman" w:cs="Times New Roman"/>
          <w:noProof/>
          <w:sz w:val="24"/>
          <w:szCs w:val="24"/>
        </w:rPr>
        <w:t>Splnomocňuje Komisiu prijať vykonávacie akty, ktorými sa úplne alebo čiastočne pozastavia priebež</w:t>
      </w:r>
      <w:r>
        <w:rPr>
          <w:rFonts w:ascii="Times New Roman" w:hAnsi="Times New Roman" w:cs="Times New Roman"/>
          <w:noProof/>
          <w:sz w:val="24"/>
          <w:szCs w:val="24"/>
        </w:rPr>
        <w:t>né platby v rámci programu v prípade, že ČŠ sa</w:t>
      </w:r>
      <w:r w:rsidRPr="00AF7035">
        <w:rPr>
          <w:rFonts w:ascii="Times New Roman" w:hAnsi="Times New Roman" w:cs="Times New Roman"/>
          <w:noProof/>
          <w:sz w:val="24"/>
          <w:szCs w:val="24"/>
        </w:rPr>
        <w:t xml:space="preserve"> dopustí závažného nedodržania pravidiel platných v rámci SRP a toto závažné nedodržanie pravidiel môže mať vplyv na výdavky uvedené v žiadosti o platbu, pre ktoré sa požaduje priebežná platba </w:t>
      </w:r>
      <w:r>
        <w:rPr>
          <w:rFonts w:ascii="Times New Roman" w:hAnsi="Times New Roman" w:cs="Times New Roman"/>
          <w:noProof/>
          <w:sz w:val="24"/>
          <w:szCs w:val="24"/>
        </w:rPr>
        <w:t xml:space="preserve">vrátane prijatia </w:t>
      </w:r>
      <w:r w:rsidRPr="00AF7035">
        <w:rPr>
          <w:rFonts w:ascii="Times New Roman" w:hAnsi="Times New Roman" w:cs="Times New Roman"/>
          <w:noProof/>
          <w:sz w:val="24"/>
          <w:szCs w:val="24"/>
        </w:rPr>
        <w:t>delegovan</w:t>
      </w:r>
      <w:r>
        <w:rPr>
          <w:rFonts w:ascii="Times New Roman" w:hAnsi="Times New Roman" w:cs="Times New Roman"/>
          <w:noProof/>
          <w:sz w:val="24"/>
          <w:szCs w:val="24"/>
        </w:rPr>
        <w:t>ých aktov</w:t>
      </w:r>
      <w:r w:rsidRPr="00AF7035">
        <w:rPr>
          <w:rFonts w:ascii="Times New Roman" w:hAnsi="Times New Roman" w:cs="Times New Roman"/>
          <w:noProof/>
          <w:sz w:val="24"/>
          <w:szCs w:val="24"/>
        </w:rPr>
        <w:t xml:space="preserve"> s cieľom vymedziť prípady závažného nedodržania pravidiel</w:t>
      </w:r>
      <w:r>
        <w:rPr>
          <w:rFonts w:ascii="Times New Roman" w:hAnsi="Times New Roman" w:cs="Times New Roman"/>
          <w:noProof/>
          <w:sz w:val="24"/>
          <w:szCs w:val="24"/>
        </w:rPr>
        <w:t>.</w:t>
      </w:r>
    </w:p>
    <w:p w:rsidR="002705F7" w:rsidRDefault="002C3080" w:rsidP="00AF7035">
      <w:pPr>
        <w:spacing w:before="120" w:after="0" w:line="240" w:lineRule="auto"/>
        <w:jc w:val="both"/>
        <w:rPr>
          <w:i/>
          <w:iCs/>
          <w:sz w:val="23"/>
          <w:szCs w:val="23"/>
        </w:rPr>
      </w:pPr>
      <w:r w:rsidRPr="00C23DB2">
        <w:rPr>
          <w:rFonts w:ascii="Times New Roman" w:hAnsi="Times New Roman" w:cs="Times New Roman"/>
          <w:i/>
          <w:noProof/>
          <w:sz w:val="24"/>
          <w:szCs w:val="24"/>
        </w:rPr>
        <w:t>Článok 35</w:t>
      </w:r>
      <w:r w:rsidRPr="00C23DB2">
        <w:rPr>
          <w:rFonts w:ascii="Times New Roman" w:hAnsi="Times New Roman" w:cs="Times New Roman"/>
          <w:noProof/>
          <w:sz w:val="24"/>
          <w:szCs w:val="24"/>
        </w:rPr>
        <w:t xml:space="preserve"> </w:t>
      </w:r>
      <w:r w:rsidR="002705F7">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2705F7" w:rsidRPr="002705F7">
        <w:rPr>
          <w:rFonts w:ascii="Times New Roman" w:hAnsi="Times New Roman" w:cs="Times New Roman"/>
          <w:b/>
          <w:noProof/>
          <w:sz w:val="24"/>
          <w:szCs w:val="24"/>
        </w:rPr>
        <w:t>Finančné opravy vykonávané členskými štátmi</w:t>
      </w:r>
      <w:r w:rsidR="002705F7">
        <w:rPr>
          <w:i/>
          <w:iCs/>
          <w:sz w:val="23"/>
          <w:szCs w:val="23"/>
        </w:rPr>
        <w:t xml:space="preserve"> </w:t>
      </w:r>
    </w:p>
    <w:p w:rsidR="00AF7035" w:rsidRPr="00AF7035" w:rsidRDefault="00AF7035" w:rsidP="00AF7035">
      <w:pPr>
        <w:spacing w:after="0" w:line="240" w:lineRule="auto"/>
        <w:jc w:val="both"/>
        <w:rPr>
          <w:rFonts w:ascii="Times New Roman" w:hAnsi="Times New Roman" w:cs="Times New Roman"/>
          <w:noProof/>
          <w:sz w:val="24"/>
          <w:szCs w:val="24"/>
        </w:rPr>
      </w:pPr>
      <w:r w:rsidRPr="00AF7035">
        <w:rPr>
          <w:rFonts w:ascii="Times New Roman" w:hAnsi="Times New Roman" w:cs="Times New Roman"/>
          <w:noProof/>
          <w:sz w:val="24"/>
          <w:szCs w:val="24"/>
        </w:rPr>
        <w:t>Upravuje vykonanie finančných opráv zo strany ČŠ.</w:t>
      </w:r>
    </w:p>
    <w:p w:rsidR="002705F7" w:rsidRDefault="002C3080" w:rsidP="00AF7035">
      <w:pPr>
        <w:spacing w:before="120" w:after="0" w:line="240" w:lineRule="auto"/>
        <w:jc w:val="both"/>
        <w:rPr>
          <w:rFonts w:ascii="Times New Roman" w:hAnsi="Times New Roman" w:cs="Times New Roman"/>
          <w:b/>
          <w:noProof/>
          <w:sz w:val="24"/>
          <w:szCs w:val="24"/>
        </w:rPr>
      </w:pPr>
      <w:r w:rsidRPr="00C23DB2">
        <w:rPr>
          <w:rFonts w:ascii="Times New Roman" w:hAnsi="Times New Roman" w:cs="Times New Roman"/>
          <w:i/>
          <w:noProof/>
          <w:sz w:val="24"/>
          <w:szCs w:val="24"/>
        </w:rPr>
        <w:t>Článok 36</w:t>
      </w:r>
      <w:r w:rsidRPr="00C23DB2">
        <w:rPr>
          <w:rFonts w:ascii="Times New Roman" w:hAnsi="Times New Roman" w:cs="Times New Roman"/>
          <w:noProof/>
          <w:sz w:val="24"/>
          <w:szCs w:val="24"/>
        </w:rPr>
        <w:t xml:space="preserve"> </w:t>
      </w:r>
      <w:r w:rsidR="002705F7">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2705F7" w:rsidRPr="002705F7">
        <w:rPr>
          <w:rFonts w:ascii="Times New Roman" w:hAnsi="Times New Roman" w:cs="Times New Roman"/>
          <w:b/>
          <w:noProof/>
          <w:sz w:val="24"/>
          <w:szCs w:val="24"/>
        </w:rPr>
        <w:t>Finančné opravy vykonávané</w:t>
      </w:r>
      <w:r w:rsidR="002705F7">
        <w:rPr>
          <w:i/>
          <w:iCs/>
          <w:sz w:val="23"/>
          <w:szCs w:val="23"/>
        </w:rPr>
        <w:t xml:space="preserve"> </w:t>
      </w:r>
      <w:r w:rsidR="002705F7" w:rsidRPr="002705F7">
        <w:rPr>
          <w:rFonts w:ascii="Times New Roman" w:hAnsi="Times New Roman" w:cs="Times New Roman"/>
          <w:b/>
          <w:noProof/>
          <w:sz w:val="24"/>
          <w:szCs w:val="24"/>
        </w:rPr>
        <w:t xml:space="preserve">Komisiou </w:t>
      </w:r>
    </w:p>
    <w:p w:rsidR="00AF7035" w:rsidRPr="00AF7035" w:rsidRDefault="00AF7035" w:rsidP="00AF7035">
      <w:pPr>
        <w:pStyle w:val="Default"/>
        <w:jc w:val="both"/>
        <w:rPr>
          <w:noProof/>
          <w:color w:val="auto"/>
        </w:rPr>
      </w:pPr>
      <w:r w:rsidRPr="00AF7035">
        <w:rPr>
          <w:noProof/>
          <w:color w:val="auto"/>
        </w:rPr>
        <w:t xml:space="preserve">Splnomocňuje Komisiu prijať vykonávacie akty, ktorými sa vykonajú finančné opravy </w:t>
      </w:r>
      <w:r>
        <w:rPr>
          <w:noProof/>
          <w:color w:val="auto"/>
        </w:rPr>
        <w:t xml:space="preserve"> </w:t>
      </w:r>
      <w:r w:rsidRPr="00AF7035">
        <w:rPr>
          <w:noProof/>
          <w:color w:val="auto"/>
        </w:rPr>
        <w:t>príspevku Únie na program alebo jeho č</w:t>
      </w:r>
      <w:r>
        <w:rPr>
          <w:noProof/>
        </w:rPr>
        <w:t>asti</w:t>
      </w:r>
      <w:r w:rsidR="00D90109">
        <w:rPr>
          <w:noProof/>
        </w:rPr>
        <w:t xml:space="preserve">. Popisuje aspekty, ktoré Komisia zohľadňuje pri </w:t>
      </w:r>
      <w:r w:rsidR="00D90109">
        <w:rPr>
          <w:sz w:val="23"/>
          <w:szCs w:val="23"/>
        </w:rPr>
        <w:t xml:space="preserve">rozhodnutí o výške opravy. Zároveň splnomocňuje Komisiu </w:t>
      </w:r>
      <w:r>
        <w:rPr>
          <w:noProof/>
        </w:rPr>
        <w:t xml:space="preserve"> </w:t>
      </w:r>
      <w:r w:rsidR="00D90109">
        <w:rPr>
          <w:noProof/>
        </w:rPr>
        <w:t>prijať</w:t>
      </w:r>
      <w:r>
        <w:rPr>
          <w:noProof/>
        </w:rPr>
        <w:t xml:space="preserve"> delegocvan</w:t>
      </w:r>
      <w:r w:rsidR="00D90109">
        <w:rPr>
          <w:noProof/>
        </w:rPr>
        <w:t>é</w:t>
      </w:r>
      <w:r>
        <w:rPr>
          <w:noProof/>
        </w:rPr>
        <w:t xml:space="preserve"> akt</w:t>
      </w:r>
      <w:r w:rsidR="00D90109">
        <w:rPr>
          <w:noProof/>
        </w:rPr>
        <w:t>y</w:t>
      </w:r>
      <w:r>
        <w:rPr>
          <w:noProof/>
        </w:rPr>
        <w:t xml:space="preserve"> </w:t>
      </w:r>
      <w:r w:rsidRPr="00AF7035">
        <w:rPr>
          <w:noProof/>
        </w:rPr>
        <w:t>s cieľom určiť kritériá stanovenia úrovne finančných opráv, ktoré sa majú uplatniť, a kritériá uplatňovania paušálnych sadzieb alebo extrapolovaných finančných opráv</w:t>
      </w:r>
      <w:r w:rsidR="00032B28">
        <w:rPr>
          <w:noProof/>
        </w:rPr>
        <w:t>.</w:t>
      </w:r>
    </w:p>
    <w:p w:rsidR="002705F7" w:rsidRPr="00BE4480" w:rsidRDefault="002705F7" w:rsidP="00D90109">
      <w:pPr>
        <w:spacing w:before="240" w:after="24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Oddiel 3</w:t>
      </w:r>
      <w:r w:rsidRPr="00BE4480">
        <w:rPr>
          <w:rFonts w:ascii="Times New Roman" w:hAnsi="Times New Roman" w:cs="Times New Roman"/>
          <w:noProof/>
          <w:sz w:val="24"/>
          <w:szCs w:val="24"/>
          <w:u w:val="single"/>
        </w:rPr>
        <w:t xml:space="preserve"> – </w:t>
      </w:r>
      <w:r>
        <w:rPr>
          <w:rFonts w:ascii="Times New Roman" w:hAnsi="Times New Roman" w:cs="Times New Roman"/>
          <w:noProof/>
          <w:sz w:val="24"/>
          <w:szCs w:val="24"/>
          <w:u w:val="single"/>
        </w:rPr>
        <w:t>Monitorovanie a podávanie správ</w:t>
      </w:r>
    </w:p>
    <w:p w:rsidR="002705F7" w:rsidRPr="00D90109" w:rsidRDefault="00D90109" w:rsidP="001623A8">
      <w:pPr>
        <w:spacing w:before="8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37</w:t>
      </w:r>
      <w:r w:rsidRPr="00C23DB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Pr="00D90109">
        <w:rPr>
          <w:rFonts w:ascii="Times New Roman" w:hAnsi="Times New Roman" w:cs="Times New Roman"/>
          <w:b/>
          <w:noProof/>
          <w:sz w:val="24"/>
          <w:szCs w:val="24"/>
        </w:rPr>
        <w:t>Rámec monitorovania a hodnotenia</w:t>
      </w:r>
    </w:p>
    <w:p w:rsidR="002705F7" w:rsidRPr="00D90109" w:rsidRDefault="00D90109" w:rsidP="00D9010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Odkazuje na prílohu I, ktorá obsaju zoznam ukazovateľov, </w:t>
      </w:r>
      <w:r w:rsidRPr="00D90109">
        <w:rPr>
          <w:rFonts w:ascii="Times New Roman" w:hAnsi="Times New Roman" w:cs="Times New Roman"/>
          <w:noProof/>
          <w:sz w:val="24"/>
          <w:szCs w:val="24"/>
        </w:rPr>
        <w:t xml:space="preserve">ktoré sa majú používať pri podávaní správ o pokroku ENRF a splnomocňuje Komisiu </w:t>
      </w:r>
      <w:r>
        <w:rPr>
          <w:rFonts w:ascii="Times New Roman" w:hAnsi="Times New Roman" w:cs="Times New Roman"/>
          <w:noProof/>
          <w:sz w:val="24"/>
          <w:szCs w:val="24"/>
        </w:rPr>
        <w:t xml:space="preserve">prijať </w:t>
      </w:r>
      <w:r w:rsidRPr="00D90109">
        <w:rPr>
          <w:rFonts w:ascii="Times New Roman" w:hAnsi="Times New Roman" w:cs="Times New Roman"/>
          <w:noProof/>
          <w:sz w:val="24"/>
          <w:szCs w:val="24"/>
        </w:rPr>
        <w:t>delegované akty s cieľom zmeniť prílohu I na účely preskúmania alebo doplnenia ukazovateľov, ak sa to považuje za potrebné, a na účely doplnenia ustanovení o vytvorení rámca monitorovania a hodnotenia do nariadenia</w:t>
      </w:r>
      <w:r>
        <w:rPr>
          <w:rFonts w:ascii="Times New Roman" w:hAnsi="Times New Roman" w:cs="Times New Roman"/>
          <w:noProof/>
          <w:sz w:val="24"/>
          <w:szCs w:val="24"/>
        </w:rPr>
        <w:t xml:space="preserve"> o ENRF</w:t>
      </w:r>
      <w:r w:rsidRPr="00D90109">
        <w:rPr>
          <w:rFonts w:ascii="Times New Roman" w:hAnsi="Times New Roman" w:cs="Times New Roman"/>
          <w:noProof/>
          <w:sz w:val="24"/>
          <w:szCs w:val="24"/>
        </w:rPr>
        <w:t>.</w:t>
      </w:r>
    </w:p>
    <w:p w:rsidR="002C3080" w:rsidRDefault="002C3080" w:rsidP="00B61E0A">
      <w:pPr>
        <w:spacing w:before="120" w:after="0" w:line="240" w:lineRule="auto"/>
        <w:jc w:val="both"/>
        <w:rPr>
          <w:rFonts w:ascii="Times New Roman" w:hAnsi="Times New Roman" w:cs="Times New Roman"/>
          <w:b/>
          <w:noProof/>
          <w:sz w:val="24"/>
          <w:szCs w:val="24"/>
        </w:rPr>
      </w:pPr>
      <w:r w:rsidRPr="00381EA4">
        <w:rPr>
          <w:rFonts w:ascii="Times New Roman" w:hAnsi="Times New Roman" w:cs="Times New Roman"/>
          <w:i/>
          <w:noProof/>
          <w:sz w:val="24"/>
          <w:szCs w:val="24"/>
        </w:rPr>
        <w:t>Článok 38</w:t>
      </w:r>
      <w:r w:rsidRPr="00381EA4">
        <w:rPr>
          <w:rFonts w:ascii="Times New Roman" w:hAnsi="Times New Roman" w:cs="Times New Roman"/>
          <w:noProof/>
          <w:sz w:val="24"/>
          <w:szCs w:val="24"/>
        </w:rPr>
        <w:t xml:space="preserve"> </w:t>
      </w:r>
      <w:r w:rsidR="00D90109" w:rsidRPr="00381EA4">
        <w:rPr>
          <w:rFonts w:ascii="Times New Roman" w:hAnsi="Times New Roman" w:cs="Times New Roman"/>
          <w:noProof/>
          <w:sz w:val="24"/>
          <w:szCs w:val="24"/>
        </w:rPr>
        <w:t>–</w:t>
      </w:r>
      <w:r w:rsidRPr="00381EA4">
        <w:rPr>
          <w:rFonts w:ascii="Times New Roman" w:hAnsi="Times New Roman" w:cs="Times New Roman"/>
          <w:noProof/>
          <w:sz w:val="24"/>
          <w:szCs w:val="24"/>
        </w:rPr>
        <w:t xml:space="preserve"> </w:t>
      </w:r>
      <w:r w:rsidR="00D90109" w:rsidRPr="00381EA4">
        <w:rPr>
          <w:rFonts w:ascii="Times New Roman" w:hAnsi="Times New Roman" w:cs="Times New Roman"/>
          <w:b/>
          <w:noProof/>
          <w:sz w:val="24"/>
          <w:szCs w:val="24"/>
        </w:rPr>
        <w:t>Výročná správa o</w:t>
      </w:r>
      <w:r w:rsidR="00B61E0A" w:rsidRPr="00381EA4">
        <w:rPr>
          <w:rFonts w:ascii="Times New Roman" w:hAnsi="Times New Roman" w:cs="Times New Roman"/>
          <w:b/>
          <w:noProof/>
          <w:sz w:val="24"/>
          <w:szCs w:val="24"/>
        </w:rPr>
        <w:t> </w:t>
      </w:r>
      <w:r w:rsidR="00D90109" w:rsidRPr="00381EA4">
        <w:rPr>
          <w:rFonts w:ascii="Times New Roman" w:hAnsi="Times New Roman" w:cs="Times New Roman"/>
          <w:b/>
          <w:noProof/>
          <w:sz w:val="24"/>
          <w:szCs w:val="24"/>
        </w:rPr>
        <w:t>výkonnosti</w:t>
      </w:r>
    </w:p>
    <w:p w:rsidR="00B61E0A" w:rsidRDefault="000F34B3" w:rsidP="000F34B3">
      <w:pPr>
        <w:pStyle w:val="Default"/>
        <w:jc w:val="both"/>
        <w:rPr>
          <w:sz w:val="23"/>
          <w:szCs w:val="23"/>
        </w:rPr>
      </w:pPr>
      <w:r w:rsidRPr="000F34B3">
        <w:rPr>
          <w:sz w:val="23"/>
          <w:szCs w:val="23"/>
        </w:rPr>
        <w:t xml:space="preserve">Odkazuje na čl. 36 ods. 6 nariadenia (EÚ) č. [všeobecné nariadenie], ktorý upravuje postup vypracovania a predkladania </w:t>
      </w:r>
      <w:r>
        <w:rPr>
          <w:sz w:val="23"/>
          <w:szCs w:val="23"/>
        </w:rPr>
        <w:t xml:space="preserve">a preskúmania </w:t>
      </w:r>
      <w:r w:rsidRPr="000F34B3">
        <w:rPr>
          <w:sz w:val="23"/>
          <w:szCs w:val="23"/>
        </w:rPr>
        <w:t xml:space="preserve">výročných správ o výkonnosti programu. Stanovuje povinnosť ČŠ predložiť Komisii výročnú správu o výkonnosti, a to najneskôr jeden mesiac pred výročným hodnotiacim zasadnutím. Prvá správa sa predloží v roku 2023 a posledná správa v roku 2029. Okrem toho </w:t>
      </w:r>
      <w:r>
        <w:rPr>
          <w:sz w:val="23"/>
          <w:szCs w:val="23"/>
        </w:rPr>
        <w:t xml:space="preserve">stanovuje ďalšie náležitosti správ nad rámec všeobecného nariadenia, ako sú </w:t>
      </w:r>
      <w:r w:rsidRPr="000F34B3">
        <w:rPr>
          <w:sz w:val="23"/>
          <w:szCs w:val="23"/>
        </w:rPr>
        <w:t xml:space="preserve"> problémy, ktoré majú vplyv na výkonnosť programu a opatrení prijatých</w:t>
      </w:r>
      <w:r>
        <w:rPr>
          <w:sz w:val="23"/>
          <w:szCs w:val="23"/>
        </w:rPr>
        <w:t xml:space="preserve"> na riešenie týchto problémov. Splnomocňuje Komisiu prijať </w:t>
      </w:r>
      <w:r>
        <w:rPr>
          <w:color w:val="auto"/>
          <w:sz w:val="23"/>
          <w:szCs w:val="23"/>
        </w:rPr>
        <w:t>vykonávacie akty, ktorými sa stanovia pravidlá predkladania správy o výkonnosti programu.</w:t>
      </w:r>
    </w:p>
    <w:p w:rsidR="00D90109" w:rsidRDefault="00D90109" w:rsidP="00EC7289">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HLAVA III: PODPORA V RÁMCI PRIAMEHO A NEPRIAMEHO RIADENIA</w:t>
      </w:r>
    </w:p>
    <w:p w:rsidR="00D90109" w:rsidRDefault="002C3080" w:rsidP="00EC7289">
      <w:pPr>
        <w:spacing w:before="240" w:after="0" w:line="240" w:lineRule="auto"/>
        <w:jc w:val="both"/>
        <w:rPr>
          <w:rFonts w:ascii="Times New Roman" w:hAnsi="Times New Roman" w:cs="Times New Roman"/>
          <w:b/>
          <w:noProof/>
          <w:sz w:val="24"/>
          <w:szCs w:val="24"/>
        </w:rPr>
      </w:pPr>
      <w:r w:rsidRPr="00C23DB2">
        <w:rPr>
          <w:rFonts w:ascii="Times New Roman" w:hAnsi="Times New Roman" w:cs="Times New Roman"/>
          <w:i/>
          <w:noProof/>
          <w:sz w:val="24"/>
          <w:szCs w:val="24"/>
        </w:rPr>
        <w:t>Článok 39</w:t>
      </w:r>
      <w:r w:rsidRPr="00C23DB2">
        <w:rPr>
          <w:rFonts w:ascii="Times New Roman" w:hAnsi="Times New Roman" w:cs="Times New Roman"/>
          <w:noProof/>
          <w:sz w:val="24"/>
          <w:szCs w:val="24"/>
        </w:rPr>
        <w:t xml:space="preserve"> </w:t>
      </w:r>
      <w:r w:rsidR="00D90109">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D90109" w:rsidRPr="00D90109">
        <w:rPr>
          <w:rFonts w:ascii="Times New Roman" w:hAnsi="Times New Roman" w:cs="Times New Roman"/>
          <w:b/>
          <w:noProof/>
          <w:sz w:val="24"/>
          <w:szCs w:val="24"/>
        </w:rPr>
        <w:t xml:space="preserve">Geografická pôsobnosť </w:t>
      </w:r>
    </w:p>
    <w:p w:rsidR="00D90109" w:rsidRPr="00D90109" w:rsidRDefault="00D90109" w:rsidP="00EC7289">
      <w:pPr>
        <w:spacing w:after="0" w:line="240" w:lineRule="auto"/>
        <w:jc w:val="both"/>
        <w:rPr>
          <w:rFonts w:ascii="Times New Roman" w:hAnsi="Times New Roman" w:cs="Times New Roman"/>
          <w:noProof/>
          <w:sz w:val="24"/>
          <w:szCs w:val="24"/>
        </w:rPr>
      </w:pPr>
      <w:r w:rsidRPr="00D90109">
        <w:rPr>
          <w:rFonts w:ascii="Times New Roman" w:hAnsi="Times New Roman" w:cs="Times New Roman"/>
          <w:noProof/>
          <w:sz w:val="24"/>
          <w:szCs w:val="24"/>
        </w:rPr>
        <w:t>Stanovuje,</w:t>
      </w:r>
      <w:r w:rsidR="00EC7289">
        <w:rPr>
          <w:rFonts w:ascii="Times New Roman" w:hAnsi="Times New Roman" w:cs="Times New Roman"/>
          <w:noProof/>
          <w:sz w:val="24"/>
          <w:szCs w:val="24"/>
        </w:rPr>
        <w:t xml:space="preserve"> </w:t>
      </w:r>
      <w:r w:rsidRPr="00D90109">
        <w:rPr>
          <w:rFonts w:ascii="Times New Roman" w:hAnsi="Times New Roman" w:cs="Times New Roman"/>
          <w:noProof/>
          <w:sz w:val="24"/>
          <w:szCs w:val="24"/>
        </w:rPr>
        <w:t>že táto hlava platí aj pre operácie vykonávané mimo územia Únie s výnimkou technickej pomoci.</w:t>
      </w:r>
    </w:p>
    <w:p w:rsidR="002C3080" w:rsidRPr="00C23DB2" w:rsidRDefault="00EC7289" w:rsidP="00EC7289">
      <w:pPr>
        <w:spacing w:before="120" w:after="120" w:line="240" w:lineRule="auto"/>
        <w:jc w:val="both"/>
        <w:rPr>
          <w:rFonts w:ascii="Times New Roman" w:hAnsi="Times New Roman" w:cs="Times New Roman"/>
          <w:b/>
          <w:noProof/>
          <w:sz w:val="24"/>
          <w:szCs w:val="24"/>
        </w:rPr>
      </w:pPr>
      <w:r>
        <w:rPr>
          <w:rFonts w:ascii="Times New Roman" w:hAnsi="Times New Roman" w:cs="Times New Roman"/>
          <w:b/>
          <w:sz w:val="24"/>
          <w:szCs w:val="24"/>
        </w:rPr>
        <w:t>Kapitola</w:t>
      </w:r>
      <w:r>
        <w:rPr>
          <w:rFonts w:ascii="Times New Roman" w:hAnsi="Times New Roman" w:cs="Times New Roman"/>
          <w:b/>
          <w:noProof/>
          <w:sz w:val="24"/>
          <w:szCs w:val="24"/>
        </w:rPr>
        <w:t xml:space="preserve"> I</w:t>
      </w:r>
      <w:r w:rsidR="002C3080" w:rsidRPr="00C23DB2">
        <w:rPr>
          <w:rFonts w:ascii="Times New Roman" w:hAnsi="Times New Roman" w:cs="Times New Roman"/>
          <w:b/>
          <w:noProof/>
          <w:sz w:val="24"/>
          <w:szCs w:val="24"/>
        </w:rPr>
        <w:t xml:space="preserve"> </w:t>
      </w:r>
      <w:r>
        <w:rPr>
          <w:rFonts w:ascii="Times New Roman" w:hAnsi="Times New Roman" w:cs="Times New Roman"/>
          <w:b/>
          <w:noProof/>
          <w:sz w:val="24"/>
          <w:szCs w:val="24"/>
        </w:rPr>
        <w:t>–</w:t>
      </w:r>
      <w:r w:rsidR="002C3080" w:rsidRPr="00C23DB2">
        <w:rPr>
          <w:rFonts w:ascii="Times New Roman" w:hAnsi="Times New Roman" w:cs="Times New Roman"/>
          <w:noProof/>
          <w:sz w:val="24"/>
          <w:szCs w:val="24"/>
        </w:rPr>
        <w:t xml:space="preserve"> </w:t>
      </w:r>
      <w:r w:rsidRPr="00EC7289">
        <w:rPr>
          <w:rFonts w:ascii="Times New Roman" w:hAnsi="Times New Roman" w:cs="Times New Roman"/>
          <w:b/>
          <w:sz w:val="24"/>
          <w:szCs w:val="24"/>
        </w:rPr>
        <w:t>Priorita 1: Podpora udržateľného rybolovu a ochrany morských biologických zdrojov</w:t>
      </w:r>
    </w:p>
    <w:p w:rsidR="00EC7289" w:rsidRPr="00EC7289" w:rsidRDefault="002C3080" w:rsidP="00EC7289">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40</w:t>
      </w:r>
      <w:r w:rsidRPr="00C23DB2">
        <w:rPr>
          <w:rFonts w:ascii="Times New Roman" w:hAnsi="Times New Roman" w:cs="Times New Roman"/>
          <w:noProof/>
          <w:sz w:val="24"/>
          <w:szCs w:val="24"/>
        </w:rPr>
        <w:t xml:space="preserve"> </w:t>
      </w:r>
      <w:r w:rsidR="00EC7289">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EC7289" w:rsidRPr="00EC7289">
        <w:rPr>
          <w:rFonts w:ascii="Times New Roman" w:hAnsi="Times New Roman" w:cs="Times New Roman"/>
          <w:b/>
          <w:noProof/>
          <w:sz w:val="24"/>
          <w:szCs w:val="24"/>
        </w:rPr>
        <w:t>Vykonávanie SRP</w:t>
      </w:r>
      <w:r w:rsidR="00EC7289">
        <w:rPr>
          <w:i/>
          <w:iCs/>
          <w:sz w:val="23"/>
          <w:szCs w:val="23"/>
        </w:rPr>
        <w:t xml:space="preserve"> </w:t>
      </w:r>
    </w:p>
    <w:p w:rsidR="00EC7289" w:rsidRPr="00EC7289" w:rsidRDefault="00EC7289" w:rsidP="00EC7289">
      <w:pPr>
        <w:spacing w:after="0" w:line="240" w:lineRule="auto"/>
        <w:jc w:val="both"/>
        <w:rPr>
          <w:rFonts w:ascii="Times New Roman" w:hAnsi="Times New Roman" w:cs="Times New Roman"/>
          <w:noProof/>
          <w:sz w:val="24"/>
          <w:szCs w:val="24"/>
        </w:rPr>
      </w:pPr>
      <w:r w:rsidRPr="00EC7289">
        <w:rPr>
          <w:rFonts w:ascii="Times New Roman" w:hAnsi="Times New Roman" w:cs="Times New Roman"/>
          <w:noProof/>
          <w:sz w:val="24"/>
          <w:szCs w:val="24"/>
        </w:rPr>
        <w:t>Stanovuje</w:t>
      </w:r>
      <w:r w:rsidR="00032B28">
        <w:rPr>
          <w:rFonts w:ascii="Times New Roman" w:hAnsi="Times New Roman" w:cs="Times New Roman"/>
          <w:noProof/>
          <w:sz w:val="24"/>
          <w:szCs w:val="24"/>
        </w:rPr>
        <w:t xml:space="preserve">, že </w:t>
      </w:r>
      <w:r w:rsidR="006453A1">
        <w:rPr>
          <w:rFonts w:ascii="Times New Roman" w:hAnsi="Times New Roman" w:cs="Times New Roman"/>
          <w:noProof/>
          <w:sz w:val="24"/>
          <w:szCs w:val="24"/>
        </w:rPr>
        <w:t>z ENRF sa uskutoč</w:t>
      </w:r>
      <w:r w:rsidRPr="00EC7289">
        <w:rPr>
          <w:rFonts w:ascii="Times New Roman" w:hAnsi="Times New Roman" w:cs="Times New Roman"/>
          <w:noProof/>
          <w:sz w:val="24"/>
          <w:szCs w:val="24"/>
        </w:rPr>
        <w:t xml:space="preserve">ňuje vykonávanie SRP prostredníctvom poskytovania vedeckých odporúčaní a poznatkov na účely podpory fundovaných a účinných rozhodnutí v oblasti riadenia rybárstva v rámci SRP, okrem iného aj prostredníctvom účasti </w:t>
      </w:r>
      <w:r>
        <w:rPr>
          <w:rFonts w:ascii="Times New Roman" w:hAnsi="Times New Roman" w:cs="Times New Roman"/>
          <w:noProof/>
          <w:sz w:val="24"/>
          <w:szCs w:val="24"/>
        </w:rPr>
        <w:t xml:space="preserve">expertov vo vedeckých orgánoch; </w:t>
      </w:r>
      <w:r w:rsidRPr="00EC7289">
        <w:rPr>
          <w:rFonts w:ascii="Times New Roman" w:hAnsi="Times New Roman" w:cs="Times New Roman"/>
          <w:noProof/>
          <w:sz w:val="24"/>
          <w:szCs w:val="24"/>
        </w:rPr>
        <w:t>rozvoja a realizácie systému Únie na kontrolu rybárstva v zmysle článku 36, ktorý je stanovený v nariadení (EÚ) č. 1380/2013 a podrobnejšie špecifikovaný</w:t>
      </w:r>
      <w:r>
        <w:rPr>
          <w:rFonts w:ascii="Times New Roman" w:hAnsi="Times New Roman" w:cs="Times New Roman"/>
          <w:noProof/>
          <w:sz w:val="24"/>
          <w:szCs w:val="24"/>
        </w:rPr>
        <w:t xml:space="preserve"> v nariadení (ES) č. 1224/2009; </w:t>
      </w:r>
      <w:r w:rsidRPr="00EC7289">
        <w:rPr>
          <w:rFonts w:ascii="Times New Roman" w:hAnsi="Times New Roman" w:cs="Times New Roman"/>
          <w:noProof/>
          <w:sz w:val="24"/>
          <w:szCs w:val="24"/>
        </w:rPr>
        <w:t>fungovania poradných rád zriadených na základe článku 43 nariadenia (EÚ) č. 1380/2013, ktorých cieľ je súčasťou</w:t>
      </w:r>
      <w:r>
        <w:rPr>
          <w:rFonts w:ascii="Times New Roman" w:hAnsi="Times New Roman" w:cs="Times New Roman"/>
          <w:noProof/>
          <w:sz w:val="24"/>
          <w:szCs w:val="24"/>
        </w:rPr>
        <w:t xml:space="preserve"> SRP a túto politiku podporuje; </w:t>
      </w:r>
      <w:r w:rsidRPr="00EC7289">
        <w:rPr>
          <w:rFonts w:ascii="Times New Roman" w:hAnsi="Times New Roman" w:cs="Times New Roman"/>
          <w:noProof/>
          <w:sz w:val="24"/>
          <w:szCs w:val="24"/>
        </w:rPr>
        <w:lastRenderedPageBreak/>
        <w:t>dobrovoľných príspevkov na činnosti medzinárodných organizácií zaoberajúcich sa rybárstvom v súlade s článkom 29 a článkom 30 nariadenia č. 1380/2013.</w:t>
      </w:r>
    </w:p>
    <w:p w:rsidR="002C3080" w:rsidRPr="00511215" w:rsidRDefault="002C3080" w:rsidP="001623A8">
      <w:pPr>
        <w:spacing w:before="80" w:after="0" w:line="240" w:lineRule="auto"/>
        <w:jc w:val="both"/>
        <w:rPr>
          <w:rFonts w:ascii="Times New Roman" w:hAnsi="Times New Roman" w:cs="Times New Roman"/>
          <w:noProof/>
          <w:sz w:val="24"/>
          <w:szCs w:val="24"/>
        </w:rPr>
      </w:pPr>
      <w:r w:rsidRPr="00511215">
        <w:rPr>
          <w:rFonts w:ascii="Times New Roman" w:hAnsi="Times New Roman" w:cs="Times New Roman"/>
          <w:i/>
          <w:noProof/>
          <w:sz w:val="24"/>
          <w:szCs w:val="24"/>
        </w:rPr>
        <w:t>Článok 41</w:t>
      </w:r>
      <w:r w:rsidR="00EC7289">
        <w:rPr>
          <w:rFonts w:ascii="Times New Roman" w:hAnsi="Times New Roman" w:cs="Times New Roman"/>
          <w:noProof/>
          <w:sz w:val="24"/>
          <w:szCs w:val="24"/>
        </w:rPr>
        <w:t xml:space="preserve"> – </w:t>
      </w:r>
      <w:r w:rsidR="00EC7289" w:rsidRPr="00EC7289">
        <w:rPr>
          <w:rFonts w:ascii="Times New Roman" w:hAnsi="Times New Roman" w:cs="Times New Roman"/>
          <w:b/>
          <w:noProof/>
          <w:sz w:val="24"/>
          <w:szCs w:val="24"/>
        </w:rPr>
        <w:t>Podpora čistých a zdravých morí</w:t>
      </w:r>
    </w:p>
    <w:p w:rsidR="00EC7289" w:rsidRPr="00EC7289" w:rsidRDefault="00EC7289" w:rsidP="00EC7289">
      <w:pPr>
        <w:pStyle w:val="Default"/>
        <w:jc w:val="both"/>
        <w:rPr>
          <w:noProof/>
          <w:color w:val="auto"/>
        </w:rPr>
      </w:pPr>
      <w:r w:rsidRPr="00EC7289">
        <w:rPr>
          <w:noProof/>
          <w:color w:val="auto"/>
        </w:rPr>
        <w:t>Ustanovuje podporu čistých a zdravých morí</w:t>
      </w:r>
      <w:r w:rsidR="006E556E">
        <w:rPr>
          <w:noProof/>
          <w:color w:val="auto"/>
        </w:rPr>
        <w:t xml:space="preserve"> z ENRF</w:t>
      </w:r>
      <w:r>
        <w:rPr>
          <w:noProof/>
          <w:color w:val="auto"/>
        </w:rPr>
        <w:t xml:space="preserve">, ktorá </w:t>
      </w:r>
      <w:r>
        <w:rPr>
          <w:sz w:val="23"/>
          <w:szCs w:val="23"/>
        </w:rPr>
        <w:t xml:space="preserve">musí byť v súlade s environmentálnymi právnymi predpismi Únie. </w:t>
      </w:r>
      <w:r w:rsidRPr="00EC7289">
        <w:rPr>
          <w:noProof/>
          <w:color w:val="auto"/>
        </w:rPr>
        <w:t xml:space="preserve"> </w:t>
      </w:r>
    </w:p>
    <w:p w:rsidR="00EC7289" w:rsidRPr="00EC7289" w:rsidRDefault="00EC7289" w:rsidP="00EC7289">
      <w:pPr>
        <w:spacing w:before="120" w:after="120" w:line="240" w:lineRule="auto"/>
        <w:jc w:val="both"/>
        <w:rPr>
          <w:rFonts w:ascii="Times New Roman" w:hAnsi="Times New Roman" w:cs="Times New Roman"/>
          <w:b/>
          <w:noProof/>
          <w:sz w:val="24"/>
          <w:szCs w:val="24"/>
        </w:rPr>
      </w:pPr>
      <w:r>
        <w:rPr>
          <w:rFonts w:ascii="Times New Roman" w:hAnsi="Times New Roman" w:cs="Times New Roman"/>
          <w:b/>
          <w:sz w:val="24"/>
          <w:szCs w:val="24"/>
        </w:rPr>
        <w:t>Kapitola</w:t>
      </w:r>
      <w:r>
        <w:rPr>
          <w:rFonts w:ascii="Times New Roman" w:hAnsi="Times New Roman" w:cs="Times New Roman"/>
          <w:b/>
          <w:noProof/>
          <w:sz w:val="24"/>
          <w:szCs w:val="24"/>
        </w:rPr>
        <w:t xml:space="preserve"> II – </w:t>
      </w:r>
      <w:r w:rsidRPr="00EC7289">
        <w:rPr>
          <w:rFonts w:ascii="Times New Roman" w:hAnsi="Times New Roman" w:cs="Times New Roman"/>
          <w:b/>
          <w:sz w:val="24"/>
          <w:szCs w:val="24"/>
        </w:rPr>
        <w:t>Priorita 2: Prispievanie k potravinovej bezpečnosti v Únii prostredníctvom konkurencieschopnej a udržateľnej akvakultúry a trhov</w:t>
      </w:r>
    </w:p>
    <w:p w:rsidR="002C3080" w:rsidRPr="00511215" w:rsidRDefault="002C3080" w:rsidP="00EC7289">
      <w:pPr>
        <w:spacing w:before="120" w:after="0" w:line="240" w:lineRule="auto"/>
        <w:jc w:val="both"/>
        <w:rPr>
          <w:rFonts w:ascii="Times New Roman" w:hAnsi="Times New Roman" w:cs="Times New Roman"/>
          <w:noProof/>
          <w:sz w:val="24"/>
          <w:szCs w:val="24"/>
        </w:rPr>
      </w:pPr>
      <w:r w:rsidRPr="00C23DB2">
        <w:rPr>
          <w:rFonts w:ascii="Times New Roman" w:hAnsi="Times New Roman" w:cs="Times New Roman"/>
          <w:i/>
          <w:noProof/>
          <w:sz w:val="24"/>
          <w:szCs w:val="24"/>
        </w:rPr>
        <w:t>Článok 42</w:t>
      </w:r>
      <w:r w:rsidRPr="00C23DB2">
        <w:rPr>
          <w:rFonts w:ascii="Times New Roman" w:hAnsi="Times New Roman" w:cs="Times New Roman"/>
          <w:noProof/>
          <w:sz w:val="24"/>
          <w:szCs w:val="24"/>
        </w:rPr>
        <w:t xml:space="preserve"> </w:t>
      </w:r>
      <w:r w:rsidR="00EC7289">
        <w:rPr>
          <w:rFonts w:ascii="Times New Roman" w:hAnsi="Times New Roman" w:cs="Times New Roman"/>
          <w:noProof/>
          <w:sz w:val="24"/>
          <w:szCs w:val="24"/>
        </w:rPr>
        <w:t>–</w:t>
      </w:r>
      <w:r w:rsidRPr="00C23DB2">
        <w:rPr>
          <w:rFonts w:ascii="Times New Roman" w:hAnsi="Times New Roman" w:cs="Times New Roman"/>
          <w:noProof/>
          <w:sz w:val="24"/>
          <w:szCs w:val="24"/>
        </w:rPr>
        <w:t xml:space="preserve"> </w:t>
      </w:r>
      <w:r w:rsidR="00EC7289" w:rsidRPr="00EC7289">
        <w:rPr>
          <w:rFonts w:ascii="Times New Roman" w:hAnsi="Times New Roman" w:cs="Times New Roman"/>
          <w:b/>
          <w:sz w:val="24"/>
          <w:szCs w:val="24"/>
        </w:rPr>
        <w:t>Získavanie informácií o trhu</w:t>
      </w:r>
    </w:p>
    <w:p w:rsidR="00EC7289" w:rsidRPr="00EC7289" w:rsidRDefault="00EC7289" w:rsidP="00EC728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Stanovuj</w:t>
      </w:r>
      <w:r w:rsidR="006453A1">
        <w:rPr>
          <w:rFonts w:ascii="Times New Roman" w:hAnsi="Times New Roman" w:cs="Times New Roman"/>
          <w:noProof/>
          <w:sz w:val="24"/>
          <w:szCs w:val="24"/>
        </w:rPr>
        <w:t>e</w:t>
      </w:r>
      <w:r>
        <w:rPr>
          <w:rFonts w:ascii="Times New Roman" w:hAnsi="Times New Roman" w:cs="Times New Roman"/>
          <w:noProof/>
          <w:sz w:val="24"/>
          <w:szCs w:val="24"/>
        </w:rPr>
        <w:t>, že z</w:t>
      </w:r>
      <w:r w:rsidRPr="00EC7289">
        <w:rPr>
          <w:rFonts w:ascii="Times New Roman" w:hAnsi="Times New Roman" w:cs="Times New Roman"/>
          <w:noProof/>
          <w:sz w:val="24"/>
          <w:szCs w:val="24"/>
        </w:rPr>
        <w:t xml:space="preserve"> ENRF sa financuje tvorba a šírenie informácií o trhu s produktmi rybolovu a akvakultúry zo strany Komisie v súlade s článkom 42 nariadenia (EÚ) č. 1379/2013.</w:t>
      </w:r>
    </w:p>
    <w:p w:rsidR="00EC7289" w:rsidRPr="00EC7289" w:rsidRDefault="002C3080" w:rsidP="001623A8">
      <w:pPr>
        <w:spacing w:before="120" w:after="0" w:line="240" w:lineRule="auto"/>
        <w:jc w:val="both"/>
        <w:rPr>
          <w:rFonts w:ascii="Times New Roman" w:hAnsi="Times New Roman" w:cs="Times New Roman"/>
          <w:b/>
          <w:sz w:val="24"/>
          <w:szCs w:val="24"/>
        </w:rPr>
      </w:pPr>
      <w:r w:rsidRPr="00C23DB2">
        <w:rPr>
          <w:rFonts w:ascii="Times New Roman" w:hAnsi="Times New Roman" w:cs="Times New Roman"/>
          <w:b/>
          <w:sz w:val="24"/>
          <w:szCs w:val="24"/>
        </w:rPr>
        <w:t>K</w:t>
      </w:r>
      <w:r w:rsidR="00EC7289">
        <w:rPr>
          <w:rFonts w:ascii="Times New Roman" w:hAnsi="Times New Roman" w:cs="Times New Roman"/>
          <w:b/>
          <w:sz w:val="24"/>
          <w:szCs w:val="24"/>
        </w:rPr>
        <w:t>apitola III</w:t>
      </w:r>
      <w:r w:rsidRPr="00C23DB2">
        <w:rPr>
          <w:rFonts w:ascii="Times New Roman" w:hAnsi="Times New Roman" w:cs="Times New Roman"/>
          <w:b/>
          <w:sz w:val="24"/>
          <w:szCs w:val="24"/>
        </w:rPr>
        <w:t xml:space="preserve"> </w:t>
      </w:r>
      <w:r w:rsidR="00EC7289">
        <w:rPr>
          <w:rFonts w:ascii="Times New Roman" w:hAnsi="Times New Roman" w:cs="Times New Roman"/>
          <w:b/>
          <w:sz w:val="24"/>
          <w:szCs w:val="24"/>
        </w:rPr>
        <w:t>–</w:t>
      </w:r>
      <w:r w:rsidRPr="00EC7289">
        <w:rPr>
          <w:rFonts w:ascii="Times New Roman" w:hAnsi="Times New Roman" w:cs="Times New Roman"/>
          <w:b/>
          <w:sz w:val="24"/>
          <w:szCs w:val="24"/>
        </w:rPr>
        <w:t xml:space="preserve"> </w:t>
      </w:r>
      <w:r w:rsidR="00EC7289" w:rsidRPr="00EC7289">
        <w:rPr>
          <w:rFonts w:ascii="Times New Roman" w:hAnsi="Times New Roman" w:cs="Times New Roman"/>
          <w:b/>
          <w:sz w:val="24"/>
          <w:szCs w:val="24"/>
        </w:rPr>
        <w:t xml:space="preserve">Priorita 3: Umožnenie rastu udržateľného modrého hospodárstva a podpora prosperujúcich pobrežných komunít </w:t>
      </w:r>
    </w:p>
    <w:p w:rsidR="002C3080" w:rsidRPr="000302AF" w:rsidRDefault="002C3080" w:rsidP="00EC7289">
      <w:pPr>
        <w:spacing w:before="120" w:after="0" w:line="240" w:lineRule="auto"/>
        <w:jc w:val="both"/>
        <w:rPr>
          <w:rFonts w:ascii="Times New Roman" w:hAnsi="Times New Roman" w:cs="Times New Roman"/>
          <w:i/>
          <w:noProof/>
          <w:sz w:val="24"/>
          <w:szCs w:val="24"/>
        </w:rPr>
      </w:pPr>
      <w:r w:rsidRPr="000302AF">
        <w:rPr>
          <w:rFonts w:ascii="Times New Roman" w:hAnsi="Times New Roman" w:cs="Times New Roman"/>
          <w:i/>
          <w:noProof/>
          <w:sz w:val="24"/>
          <w:szCs w:val="24"/>
        </w:rPr>
        <w:t xml:space="preserve">Článok 43 </w:t>
      </w:r>
      <w:r w:rsidR="00EC7289" w:rsidRPr="000302AF">
        <w:rPr>
          <w:rFonts w:ascii="Times New Roman" w:hAnsi="Times New Roman" w:cs="Times New Roman"/>
          <w:i/>
          <w:noProof/>
          <w:sz w:val="24"/>
          <w:szCs w:val="24"/>
        </w:rPr>
        <w:t>–</w:t>
      </w:r>
      <w:r w:rsidRPr="000302AF">
        <w:rPr>
          <w:rFonts w:ascii="Times New Roman" w:hAnsi="Times New Roman" w:cs="Times New Roman"/>
          <w:i/>
          <w:noProof/>
          <w:sz w:val="24"/>
          <w:szCs w:val="24"/>
        </w:rPr>
        <w:t xml:space="preserve"> </w:t>
      </w:r>
      <w:r w:rsidR="00EC7289" w:rsidRPr="000302AF">
        <w:rPr>
          <w:rFonts w:ascii="Times New Roman" w:hAnsi="Times New Roman" w:cs="Times New Roman"/>
          <w:b/>
          <w:i/>
          <w:noProof/>
          <w:sz w:val="24"/>
          <w:szCs w:val="24"/>
        </w:rPr>
        <w:t>Námorná politika a rozvoj udržateľného modrého hospodárstva</w:t>
      </w:r>
    </w:p>
    <w:p w:rsidR="002C3080" w:rsidRPr="00511215" w:rsidRDefault="00EC7289" w:rsidP="001623A8">
      <w:pPr>
        <w:spacing w:after="0" w:line="240" w:lineRule="auto"/>
        <w:jc w:val="both"/>
        <w:rPr>
          <w:rFonts w:ascii="Times New Roman" w:eastAsia="Times New Roman" w:hAnsi="Times New Roman" w:cs="Times New Roman"/>
          <w:bCs/>
          <w:sz w:val="24"/>
          <w:szCs w:val="24"/>
          <w:lang w:eastAsia="sk-SK"/>
        </w:rPr>
      </w:pPr>
      <w:r>
        <w:rPr>
          <w:rFonts w:ascii="Times New Roman" w:hAnsi="Times New Roman" w:cs="Times New Roman"/>
          <w:noProof/>
          <w:sz w:val="24"/>
          <w:szCs w:val="24"/>
        </w:rPr>
        <w:t>Stanovuje prostredníctvom čoho sa realizuje financovanie námornej politiky.</w:t>
      </w:r>
    </w:p>
    <w:p w:rsidR="006E556E" w:rsidRPr="006E556E" w:rsidRDefault="006E556E" w:rsidP="006E556E">
      <w:pPr>
        <w:spacing w:before="120" w:after="120" w:line="240" w:lineRule="auto"/>
        <w:jc w:val="both"/>
        <w:rPr>
          <w:rFonts w:ascii="Times New Roman" w:hAnsi="Times New Roman" w:cs="Times New Roman"/>
          <w:b/>
          <w:sz w:val="24"/>
          <w:szCs w:val="24"/>
        </w:rPr>
      </w:pPr>
      <w:r w:rsidRPr="00C23DB2">
        <w:rPr>
          <w:rFonts w:ascii="Times New Roman" w:hAnsi="Times New Roman" w:cs="Times New Roman"/>
          <w:b/>
          <w:sz w:val="24"/>
          <w:szCs w:val="24"/>
        </w:rPr>
        <w:t>K</w:t>
      </w:r>
      <w:r>
        <w:rPr>
          <w:rFonts w:ascii="Times New Roman" w:hAnsi="Times New Roman" w:cs="Times New Roman"/>
          <w:b/>
          <w:sz w:val="24"/>
          <w:szCs w:val="24"/>
        </w:rPr>
        <w:t xml:space="preserve">apitola IV – </w:t>
      </w:r>
      <w:r w:rsidRPr="006E556E">
        <w:rPr>
          <w:rFonts w:ascii="Times New Roman" w:hAnsi="Times New Roman" w:cs="Times New Roman"/>
          <w:b/>
          <w:sz w:val="24"/>
          <w:szCs w:val="24"/>
        </w:rPr>
        <w:t>Priorita 4: Posilnenie medzinárodnej správy oceánov a umožnenie bezpečných, chránených, čistých a udržateľne spravovaných morí a oceánov</w:t>
      </w:r>
    </w:p>
    <w:p w:rsidR="006E556E" w:rsidRPr="000302AF" w:rsidRDefault="002C3080" w:rsidP="006E556E">
      <w:pPr>
        <w:spacing w:before="120" w:after="0" w:line="240" w:lineRule="auto"/>
        <w:jc w:val="both"/>
        <w:rPr>
          <w:rFonts w:ascii="Times New Roman" w:hAnsi="Times New Roman" w:cs="Times New Roman"/>
          <w:i/>
          <w:noProof/>
          <w:sz w:val="24"/>
          <w:szCs w:val="24"/>
        </w:rPr>
      </w:pPr>
      <w:r w:rsidRPr="000302AF">
        <w:rPr>
          <w:rFonts w:ascii="Times New Roman" w:hAnsi="Times New Roman" w:cs="Times New Roman"/>
          <w:i/>
          <w:noProof/>
          <w:sz w:val="24"/>
          <w:szCs w:val="24"/>
        </w:rPr>
        <w:t xml:space="preserve">Článok 44 </w:t>
      </w:r>
      <w:r w:rsidR="006E556E" w:rsidRPr="000302AF">
        <w:rPr>
          <w:rFonts w:ascii="Times New Roman" w:hAnsi="Times New Roman" w:cs="Times New Roman"/>
          <w:i/>
          <w:noProof/>
          <w:sz w:val="24"/>
          <w:szCs w:val="24"/>
        </w:rPr>
        <w:t>–</w:t>
      </w:r>
      <w:r w:rsidRPr="000302AF">
        <w:rPr>
          <w:rFonts w:ascii="Times New Roman" w:hAnsi="Times New Roman" w:cs="Times New Roman"/>
          <w:i/>
          <w:noProof/>
          <w:sz w:val="24"/>
          <w:szCs w:val="24"/>
        </w:rPr>
        <w:t xml:space="preserve"> </w:t>
      </w:r>
      <w:r w:rsidR="006E556E" w:rsidRPr="000302AF">
        <w:rPr>
          <w:rFonts w:ascii="Times New Roman" w:hAnsi="Times New Roman" w:cs="Times New Roman"/>
          <w:b/>
          <w:i/>
          <w:noProof/>
          <w:sz w:val="24"/>
          <w:szCs w:val="24"/>
        </w:rPr>
        <w:t>Námorná bezpečnosť a námorný dozor</w:t>
      </w:r>
      <w:r w:rsidR="006E556E" w:rsidRPr="000302AF">
        <w:rPr>
          <w:i/>
          <w:iCs/>
          <w:sz w:val="23"/>
          <w:szCs w:val="23"/>
        </w:rPr>
        <w:t xml:space="preserve"> </w:t>
      </w:r>
    </w:p>
    <w:p w:rsidR="006E556E" w:rsidRDefault="006E556E" w:rsidP="006E556E">
      <w:pPr>
        <w:spacing w:after="0" w:line="240" w:lineRule="auto"/>
        <w:jc w:val="both"/>
        <w:rPr>
          <w:rFonts w:ascii="Times New Roman" w:eastAsia="Times New Roman" w:hAnsi="Times New Roman" w:cs="Times New Roman"/>
          <w:bCs/>
          <w:sz w:val="24"/>
          <w:szCs w:val="24"/>
          <w:lang w:eastAsia="sk-SK"/>
        </w:rPr>
      </w:pPr>
      <w:r w:rsidRPr="006E556E">
        <w:rPr>
          <w:rFonts w:ascii="Times New Roman" w:eastAsia="Times New Roman" w:hAnsi="Times New Roman" w:cs="Times New Roman"/>
          <w:bCs/>
          <w:sz w:val="24"/>
          <w:szCs w:val="24"/>
          <w:lang w:eastAsia="sk-SK"/>
        </w:rPr>
        <w:t xml:space="preserve">Stanovuje prostredníctvom čoho sa </w:t>
      </w:r>
      <w:r>
        <w:rPr>
          <w:rFonts w:ascii="Times New Roman" w:eastAsia="Times New Roman" w:hAnsi="Times New Roman" w:cs="Times New Roman"/>
          <w:bCs/>
          <w:sz w:val="24"/>
          <w:szCs w:val="24"/>
          <w:lang w:eastAsia="sk-SK"/>
        </w:rPr>
        <w:t xml:space="preserve">z ENRF </w:t>
      </w:r>
      <w:r w:rsidRPr="006E556E">
        <w:rPr>
          <w:rFonts w:ascii="Times New Roman" w:eastAsia="Times New Roman" w:hAnsi="Times New Roman" w:cs="Times New Roman"/>
          <w:bCs/>
          <w:sz w:val="24"/>
          <w:szCs w:val="24"/>
          <w:lang w:eastAsia="sk-SK"/>
        </w:rPr>
        <w:t>realizuje financovanie podpory námornej bezpečnosti a námorného dozoru.</w:t>
      </w:r>
    </w:p>
    <w:p w:rsidR="002C3080" w:rsidRPr="000302AF" w:rsidRDefault="002C3080" w:rsidP="00EC7289">
      <w:pPr>
        <w:spacing w:before="120" w:after="0" w:line="240" w:lineRule="auto"/>
        <w:jc w:val="both"/>
        <w:rPr>
          <w:i/>
          <w:iCs/>
          <w:sz w:val="23"/>
          <w:szCs w:val="23"/>
        </w:rPr>
      </w:pPr>
      <w:r w:rsidRPr="000302AF">
        <w:rPr>
          <w:rFonts w:ascii="Times New Roman" w:hAnsi="Times New Roman" w:cs="Times New Roman"/>
          <w:i/>
          <w:noProof/>
          <w:sz w:val="24"/>
          <w:szCs w:val="24"/>
        </w:rPr>
        <w:t xml:space="preserve">Článok 45 </w:t>
      </w:r>
      <w:r w:rsidR="006E556E" w:rsidRPr="000302AF">
        <w:rPr>
          <w:rFonts w:ascii="Times New Roman" w:hAnsi="Times New Roman" w:cs="Times New Roman"/>
          <w:i/>
          <w:noProof/>
          <w:sz w:val="24"/>
          <w:szCs w:val="24"/>
        </w:rPr>
        <w:t>–</w:t>
      </w:r>
      <w:r w:rsidR="006E556E" w:rsidRPr="000302AF">
        <w:rPr>
          <w:i/>
          <w:iCs/>
          <w:sz w:val="23"/>
          <w:szCs w:val="23"/>
        </w:rPr>
        <w:t xml:space="preserve"> </w:t>
      </w:r>
      <w:r w:rsidR="006E556E" w:rsidRPr="000302AF">
        <w:rPr>
          <w:rFonts w:ascii="Times New Roman" w:hAnsi="Times New Roman" w:cs="Times New Roman"/>
          <w:b/>
          <w:i/>
          <w:noProof/>
          <w:sz w:val="24"/>
          <w:szCs w:val="24"/>
        </w:rPr>
        <w:t>Medzinárodná správa oceánov</w:t>
      </w:r>
    </w:p>
    <w:p w:rsidR="006E556E" w:rsidRPr="006E556E" w:rsidRDefault="006E556E" w:rsidP="006E556E">
      <w:pPr>
        <w:spacing w:after="0" w:line="240" w:lineRule="auto"/>
        <w:jc w:val="both"/>
        <w:rPr>
          <w:rFonts w:ascii="Times New Roman" w:hAnsi="Times New Roman" w:cs="Times New Roman"/>
          <w:noProof/>
          <w:sz w:val="24"/>
          <w:szCs w:val="24"/>
        </w:rPr>
      </w:pPr>
      <w:r w:rsidRPr="006E556E">
        <w:rPr>
          <w:rFonts w:ascii="Times New Roman" w:hAnsi="Times New Roman" w:cs="Times New Roman"/>
          <w:noProof/>
          <w:sz w:val="24"/>
          <w:szCs w:val="24"/>
        </w:rPr>
        <w:t xml:space="preserve">Stanovuje prostredníctvom čoho sa </w:t>
      </w:r>
      <w:r>
        <w:rPr>
          <w:rFonts w:ascii="Times New Roman" w:hAnsi="Times New Roman" w:cs="Times New Roman"/>
          <w:noProof/>
          <w:sz w:val="24"/>
          <w:szCs w:val="24"/>
        </w:rPr>
        <w:t xml:space="preserve">z ENRF </w:t>
      </w:r>
      <w:r w:rsidRPr="006E556E">
        <w:rPr>
          <w:rFonts w:ascii="Times New Roman" w:hAnsi="Times New Roman" w:cs="Times New Roman"/>
          <w:noProof/>
          <w:sz w:val="24"/>
          <w:szCs w:val="24"/>
        </w:rPr>
        <w:t>realizuje vykonávanie politiky v oblasti medzinárodnej správy oceánov</w:t>
      </w:r>
      <w:r>
        <w:rPr>
          <w:rFonts w:ascii="Times New Roman" w:hAnsi="Times New Roman" w:cs="Times New Roman"/>
          <w:noProof/>
          <w:sz w:val="24"/>
          <w:szCs w:val="24"/>
        </w:rPr>
        <w:t>.</w:t>
      </w:r>
    </w:p>
    <w:p w:rsidR="006E556E" w:rsidRPr="006E556E" w:rsidRDefault="006E556E" w:rsidP="006E556E">
      <w:pPr>
        <w:spacing w:before="120" w:after="120" w:line="240" w:lineRule="auto"/>
        <w:jc w:val="both"/>
        <w:rPr>
          <w:rFonts w:ascii="Times New Roman" w:hAnsi="Times New Roman" w:cs="Times New Roman"/>
          <w:b/>
          <w:sz w:val="24"/>
          <w:szCs w:val="24"/>
        </w:rPr>
      </w:pPr>
      <w:r w:rsidRPr="00C23DB2">
        <w:rPr>
          <w:rFonts w:ascii="Times New Roman" w:hAnsi="Times New Roman" w:cs="Times New Roman"/>
          <w:b/>
          <w:sz w:val="24"/>
          <w:szCs w:val="24"/>
        </w:rPr>
        <w:t>K</w:t>
      </w:r>
      <w:r>
        <w:rPr>
          <w:rFonts w:ascii="Times New Roman" w:hAnsi="Times New Roman" w:cs="Times New Roman"/>
          <w:b/>
          <w:sz w:val="24"/>
          <w:szCs w:val="24"/>
        </w:rPr>
        <w:t xml:space="preserve">apitola V – </w:t>
      </w:r>
      <w:r w:rsidRPr="006E556E">
        <w:rPr>
          <w:rFonts w:ascii="Times New Roman" w:hAnsi="Times New Roman" w:cs="Times New Roman"/>
          <w:b/>
          <w:sz w:val="24"/>
          <w:szCs w:val="24"/>
        </w:rPr>
        <w:t>Pravidlá implementácie v rámci priameho a nepriameho riadenia</w:t>
      </w:r>
    </w:p>
    <w:p w:rsidR="006E556E" w:rsidRPr="000302AF" w:rsidRDefault="002C3080" w:rsidP="006E556E">
      <w:pPr>
        <w:spacing w:before="120" w:after="0" w:line="240" w:lineRule="auto"/>
        <w:jc w:val="both"/>
        <w:rPr>
          <w:i/>
          <w:iCs/>
          <w:sz w:val="23"/>
          <w:szCs w:val="23"/>
        </w:rPr>
      </w:pPr>
      <w:r w:rsidRPr="000302AF">
        <w:rPr>
          <w:rFonts w:ascii="Times New Roman" w:hAnsi="Times New Roman" w:cs="Times New Roman"/>
          <w:i/>
          <w:noProof/>
          <w:sz w:val="24"/>
          <w:szCs w:val="24"/>
        </w:rPr>
        <w:t xml:space="preserve">Článok 46 </w:t>
      </w:r>
      <w:r w:rsidR="006E556E" w:rsidRPr="000302AF">
        <w:rPr>
          <w:rFonts w:ascii="Times New Roman" w:hAnsi="Times New Roman" w:cs="Times New Roman"/>
          <w:i/>
          <w:noProof/>
          <w:sz w:val="24"/>
          <w:szCs w:val="24"/>
        </w:rPr>
        <w:t>–</w:t>
      </w:r>
      <w:r w:rsidRPr="000302AF">
        <w:rPr>
          <w:rFonts w:ascii="Times New Roman" w:hAnsi="Times New Roman" w:cs="Times New Roman"/>
          <w:i/>
          <w:noProof/>
          <w:sz w:val="24"/>
          <w:szCs w:val="24"/>
        </w:rPr>
        <w:t xml:space="preserve"> </w:t>
      </w:r>
      <w:r w:rsidR="006E556E" w:rsidRPr="000302AF">
        <w:rPr>
          <w:rFonts w:ascii="Times New Roman" w:hAnsi="Times New Roman" w:cs="Times New Roman"/>
          <w:b/>
          <w:i/>
          <w:noProof/>
          <w:sz w:val="24"/>
          <w:szCs w:val="24"/>
        </w:rPr>
        <w:t>Formy financovania z prostriedkov Únie</w:t>
      </w:r>
      <w:r w:rsidR="006E556E" w:rsidRPr="000302AF">
        <w:rPr>
          <w:i/>
          <w:iCs/>
          <w:sz w:val="23"/>
          <w:szCs w:val="23"/>
        </w:rPr>
        <w:t xml:space="preserve"> </w:t>
      </w:r>
    </w:p>
    <w:p w:rsidR="006E556E" w:rsidRPr="006E556E" w:rsidRDefault="006E556E" w:rsidP="000302A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Definuje formy financovania, ktoré môžu byť akékoľvek v súlade s </w:t>
      </w:r>
      <w:r w:rsidRPr="006E556E">
        <w:rPr>
          <w:rFonts w:ascii="Times New Roman" w:hAnsi="Times New Roman" w:cs="Times New Roman"/>
          <w:noProof/>
          <w:sz w:val="24"/>
          <w:szCs w:val="24"/>
        </w:rPr>
        <w:t>nariadení</w:t>
      </w:r>
      <w:r w:rsidR="00032B28">
        <w:rPr>
          <w:rFonts w:ascii="Times New Roman" w:hAnsi="Times New Roman" w:cs="Times New Roman"/>
          <w:noProof/>
          <w:sz w:val="24"/>
          <w:szCs w:val="24"/>
        </w:rPr>
        <w:t>m</w:t>
      </w:r>
      <w:r w:rsidRPr="006E556E">
        <w:rPr>
          <w:rFonts w:ascii="Times New Roman" w:hAnsi="Times New Roman" w:cs="Times New Roman"/>
          <w:noProof/>
          <w:sz w:val="24"/>
          <w:szCs w:val="24"/>
        </w:rPr>
        <w:t xml:space="preserve"> (EÚ) č. [nariadenie o rozpočtových pravidlách, ktoré sa vzťahu</w:t>
      </w:r>
      <w:r>
        <w:rPr>
          <w:rFonts w:ascii="Times New Roman" w:hAnsi="Times New Roman" w:cs="Times New Roman"/>
          <w:noProof/>
          <w:sz w:val="24"/>
          <w:szCs w:val="24"/>
        </w:rPr>
        <w:t xml:space="preserve">jú na všeobecný rozpočet Únie], </w:t>
      </w:r>
      <w:r w:rsidR="000302AF">
        <w:rPr>
          <w:rFonts w:ascii="Times New Roman" w:hAnsi="Times New Roman" w:cs="Times New Roman"/>
          <w:noProof/>
          <w:sz w:val="24"/>
          <w:szCs w:val="24"/>
        </w:rPr>
        <w:t>najmä však</w:t>
      </w:r>
      <w:r w:rsidR="006453A1">
        <w:rPr>
          <w:rFonts w:ascii="Times New Roman" w:hAnsi="Times New Roman" w:cs="Times New Roman"/>
          <w:noProof/>
          <w:sz w:val="24"/>
          <w:szCs w:val="24"/>
        </w:rPr>
        <w:t xml:space="preserve"> formou</w:t>
      </w:r>
      <w:r w:rsidRPr="006E556E">
        <w:rPr>
          <w:rFonts w:ascii="Times New Roman" w:hAnsi="Times New Roman" w:cs="Times New Roman"/>
          <w:noProof/>
          <w:sz w:val="24"/>
          <w:szCs w:val="24"/>
        </w:rPr>
        <w:t xml:space="preserve"> verejného obstarávania podľa hlavy VII daného nariadenia a grantov podľ</w:t>
      </w:r>
      <w:r w:rsidR="000302AF">
        <w:rPr>
          <w:rFonts w:ascii="Times New Roman" w:hAnsi="Times New Roman" w:cs="Times New Roman"/>
          <w:noProof/>
          <w:sz w:val="24"/>
          <w:szCs w:val="24"/>
        </w:rPr>
        <w:t>a hlavy VIII daného nariadenia a prostredníctvom</w:t>
      </w:r>
      <w:r w:rsidRPr="006E556E">
        <w:rPr>
          <w:rFonts w:ascii="Times New Roman" w:hAnsi="Times New Roman" w:cs="Times New Roman"/>
          <w:noProof/>
          <w:sz w:val="24"/>
          <w:szCs w:val="24"/>
        </w:rPr>
        <w:t xml:space="preserve"> finančných nástrojov v rámci operácií kombinovaného</w:t>
      </w:r>
      <w:r>
        <w:rPr>
          <w:rFonts w:ascii="Times New Roman" w:hAnsi="Times New Roman" w:cs="Times New Roman"/>
          <w:noProof/>
          <w:sz w:val="24"/>
          <w:szCs w:val="24"/>
        </w:rPr>
        <w:t xml:space="preserve"> financovania uvedených v čl.</w:t>
      </w:r>
      <w:r w:rsidRPr="006E556E">
        <w:rPr>
          <w:rFonts w:ascii="Times New Roman" w:hAnsi="Times New Roman" w:cs="Times New Roman"/>
          <w:noProof/>
          <w:sz w:val="24"/>
          <w:szCs w:val="24"/>
        </w:rPr>
        <w:t xml:space="preserve"> 47.</w:t>
      </w:r>
      <w:r w:rsidR="000302AF">
        <w:rPr>
          <w:rFonts w:ascii="Times New Roman" w:hAnsi="Times New Roman" w:cs="Times New Roman"/>
          <w:noProof/>
          <w:sz w:val="24"/>
          <w:szCs w:val="24"/>
        </w:rPr>
        <w:t xml:space="preserve"> </w:t>
      </w:r>
      <w:r w:rsidRPr="006E556E">
        <w:rPr>
          <w:rFonts w:ascii="Times New Roman" w:hAnsi="Times New Roman" w:cs="Times New Roman"/>
          <w:noProof/>
          <w:sz w:val="24"/>
          <w:szCs w:val="24"/>
        </w:rPr>
        <w:t>Hodnotenie žiadostí o udelenie grantu môžu vykonať nezávislí experti</w:t>
      </w:r>
      <w:r w:rsidR="000302AF">
        <w:rPr>
          <w:rFonts w:ascii="Times New Roman" w:hAnsi="Times New Roman" w:cs="Times New Roman"/>
          <w:noProof/>
          <w:sz w:val="24"/>
          <w:szCs w:val="24"/>
        </w:rPr>
        <w:t>.</w:t>
      </w:r>
    </w:p>
    <w:p w:rsidR="000302AF" w:rsidRPr="000302AF" w:rsidRDefault="002C3080" w:rsidP="000302AF">
      <w:pPr>
        <w:spacing w:before="120" w:after="0" w:line="240" w:lineRule="auto"/>
        <w:jc w:val="both"/>
        <w:rPr>
          <w:rFonts w:ascii="Times New Roman" w:hAnsi="Times New Roman" w:cs="Times New Roman"/>
          <w:i/>
          <w:noProof/>
          <w:sz w:val="24"/>
          <w:szCs w:val="24"/>
        </w:rPr>
      </w:pPr>
      <w:r w:rsidRPr="000302AF">
        <w:rPr>
          <w:rFonts w:ascii="Times New Roman" w:hAnsi="Times New Roman" w:cs="Times New Roman"/>
          <w:i/>
          <w:noProof/>
          <w:sz w:val="24"/>
          <w:szCs w:val="24"/>
        </w:rPr>
        <w:t xml:space="preserve">Článok 47 </w:t>
      </w:r>
      <w:r w:rsidR="000302AF" w:rsidRPr="000302AF">
        <w:rPr>
          <w:rFonts w:ascii="Times New Roman" w:hAnsi="Times New Roman" w:cs="Times New Roman"/>
          <w:i/>
          <w:noProof/>
          <w:sz w:val="24"/>
          <w:szCs w:val="24"/>
        </w:rPr>
        <w:t>–</w:t>
      </w:r>
      <w:r w:rsidRPr="000302AF">
        <w:rPr>
          <w:rFonts w:ascii="Times New Roman" w:hAnsi="Times New Roman" w:cs="Times New Roman"/>
          <w:i/>
          <w:noProof/>
          <w:sz w:val="24"/>
          <w:szCs w:val="24"/>
        </w:rPr>
        <w:t xml:space="preserve"> </w:t>
      </w:r>
      <w:r w:rsidR="000302AF" w:rsidRPr="000302AF">
        <w:rPr>
          <w:rFonts w:ascii="Times New Roman" w:hAnsi="Times New Roman" w:cs="Times New Roman"/>
          <w:b/>
          <w:i/>
          <w:noProof/>
          <w:sz w:val="24"/>
          <w:szCs w:val="24"/>
        </w:rPr>
        <w:t>Operácie kombinovaného financovania</w:t>
      </w:r>
      <w:r w:rsidR="000302AF" w:rsidRPr="000302AF">
        <w:rPr>
          <w:i/>
          <w:iCs/>
          <w:sz w:val="23"/>
          <w:szCs w:val="23"/>
        </w:rPr>
        <w:t xml:space="preserve"> </w:t>
      </w:r>
    </w:p>
    <w:p w:rsidR="002C3080" w:rsidRDefault="000302AF" w:rsidP="001623A8">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Stanovuje, že o</w:t>
      </w:r>
      <w:r w:rsidRPr="000302AF">
        <w:rPr>
          <w:rFonts w:ascii="Times New Roman" w:eastAsia="Times New Roman" w:hAnsi="Times New Roman" w:cs="Times New Roman"/>
          <w:bCs/>
          <w:sz w:val="24"/>
          <w:szCs w:val="24"/>
          <w:lang w:eastAsia="sk-SK"/>
        </w:rPr>
        <w:t>perácie kombinovaného financovania v rámci ENRF sa implementujú v súlade s nariadením (EÚ) č. [nariadenie o programe InvestEU] a hlavou X nariadenia (EÚ) č. [nariadenie o rozpočtových pravidlách, ktoré sa vzťahujú na všeobecný rozpočet Únie].</w:t>
      </w:r>
    </w:p>
    <w:p w:rsidR="000302AF" w:rsidRPr="000302AF" w:rsidRDefault="000302AF" w:rsidP="001623A8">
      <w:pPr>
        <w:spacing w:before="120" w:after="0" w:line="240" w:lineRule="auto"/>
        <w:jc w:val="both"/>
        <w:rPr>
          <w:rFonts w:ascii="Times New Roman" w:hAnsi="Times New Roman" w:cs="Times New Roman"/>
          <w:i/>
          <w:noProof/>
          <w:sz w:val="24"/>
          <w:szCs w:val="24"/>
        </w:rPr>
      </w:pPr>
      <w:r w:rsidRPr="000302AF">
        <w:rPr>
          <w:rFonts w:ascii="Times New Roman" w:hAnsi="Times New Roman" w:cs="Times New Roman"/>
          <w:i/>
          <w:noProof/>
          <w:sz w:val="24"/>
          <w:szCs w:val="24"/>
        </w:rPr>
        <w:t xml:space="preserve">Článok 48 – </w:t>
      </w:r>
      <w:r w:rsidRPr="000302AF">
        <w:rPr>
          <w:rFonts w:ascii="Times New Roman" w:hAnsi="Times New Roman" w:cs="Times New Roman"/>
          <w:b/>
          <w:i/>
          <w:noProof/>
          <w:sz w:val="24"/>
          <w:szCs w:val="24"/>
        </w:rPr>
        <w:t>Hodnotenie</w:t>
      </w:r>
    </w:p>
    <w:p w:rsidR="000302AF" w:rsidRPr="000302AF" w:rsidRDefault="000302AF" w:rsidP="000302AF">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Upravuje vykonávanie hodnotení</w:t>
      </w:r>
      <w:r w:rsidRPr="000302AF">
        <w:rPr>
          <w:rFonts w:ascii="Times New Roman" w:eastAsia="Times New Roman" w:hAnsi="Times New Roman" w:cs="Times New Roman"/>
          <w:bCs/>
          <w:sz w:val="24"/>
          <w:szCs w:val="24"/>
          <w:lang w:eastAsia="sk-SK"/>
        </w:rPr>
        <w:t xml:space="preserve">. </w:t>
      </w:r>
      <w:r w:rsidRPr="00032B28">
        <w:rPr>
          <w:rFonts w:ascii="Times New Roman" w:eastAsia="Times New Roman" w:hAnsi="Times New Roman" w:cs="Times New Roman"/>
          <w:bCs/>
          <w:sz w:val="24"/>
          <w:szCs w:val="24"/>
          <w:u w:val="single"/>
          <w:lang w:eastAsia="sk-SK"/>
        </w:rPr>
        <w:t>Priebežné hodnotenie podpory v rámci hlavy III hneď, ako sú k dispozícii dostatočné informácie o implementácii programu, najneskôr však štyri roky po začatí implementácie podpory</w:t>
      </w:r>
      <w:r>
        <w:rPr>
          <w:rFonts w:ascii="Times New Roman" w:eastAsia="Times New Roman" w:hAnsi="Times New Roman" w:cs="Times New Roman"/>
          <w:bCs/>
          <w:sz w:val="24"/>
          <w:szCs w:val="24"/>
          <w:lang w:eastAsia="sk-SK"/>
        </w:rPr>
        <w:t xml:space="preserve">. </w:t>
      </w:r>
      <w:r w:rsidRPr="000302AF">
        <w:rPr>
          <w:rFonts w:ascii="Times New Roman" w:eastAsia="Times New Roman" w:hAnsi="Times New Roman" w:cs="Times New Roman"/>
          <w:bCs/>
          <w:sz w:val="24"/>
          <w:szCs w:val="24"/>
          <w:lang w:eastAsia="sk-SK"/>
        </w:rPr>
        <w:t>Na konci obdobia implementácie, najneskôr však štyri roky po uplynutí tohto obdobia, Komisia vyhotoví záverečnú hodnotiacu sprá</w:t>
      </w:r>
      <w:r>
        <w:rPr>
          <w:rFonts w:ascii="Times New Roman" w:eastAsia="Times New Roman" w:hAnsi="Times New Roman" w:cs="Times New Roman"/>
          <w:bCs/>
          <w:sz w:val="24"/>
          <w:szCs w:val="24"/>
          <w:lang w:eastAsia="sk-SK"/>
        </w:rPr>
        <w:t xml:space="preserve">vu o podpore v rámci hlavy III. </w:t>
      </w:r>
      <w:r w:rsidRPr="000302AF">
        <w:rPr>
          <w:rFonts w:ascii="Times New Roman" w:eastAsia="Times New Roman" w:hAnsi="Times New Roman" w:cs="Times New Roman"/>
          <w:bCs/>
          <w:sz w:val="24"/>
          <w:szCs w:val="24"/>
          <w:lang w:eastAsia="sk-SK"/>
        </w:rPr>
        <w:t>Komisia oznámi závery týchto hodnotení spolu so svojimi pripomienkami Európskemu parlamentu, Rade, Európskemu hospodárskemu a sociálnemu výboru a Výboru regiónov.</w:t>
      </w:r>
    </w:p>
    <w:p w:rsidR="000302AF" w:rsidRDefault="000302AF" w:rsidP="001623A8">
      <w:pPr>
        <w:spacing w:before="120" w:after="0" w:line="240" w:lineRule="auto"/>
        <w:jc w:val="both"/>
        <w:rPr>
          <w:rFonts w:ascii="Times New Roman" w:hAnsi="Times New Roman" w:cs="Times New Roman"/>
          <w:b/>
          <w:i/>
          <w:noProof/>
          <w:sz w:val="24"/>
          <w:szCs w:val="24"/>
        </w:rPr>
      </w:pPr>
      <w:r w:rsidRPr="000302AF">
        <w:rPr>
          <w:rFonts w:ascii="Times New Roman" w:hAnsi="Times New Roman" w:cs="Times New Roman"/>
          <w:i/>
          <w:noProof/>
          <w:sz w:val="24"/>
          <w:szCs w:val="24"/>
        </w:rPr>
        <w:t xml:space="preserve">Článok 49 – </w:t>
      </w:r>
      <w:r w:rsidRPr="000302AF">
        <w:rPr>
          <w:rFonts w:ascii="Times New Roman" w:hAnsi="Times New Roman" w:cs="Times New Roman"/>
          <w:b/>
          <w:i/>
          <w:noProof/>
          <w:sz w:val="24"/>
          <w:szCs w:val="24"/>
        </w:rPr>
        <w:t>Audity</w:t>
      </w:r>
    </w:p>
    <w:p w:rsidR="000302AF" w:rsidRDefault="000302AF" w:rsidP="000302AF">
      <w:pPr>
        <w:spacing w:after="0" w:line="240" w:lineRule="auto"/>
        <w:jc w:val="both"/>
        <w:rPr>
          <w:rFonts w:ascii="Times New Roman" w:eastAsia="Times New Roman" w:hAnsi="Times New Roman" w:cs="Times New Roman"/>
          <w:bCs/>
          <w:sz w:val="24"/>
          <w:szCs w:val="24"/>
          <w:lang w:eastAsia="sk-SK"/>
        </w:rPr>
      </w:pPr>
      <w:r w:rsidRPr="000302AF">
        <w:rPr>
          <w:rFonts w:ascii="Times New Roman" w:eastAsia="Times New Roman" w:hAnsi="Times New Roman" w:cs="Times New Roman"/>
          <w:bCs/>
          <w:sz w:val="24"/>
          <w:szCs w:val="24"/>
          <w:lang w:eastAsia="sk-SK"/>
        </w:rPr>
        <w:t xml:space="preserve">Stanovuje, že </w:t>
      </w:r>
      <w:r>
        <w:rPr>
          <w:rFonts w:ascii="Times New Roman" w:eastAsia="Times New Roman" w:hAnsi="Times New Roman" w:cs="Times New Roman"/>
          <w:bCs/>
          <w:sz w:val="24"/>
          <w:szCs w:val="24"/>
          <w:lang w:eastAsia="sk-SK"/>
        </w:rPr>
        <w:t>a</w:t>
      </w:r>
      <w:r w:rsidRPr="000302AF">
        <w:rPr>
          <w:rFonts w:ascii="Times New Roman" w:eastAsia="Times New Roman" w:hAnsi="Times New Roman" w:cs="Times New Roman"/>
          <w:bCs/>
          <w:sz w:val="24"/>
          <w:szCs w:val="24"/>
          <w:lang w:eastAsia="sk-SK"/>
        </w:rPr>
        <w:t xml:space="preserve">udity týkajúce sa použitia príspevku Únie vykonávané osobami alebo subjektmi vrátane tých, ktoré neboli poverené inštitúciami alebo orgánmi Únie, tvoria základ </w:t>
      </w:r>
      <w:r w:rsidRPr="000302AF">
        <w:rPr>
          <w:rFonts w:ascii="Times New Roman" w:eastAsia="Times New Roman" w:hAnsi="Times New Roman" w:cs="Times New Roman"/>
          <w:bCs/>
          <w:sz w:val="24"/>
          <w:szCs w:val="24"/>
          <w:lang w:eastAsia="sk-SK"/>
        </w:rPr>
        <w:lastRenderedPageBreak/>
        <w:t>celkového uistenia podľa článku 127 nariadenia (EÚ) č. [nariadenie o rozpočtových pravidlách, ktoré sa vzťahujú na všeobecný rozpočet Únie].</w:t>
      </w:r>
    </w:p>
    <w:p w:rsidR="000302AF" w:rsidRDefault="000302AF" w:rsidP="000302AF">
      <w:pPr>
        <w:spacing w:before="120" w:after="0" w:line="240" w:lineRule="auto"/>
        <w:jc w:val="both"/>
        <w:rPr>
          <w:rFonts w:ascii="Times New Roman" w:hAnsi="Times New Roman" w:cs="Times New Roman"/>
          <w:b/>
          <w:i/>
          <w:noProof/>
          <w:sz w:val="24"/>
          <w:szCs w:val="24"/>
        </w:rPr>
      </w:pPr>
      <w:r>
        <w:rPr>
          <w:rFonts w:ascii="Times New Roman" w:hAnsi="Times New Roman" w:cs="Times New Roman"/>
          <w:i/>
          <w:noProof/>
          <w:sz w:val="24"/>
          <w:szCs w:val="24"/>
        </w:rPr>
        <w:t xml:space="preserve">Článok 50 – </w:t>
      </w:r>
      <w:r w:rsidRPr="000302AF">
        <w:rPr>
          <w:rFonts w:ascii="Times New Roman" w:hAnsi="Times New Roman" w:cs="Times New Roman"/>
          <w:b/>
          <w:i/>
          <w:noProof/>
          <w:sz w:val="24"/>
          <w:szCs w:val="24"/>
        </w:rPr>
        <w:t>Poskytovanie informácií, komunikácia a</w:t>
      </w:r>
      <w:r>
        <w:rPr>
          <w:rFonts w:ascii="Times New Roman" w:hAnsi="Times New Roman" w:cs="Times New Roman"/>
          <w:b/>
          <w:i/>
          <w:noProof/>
          <w:sz w:val="24"/>
          <w:szCs w:val="24"/>
        </w:rPr>
        <w:t> </w:t>
      </w:r>
      <w:r w:rsidRPr="000302AF">
        <w:rPr>
          <w:rFonts w:ascii="Times New Roman" w:hAnsi="Times New Roman" w:cs="Times New Roman"/>
          <w:b/>
          <w:i/>
          <w:noProof/>
          <w:sz w:val="24"/>
          <w:szCs w:val="24"/>
        </w:rPr>
        <w:t>zverejňovanie</w:t>
      </w:r>
    </w:p>
    <w:p w:rsidR="000302AF" w:rsidRPr="000302AF" w:rsidRDefault="000302AF" w:rsidP="000302AF">
      <w:pPr>
        <w:spacing w:after="0" w:line="240" w:lineRule="auto"/>
        <w:jc w:val="both"/>
        <w:rPr>
          <w:rFonts w:ascii="Times New Roman" w:eastAsia="Times New Roman" w:hAnsi="Times New Roman" w:cs="Times New Roman"/>
          <w:bCs/>
          <w:sz w:val="24"/>
          <w:szCs w:val="24"/>
          <w:lang w:eastAsia="sk-SK"/>
        </w:rPr>
      </w:pPr>
      <w:r w:rsidRPr="000302AF">
        <w:rPr>
          <w:rFonts w:ascii="Times New Roman" w:eastAsia="Times New Roman" w:hAnsi="Times New Roman" w:cs="Times New Roman"/>
          <w:bCs/>
          <w:sz w:val="24"/>
          <w:szCs w:val="24"/>
          <w:lang w:eastAsia="sk-SK"/>
        </w:rPr>
        <w:t xml:space="preserve">Upravuje povinnosti príjemcov finančnej pomoci, ako aj Komisie pri </w:t>
      </w:r>
      <w:r w:rsidR="00DE4319">
        <w:rPr>
          <w:rFonts w:ascii="Times New Roman" w:eastAsia="Times New Roman" w:hAnsi="Times New Roman" w:cs="Times New Roman"/>
          <w:bCs/>
          <w:sz w:val="24"/>
          <w:szCs w:val="24"/>
          <w:lang w:eastAsia="sk-SK"/>
        </w:rPr>
        <w:t>poskytovaní</w:t>
      </w:r>
      <w:r>
        <w:rPr>
          <w:rFonts w:ascii="Times New Roman" w:eastAsia="Times New Roman" w:hAnsi="Times New Roman" w:cs="Times New Roman"/>
          <w:bCs/>
          <w:sz w:val="24"/>
          <w:szCs w:val="24"/>
          <w:lang w:eastAsia="sk-SK"/>
        </w:rPr>
        <w:t xml:space="preserve"> informácií, k</w:t>
      </w:r>
      <w:r w:rsidR="00DE4319">
        <w:rPr>
          <w:rFonts w:ascii="Times New Roman" w:eastAsia="Times New Roman" w:hAnsi="Times New Roman" w:cs="Times New Roman"/>
          <w:bCs/>
          <w:sz w:val="24"/>
          <w:szCs w:val="24"/>
          <w:lang w:eastAsia="sk-SK"/>
        </w:rPr>
        <w:t>omunikácii a zverejňovaní</w:t>
      </w:r>
      <w:r>
        <w:rPr>
          <w:rFonts w:ascii="Times New Roman" w:eastAsia="Times New Roman" w:hAnsi="Times New Roman" w:cs="Times New Roman"/>
          <w:bCs/>
          <w:sz w:val="24"/>
          <w:szCs w:val="24"/>
          <w:lang w:eastAsia="sk-SK"/>
        </w:rPr>
        <w:t xml:space="preserve">. </w:t>
      </w:r>
      <w:r w:rsidRPr="000302AF">
        <w:rPr>
          <w:rFonts w:ascii="Times New Roman" w:eastAsia="Times New Roman" w:hAnsi="Times New Roman" w:cs="Times New Roman"/>
          <w:bCs/>
          <w:sz w:val="24"/>
          <w:szCs w:val="24"/>
          <w:lang w:eastAsia="sk-SK"/>
        </w:rPr>
        <w:t>Z finančných zdrojov alokovaných ENRF sa súčasne prispieva aj na informovanie o politických prioritách Únie navonok, pokiaľ sa týkajú priorít uvedených v čl.4.</w:t>
      </w:r>
    </w:p>
    <w:p w:rsidR="00DE4319" w:rsidRPr="00DE4319" w:rsidRDefault="00DE4319" w:rsidP="00DE4319">
      <w:pPr>
        <w:spacing w:before="120" w:after="0" w:line="240" w:lineRule="auto"/>
        <w:jc w:val="both"/>
        <w:rPr>
          <w:rFonts w:ascii="Times New Roman" w:hAnsi="Times New Roman" w:cs="Times New Roman"/>
          <w:b/>
          <w:i/>
          <w:noProof/>
          <w:sz w:val="24"/>
          <w:szCs w:val="24"/>
        </w:rPr>
      </w:pPr>
      <w:r>
        <w:rPr>
          <w:rFonts w:ascii="Times New Roman" w:hAnsi="Times New Roman" w:cs="Times New Roman"/>
          <w:i/>
          <w:noProof/>
          <w:sz w:val="24"/>
          <w:szCs w:val="24"/>
        </w:rPr>
        <w:t xml:space="preserve">Článok 51 – </w:t>
      </w:r>
      <w:r w:rsidRPr="00DE4319">
        <w:rPr>
          <w:rFonts w:ascii="Times New Roman" w:hAnsi="Times New Roman" w:cs="Times New Roman"/>
          <w:b/>
          <w:i/>
          <w:noProof/>
          <w:sz w:val="24"/>
          <w:szCs w:val="24"/>
        </w:rPr>
        <w:t>Oprávnené subjekty</w:t>
      </w:r>
    </w:p>
    <w:p w:rsidR="000302AF" w:rsidRPr="00DE4319" w:rsidRDefault="00DE4319" w:rsidP="000302AF">
      <w:pPr>
        <w:spacing w:after="0" w:line="240" w:lineRule="auto"/>
        <w:jc w:val="both"/>
        <w:rPr>
          <w:rFonts w:ascii="Times New Roman" w:eastAsia="Times New Roman" w:hAnsi="Times New Roman" w:cs="Times New Roman"/>
          <w:bCs/>
          <w:sz w:val="24"/>
          <w:szCs w:val="24"/>
          <w:lang w:eastAsia="sk-SK"/>
        </w:rPr>
      </w:pPr>
      <w:r w:rsidRPr="00DE4319">
        <w:rPr>
          <w:rFonts w:ascii="Times New Roman" w:eastAsia="Times New Roman" w:hAnsi="Times New Roman" w:cs="Times New Roman"/>
          <w:bCs/>
          <w:sz w:val="24"/>
          <w:szCs w:val="24"/>
          <w:lang w:eastAsia="sk-SK"/>
        </w:rPr>
        <w:t>Odkazuje na čl. 197 nariadenia (EÚ) č. [nariadenie o rozpočtových pravidlách, ktoré sa vzťahujú na všeobecný rozpočet Únie], ktoré majú byť oprávnené subjekty spĺňať, zároveň definuje  kritériá oprávnenosti nad rámec uvedeného nariadenia.</w:t>
      </w:r>
    </w:p>
    <w:p w:rsidR="000302AF" w:rsidRDefault="00DE4319" w:rsidP="00DE4319">
      <w:pPr>
        <w:spacing w:before="240" w:after="240" w:line="240" w:lineRule="auto"/>
        <w:jc w:val="both"/>
        <w:rPr>
          <w:rFonts w:ascii="Times New Roman" w:hAnsi="Times New Roman" w:cs="Times New Roman"/>
          <w:b/>
          <w:i/>
          <w:noProof/>
          <w:sz w:val="24"/>
          <w:szCs w:val="24"/>
        </w:rPr>
      </w:pPr>
      <w:r>
        <w:rPr>
          <w:rFonts w:ascii="Times New Roman" w:hAnsi="Times New Roman" w:cs="Times New Roman"/>
          <w:b/>
          <w:sz w:val="24"/>
          <w:szCs w:val="24"/>
        </w:rPr>
        <w:t xml:space="preserve">HLAVA IV: </w:t>
      </w:r>
      <w:r w:rsidRPr="00DE4319">
        <w:rPr>
          <w:rFonts w:ascii="Times New Roman" w:hAnsi="Times New Roman" w:cs="Times New Roman"/>
          <w:b/>
          <w:sz w:val="24"/>
          <w:szCs w:val="24"/>
        </w:rPr>
        <w:t>PROCEDURÁLNE USTANOVENIA</w:t>
      </w:r>
    </w:p>
    <w:p w:rsidR="000302AF" w:rsidRDefault="00777D08" w:rsidP="00DE4319">
      <w:pPr>
        <w:spacing w:before="120" w:after="0" w:line="240" w:lineRule="auto"/>
        <w:jc w:val="both"/>
        <w:rPr>
          <w:i/>
          <w:iCs/>
          <w:sz w:val="23"/>
          <w:szCs w:val="23"/>
        </w:rPr>
      </w:pPr>
      <w:r>
        <w:rPr>
          <w:rFonts w:ascii="Times New Roman" w:hAnsi="Times New Roman" w:cs="Times New Roman"/>
          <w:i/>
          <w:noProof/>
          <w:sz w:val="24"/>
          <w:szCs w:val="24"/>
        </w:rPr>
        <w:t>Článok 52</w:t>
      </w:r>
      <w:r w:rsidR="00DE4319">
        <w:rPr>
          <w:rFonts w:ascii="Times New Roman" w:hAnsi="Times New Roman" w:cs="Times New Roman"/>
          <w:i/>
          <w:noProof/>
          <w:sz w:val="24"/>
          <w:szCs w:val="24"/>
        </w:rPr>
        <w:t xml:space="preserve"> – </w:t>
      </w:r>
      <w:r w:rsidR="00DE4319" w:rsidRPr="00DE4319">
        <w:rPr>
          <w:rFonts w:ascii="Times New Roman" w:hAnsi="Times New Roman" w:cs="Times New Roman"/>
          <w:b/>
          <w:i/>
          <w:noProof/>
          <w:sz w:val="24"/>
          <w:szCs w:val="24"/>
        </w:rPr>
        <w:t>Vykonávanie delegovania právomoci</w:t>
      </w:r>
    </w:p>
    <w:p w:rsidR="00DE4319" w:rsidRPr="00777D08" w:rsidRDefault="00777D08" w:rsidP="00777D08">
      <w:pPr>
        <w:spacing w:after="0" w:line="240" w:lineRule="auto"/>
        <w:jc w:val="both"/>
        <w:rPr>
          <w:rFonts w:ascii="Times New Roman" w:eastAsia="Times New Roman" w:hAnsi="Times New Roman" w:cs="Times New Roman"/>
          <w:bCs/>
          <w:sz w:val="24"/>
          <w:szCs w:val="24"/>
          <w:lang w:eastAsia="sk-SK"/>
        </w:rPr>
      </w:pPr>
      <w:r w:rsidRPr="00777D08">
        <w:rPr>
          <w:rFonts w:ascii="Times New Roman" w:eastAsia="Times New Roman" w:hAnsi="Times New Roman" w:cs="Times New Roman"/>
          <w:bCs/>
          <w:sz w:val="24"/>
          <w:szCs w:val="24"/>
          <w:lang w:eastAsia="sk-SK"/>
        </w:rPr>
        <w:t>S</w:t>
      </w:r>
      <w:r>
        <w:rPr>
          <w:rFonts w:ascii="Times New Roman" w:eastAsia="Times New Roman" w:hAnsi="Times New Roman" w:cs="Times New Roman"/>
          <w:bCs/>
          <w:sz w:val="24"/>
          <w:szCs w:val="24"/>
          <w:lang w:eastAsia="sk-SK"/>
        </w:rPr>
        <w:t>tanovuje podmienky pre  prijatie delegovaných aktov zo strany Komisie k príslušným článkom nariadenia o ENRF.</w:t>
      </w:r>
    </w:p>
    <w:p w:rsidR="00777D08" w:rsidRDefault="00777D08" w:rsidP="00DE4319">
      <w:pPr>
        <w:spacing w:before="120" w:after="0" w:line="240" w:lineRule="auto"/>
        <w:jc w:val="both"/>
        <w:rPr>
          <w:rFonts w:ascii="Times New Roman" w:hAnsi="Times New Roman" w:cs="Times New Roman"/>
          <w:b/>
          <w:i/>
          <w:noProof/>
          <w:sz w:val="24"/>
          <w:szCs w:val="24"/>
        </w:rPr>
      </w:pPr>
      <w:r>
        <w:rPr>
          <w:rFonts w:ascii="Times New Roman" w:hAnsi="Times New Roman" w:cs="Times New Roman"/>
          <w:i/>
          <w:noProof/>
          <w:sz w:val="24"/>
          <w:szCs w:val="24"/>
        </w:rPr>
        <w:t xml:space="preserve">Článok 53 – </w:t>
      </w:r>
      <w:r w:rsidRPr="00777D08">
        <w:rPr>
          <w:rFonts w:ascii="Times New Roman" w:hAnsi="Times New Roman" w:cs="Times New Roman"/>
          <w:b/>
          <w:i/>
          <w:noProof/>
          <w:sz w:val="24"/>
          <w:szCs w:val="24"/>
        </w:rPr>
        <w:t>Postup výboru</w:t>
      </w:r>
    </w:p>
    <w:p w:rsidR="00777D08" w:rsidRPr="00777D08" w:rsidRDefault="00777D08" w:rsidP="00777D08">
      <w:pPr>
        <w:spacing w:after="0" w:line="240" w:lineRule="auto"/>
        <w:jc w:val="both"/>
        <w:rPr>
          <w:rFonts w:ascii="Times New Roman" w:hAnsi="Times New Roman" w:cs="Times New Roman"/>
          <w:b/>
          <w:i/>
          <w:noProof/>
          <w:sz w:val="24"/>
          <w:szCs w:val="24"/>
        </w:rPr>
      </w:pPr>
      <w:r>
        <w:rPr>
          <w:rFonts w:ascii="Times New Roman" w:eastAsia="Times New Roman" w:hAnsi="Times New Roman" w:cs="Times New Roman"/>
          <w:bCs/>
          <w:sz w:val="24"/>
          <w:szCs w:val="24"/>
          <w:lang w:eastAsia="sk-SK"/>
        </w:rPr>
        <w:t xml:space="preserve">Ustanovuje </w:t>
      </w:r>
      <w:r w:rsidRPr="00777D08">
        <w:rPr>
          <w:rFonts w:ascii="Times New Roman" w:eastAsia="Times New Roman" w:hAnsi="Times New Roman" w:cs="Times New Roman"/>
          <w:bCs/>
          <w:sz w:val="24"/>
          <w:szCs w:val="24"/>
          <w:lang w:eastAsia="sk-SK"/>
        </w:rPr>
        <w:t>Výbor pre Európsky námorný a rybársky fond v zmysle nariadenia Európskeho parlamentu a Rady (EÚ) č. 182/2011</w:t>
      </w:r>
      <w:r>
        <w:rPr>
          <w:rFonts w:ascii="Times New Roman" w:eastAsia="Times New Roman" w:hAnsi="Times New Roman" w:cs="Times New Roman"/>
          <w:bCs/>
          <w:sz w:val="24"/>
          <w:szCs w:val="24"/>
          <w:lang w:eastAsia="sk-SK"/>
        </w:rPr>
        <w:t>, ktorý má pomáhať Komisii.</w:t>
      </w:r>
    </w:p>
    <w:p w:rsidR="00777D08" w:rsidRPr="00777D08" w:rsidRDefault="00777D08" w:rsidP="00777D08">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HLAVA </w:t>
      </w:r>
      <w:r w:rsidRPr="00777D08">
        <w:rPr>
          <w:rFonts w:ascii="Times New Roman" w:hAnsi="Times New Roman" w:cs="Times New Roman"/>
          <w:b/>
          <w:sz w:val="24"/>
          <w:szCs w:val="24"/>
        </w:rPr>
        <w:t xml:space="preserve">V: </w:t>
      </w:r>
      <w:r>
        <w:rPr>
          <w:rFonts w:ascii="Times New Roman" w:hAnsi="Times New Roman" w:cs="Times New Roman"/>
          <w:b/>
          <w:sz w:val="24"/>
          <w:szCs w:val="24"/>
        </w:rPr>
        <w:t>ZÁVEREČNÉ</w:t>
      </w:r>
      <w:r w:rsidRPr="00777D08">
        <w:rPr>
          <w:rFonts w:ascii="Times New Roman" w:hAnsi="Times New Roman" w:cs="Times New Roman"/>
          <w:b/>
          <w:sz w:val="24"/>
          <w:szCs w:val="24"/>
        </w:rPr>
        <w:t xml:space="preserve"> USTANOVENIA</w:t>
      </w:r>
    </w:p>
    <w:p w:rsidR="00777D08" w:rsidRPr="00777D08" w:rsidRDefault="00777D08" w:rsidP="001623A8">
      <w:pPr>
        <w:spacing w:before="12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Článok 54 – </w:t>
      </w:r>
      <w:r w:rsidRPr="00777D08">
        <w:rPr>
          <w:rFonts w:ascii="Times New Roman" w:hAnsi="Times New Roman" w:cs="Times New Roman"/>
          <w:b/>
          <w:i/>
          <w:noProof/>
          <w:sz w:val="24"/>
          <w:szCs w:val="24"/>
        </w:rPr>
        <w:t>Zrušenie</w:t>
      </w:r>
    </w:p>
    <w:p w:rsidR="00777D08" w:rsidRPr="00777D08" w:rsidRDefault="00777D08" w:rsidP="00777D08">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Stanovuje </w:t>
      </w:r>
      <w:r w:rsidR="0091543C">
        <w:rPr>
          <w:rFonts w:ascii="Times New Roman" w:eastAsia="Times New Roman" w:hAnsi="Times New Roman" w:cs="Times New Roman"/>
          <w:bCs/>
          <w:sz w:val="24"/>
          <w:szCs w:val="24"/>
          <w:lang w:eastAsia="sk-SK"/>
        </w:rPr>
        <w:t>termín zrušenia n</w:t>
      </w:r>
      <w:r w:rsidRPr="00777D08">
        <w:rPr>
          <w:rFonts w:ascii="Times New Roman" w:eastAsia="Times New Roman" w:hAnsi="Times New Roman" w:cs="Times New Roman"/>
          <w:bCs/>
          <w:sz w:val="24"/>
          <w:szCs w:val="24"/>
          <w:lang w:eastAsia="sk-SK"/>
        </w:rPr>
        <w:t>aria</w:t>
      </w:r>
      <w:r w:rsidR="0091543C">
        <w:rPr>
          <w:rFonts w:ascii="Times New Roman" w:eastAsia="Times New Roman" w:hAnsi="Times New Roman" w:cs="Times New Roman"/>
          <w:bCs/>
          <w:sz w:val="24"/>
          <w:szCs w:val="24"/>
          <w:lang w:eastAsia="sk-SK"/>
        </w:rPr>
        <w:t xml:space="preserve">denia (EÚ) č. 508/2014, ktorý je s </w:t>
      </w:r>
      <w:r w:rsidRPr="00777D08">
        <w:rPr>
          <w:rFonts w:ascii="Times New Roman" w:eastAsia="Times New Roman" w:hAnsi="Times New Roman" w:cs="Times New Roman"/>
          <w:bCs/>
          <w:sz w:val="24"/>
          <w:szCs w:val="24"/>
          <w:lang w:eastAsia="sk-SK"/>
        </w:rPr>
        <w:t>účinnosťou od 1. januára 2021.</w:t>
      </w:r>
      <w:r w:rsidR="0091543C" w:rsidRPr="0091543C">
        <w:rPr>
          <w:sz w:val="23"/>
          <w:szCs w:val="23"/>
        </w:rPr>
        <w:t xml:space="preserve"> </w:t>
      </w:r>
      <w:r w:rsidR="0091543C" w:rsidRPr="0091543C">
        <w:rPr>
          <w:rFonts w:ascii="Times New Roman" w:eastAsia="Times New Roman" w:hAnsi="Times New Roman" w:cs="Times New Roman"/>
          <w:bCs/>
          <w:sz w:val="24"/>
          <w:szCs w:val="24"/>
          <w:lang w:eastAsia="sk-SK"/>
        </w:rPr>
        <w:t>Odkazy na zrušené nariadenie sa považujú za odkazy na toto nariadenie.</w:t>
      </w:r>
    </w:p>
    <w:p w:rsidR="0091543C" w:rsidRDefault="0091543C" w:rsidP="001623A8">
      <w:pPr>
        <w:spacing w:before="120" w:after="0" w:line="240" w:lineRule="auto"/>
        <w:jc w:val="both"/>
        <w:rPr>
          <w:rFonts w:ascii="Times New Roman" w:eastAsia="Times New Roman" w:hAnsi="Times New Roman" w:cs="Times New Roman"/>
          <w:bCs/>
          <w:i/>
          <w:sz w:val="24"/>
          <w:szCs w:val="24"/>
          <w:lang w:eastAsia="sk-SK"/>
        </w:rPr>
      </w:pPr>
      <w:r>
        <w:rPr>
          <w:rFonts w:ascii="Times New Roman" w:hAnsi="Times New Roman" w:cs="Times New Roman"/>
          <w:i/>
          <w:noProof/>
          <w:sz w:val="24"/>
          <w:szCs w:val="24"/>
        </w:rPr>
        <w:t xml:space="preserve">Článok 55 – </w:t>
      </w:r>
      <w:r w:rsidRPr="0091543C">
        <w:rPr>
          <w:rFonts w:ascii="Times New Roman" w:hAnsi="Times New Roman" w:cs="Times New Roman"/>
          <w:b/>
          <w:i/>
          <w:noProof/>
          <w:sz w:val="24"/>
          <w:szCs w:val="24"/>
        </w:rPr>
        <w:t>Prechodné ustanovenia</w:t>
      </w:r>
    </w:p>
    <w:p w:rsidR="0091543C" w:rsidRDefault="0091543C" w:rsidP="00032B28">
      <w:pPr>
        <w:pStyle w:val="Default"/>
        <w:spacing w:after="120"/>
        <w:jc w:val="both"/>
        <w:rPr>
          <w:sz w:val="23"/>
          <w:szCs w:val="23"/>
        </w:rPr>
      </w:pPr>
      <w:r>
        <w:rPr>
          <w:sz w:val="23"/>
          <w:szCs w:val="23"/>
        </w:rPr>
        <w:t>Splnomocňuje Komisiu prijímať delegované akty s cieľom stanoviť podmienky, za ktorých sa podpora schválená Komisiou podľa nariadenia (EÚ) č. 508/2014 môže začleniť do podpory poskytnutej podľa tohto nariadenia.  Tiež stanovuje, že toto nariadenie nemá až do ukončenia dotknutých akcií vplyv na ich pokračovanie na ich pokračovanie ani zmenu podľa nariadenia (EÚ) č. 508/2014, ktoré sa na tieto akcie aj naďalej vzťahuje až do ich ukončenia. Žiadosti podľa nariadenia (EÚ) č. 508/2014 sú aj naďalej platné.</w:t>
      </w:r>
    </w:p>
    <w:p w:rsidR="0091543C" w:rsidRDefault="0091543C" w:rsidP="0091543C">
      <w:pPr>
        <w:pStyle w:val="Default"/>
        <w:jc w:val="both"/>
        <w:rPr>
          <w:b/>
          <w:i/>
          <w:noProof/>
          <w:color w:val="auto"/>
        </w:rPr>
      </w:pPr>
      <w:r>
        <w:rPr>
          <w:i/>
          <w:noProof/>
        </w:rPr>
        <w:t xml:space="preserve">Článok 56 – </w:t>
      </w:r>
      <w:r w:rsidRPr="0091543C">
        <w:rPr>
          <w:b/>
          <w:i/>
          <w:noProof/>
          <w:color w:val="auto"/>
        </w:rPr>
        <w:t>Nadobudnutie účinnosti a dátum uplatňovania</w:t>
      </w:r>
    </w:p>
    <w:p w:rsidR="0091543C" w:rsidRPr="0091543C" w:rsidRDefault="0091543C" w:rsidP="0091543C">
      <w:pPr>
        <w:pStyle w:val="Default"/>
        <w:jc w:val="both"/>
        <w:rPr>
          <w:sz w:val="23"/>
          <w:szCs w:val="23"/>
        </w:rPr>
      </w:pPr>
      <w:r>
        <w:rPr>
          <w:sz w:val="23"/>
          <w:szCs w:val="23"/>
        </w:rPr>
        <w:t>Stanovuje, že toto nariadenie nadobúda účinnosť dvadsiatym dňom po jeho uverejnení v Úradnom vestníku Európskej únie a uplatňuje sa od 1. januára 2021, pričom je záväzné v celom rozsahu a priamo uplatniteľné vo všetkých ČŠ.</w:t>
      </w:r>
    </w:p>
    <w:p w:rsidR="001C6675" w:rsidRPr="0091543C" w:rsidRDefault="001C6675" w:rsidP="001623A8">
      <w:pPr>
        <w:spacing w:before="120"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i/>
          <w:sz w:val="24"/>
          <w:szCs w:val="24"/>
          <w:lang w:eastAsia="sk-SK"/>
        </w:rPr>
        <w:t>Príloha I</w:t>
      </w:r>
      <w:r w:rsidR="0091543C">
        <w:rPr>
          <w:rFonts w:ascii="Times New Roman" w:eastAsia="Times New Roman" w:hAnsi="Times New Roman" w:cs="Times New Roman"/>
          <w:bCs/>
          <w:i/>
          <w:sz w:val="24"/>
          <w:szCs w:val="24"/>
          <w:lang w:eastAsia="sk-SK"/>
        </w:rPr>
        <w:t xml:space="preserve"> </w:t>
      </w:r>
      <w:r w:rsidR="0091543C">
        <w:rPr>
          <w:rFonts w:ascii="Times New Roman" w:eastAsia="Times New Roman" w:hAnsi="Times New Roman" w:cs="Times New Roman"/>
          <w:bCs/>
          <w:sz w:val="24"/>
          <w:szCs w:val="24"/>
          <w:lang w:eastAsia="sk-SK"/>
        </w:rPr>
        <w:t>–</w:t>
      </w:r>
      <w:r w:rsidRPr="001C6675">
        <w:rPr>
          <w:rFonts w:ascii="Times New Roman" w:eastAsia="Times New Roman" w:hAnsi="Times New Roman" w:cs="Times New Roman"/>
          <w:bCs/>
          <w:sz w:val="24"/>
          <w:szCs w:val="24"/>
          <w:lang w:eastAsia="sk-SK"/>
        </w:rPr>
        <w:t xml:space="preserve"> </w:t>
      </w:r>
      <w:r w:rsidR="0091543C" w:rsidRPr="0091543C">
        <w:rPr>
          <w:rFonts w:ascii="Times New Roman" w:hAnsi="Times New Roman" w:cs="Times New Roman"/>
          <w:b/>
          <w:i/>
          <w:noProof/>
          <w:sz w:val="24"/>
          <w:szCs w:val="24"/>
        </w:rPr>
        <w:t>Spoločné ukazovatele</w:t>
      </w:r>
    </w:p>
    <w:p w:rsidR="001C6675" w:rsidRDefault="001C6675" w:rsidP="001623A8">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Obsahuje </w:t>
      </w:r>
      <w:r w:rsidR="0091543C">
        <w:rPr>
          <w:rFonts w:ascii="Times New Roman" w:eastAsia="Times New Roman" w:hAnsi="Times New Roman" w:cs="Times New Roman"/>
          <w:bCs/>
          <w:sz w:val="24"/>
          <w:szCs w:val="24"/>
          <w:lang w:eastAsia="sk-SK"/>
        </w:rPr>
        <w:t>zoznam spoločných ukazovateľov podľa jednotlivých priorít.</w:t>
      </w:r>
    </w:p>
    <w:p w:rsidR="001C6675" w:rsidRDefault="001C6675" w:rsidP="001623A8">
      <w:pPr>
        <w:spacing w:before="120" w:after="0" w:line="240" w:lineRule="auto"/>
        <w:jc w:val="both"/>
        <w:rPr>
          <w:rFonts w:ascii="Times New Roman" w:hAnsi="Times New Roman" w:cs="Times New Roman"/>
          <w:b/>
          <w:i/>
          <w:noProof/>
          <w:sz w:val="24"/>
          <w:szCs w:val="24"/>
        </w:rPr>
      </w:pPr>
      <w:r>
        <w:rPr>
          <w:rFonts w:ascii="Times New Roman" w:eastAsia="Times New Roman" w:hAnsi="Times New Roman" w:cs="Times New Roman"/>
          <w:bCs/>
          <w:i/>
          <w:sz w:val="24"/>
          <w:szCs w:val="24"/>
          <w:lang w:eastAsia="sk-SK"/>
        </w:rPr>
        <w:t>Príloha II</w:t>
      </w:r>
      <w:r w:rsidR="0091543C">
        <w:rPr>
          <w:rFonts w:ascii="Times New Roman" w:eastAsia="Times New Roman" w:hAnsi="Times New Roman" w:cs="Times New Roman"/>
          <w:bCs/>
          <w:i/>
          <w:sz w:val="24"/>
          <w:szCs w:val="24"/>
          <w:lang w:eastAsia="sk-SK"/>
        </w:rPr>
        <w:t xml:space="preserve"> – </w:t>
      </w:r>
      <w:r w:rsidR="0091543C" w:rsidRPr="0091543C">
        <w:rPr>
          <w:rFonts w:ascii="Times New Roman" w:hAnsi="Times New Roman" w:cs="Times New Roman"/>
          <w:b/>
          <w:i/>
          <w:noProof/>
          <w:sz w:val="24"/>
          <w:szCs w:val="24"/>
        </w:rPr>
        <w:t>Oblasti podpory podľa zdieľaného riadenia</w:t>
      </w:r>
    </w:p>
    <w:p w:rsidR="0091543C" w:rsidRDefault="0091543C" w:rsidP="0091543C">
      <w:pPr>
        <w:spacing w:after="0" w:line="240" w:lineRule="auto"/>
        <w:jc w:val="both"/>
        <w:rPr>
          <w:rFonts w:ascii="Times New Roman" w:eastAsia="Times New Roman" w:hAnsi="Times New Roman" w:cs="Times New Roman"/>
          <w:bCs/>
          <w:sz w:val="24"/>
          <w:szCs w:val="24"/>
          <w:lang w:eastAsia="sk-SK"/>
        </w:rPr>
      </w:pPr>
      <w:r w:rsidRPr="0091543C">
        <w:rPr>
          <w:rFonts w:ascii="Times New Roman" w:eastAsia="Times New Roman" w:hAnsi="Times New Roman" w:cs="Times New Roman"/>
          <w:bCs/>
          <w:sz w:val="24"/>
          <w:szCs w:val="24"/>
          <w:lang w:eastAsia="sk-SK"/>
        </w:rPr>
        <w:t xml:space="preserve">Obsahuje zoznam oblastí podpory </w:t>
      </w:r>
      <w:r w:rsidR="002F24BB">
        <w:rPr>
          <w:rFonts w:ascii="Times New Roman" w:eastAsia="Times New Roman" w:hAnsi="Times New Roman" w:cs="Times New Roman"/>
          <w:bCs/>
          <w:sz w:val="24"/>
          <w:szCs w:val="24"/>
          <w:lang w:eastAsia="sk-SK"/>
        </w:rPr>
        <w:t>v rámci jednotlivých</w:t>
      </w:r>
      <w:r w:rsidRPr="0091543C">
        <w:rPr>
          <w:rFonts w:ascii="Times New Roman" w:eastAsia="Times New Roman" w:hAnsi="Times New Roman" w:cs="Times New Roman"/>
          <w:bCs/>
          <w:sz w:val="24"/>
          <w:szCs w:val="24"/>
          <w:lang w:eastAsia="sk-SK"/>
        </w:rPr>
        <w:t xml:space="preserve"> priorít vrátane </w:t>
      </w:r>
      <w:r>
        <w:rPr>
          <w:rFonts w:ascii="Times New Roman" w:eastAsia="Times New Roman" w:hAnsi="Times New Roman" w:cs="Times New Roman"/>
          <w:bCs/>
          <w:sz w:val="24"/>
          <w:szCs w:val="24"/>
          <w:lang w:eastAsia="sk-SK"/>
        </w:rPr>
        <w:t>nomenklatúry, ktorá sa má použiť vo finančnom pláne a maximálnej miery spolufinancovania (% z oprávnených verejných výdavkov).</w:t>
      </w:r>
    </w:p>
    <w:p w:rsidR="0091543C" w:rsidRDefault="0091543C" w:rsidP="0091543C">
      <w:pPr>
        <w:spacing w:before="120" w:after="0" w:line="240" w:lineRule="auto"/>
        <w:jc w:val="both"/>
        <w:rPr>
          <w:rFonts w:ascii="Times New Roman" w:hAnsi="Times New Roman" w:cs="Times New Roman"/>
          <w:b/>
          <w:i/>
          <w:noProof/>
          <w:sz w:val="24"/>
          <w:szCs w:val="24"/>
        </w:rPr>
      </w:pPr>
      <w:r w:rsidRPr="0091543C">
        <w:rPr>
          <w:rFonts w:ascii="Times New Roman" w:eastAsia="Times New Roman" w:hAnsi="Times New Roman" w:cs="Times New Roman"/>
          <w:bCs/>
          <w:i/>
          <w:sz w:val="24"/>
          <w:szCs w:val="24"/>
          <w:lang w:eastAsia="sk-SK"/>
        </w:rPr>
        <w:t>Príloha III</w:t>
      </w:r>
      <w:r>
        <w:rPr>
          <w:rFonts w:ascii="Times New Roman" w:eastAsia="Times New Roman" w:hAnsi="Times New Roman" w:cs="Times New Roman"/>
          <w:bCs/>
          <w:sz w:val="24"/>
          <w:szCs w:val="24"/>
          <w:lang w:eastAsia="sk-SK"/>
        </w:rPr>
        <w:t xml:space="preserve"> – </w:t>
      </w:r>
      <w:r w:rsidRPr="0091543C">
        <w:rPr>
          <w:rFonts w:ascii="Times New Roman" w:hAnsi="Times New Roman" w:cs="Times New Roman"/>
          <w:b/>
          <w:i/>
          <w:noProof/>
          <w:sz w:val="24"/>
          <w:szCs w:val="24"/>
        </w:rPr>
        <w:t>Konkrétne miery maximálnej intenzity pomoci v rámci zdieľaného riadenia</w:t>
      </w:r>
    </w:p>
    <w:p w:rsidR="0091543C" w:rsidRDefault="002F24BB" w:rsidP="0091543C">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Obsahuje miery maximálnej intenzity pomoci pre vybrané oblasti podpory alebo typy operácií implementované v rámci zdieľaného riadenia.</w:t>
      </w:r>
    </w:p>
    <w:p w:rsidR="002F24BB" w:rsidRDefault="002F24BB" w:rsidP="002F24BB">
      <w:pPr>
        <w:spacing w:before="120" w:after="0" w:line="240" w:lineRule="auto"/>
        <w:jc w:val="both"/>
        <w:rPr>
          <w:rFonts w:ascii="Times New Roman" w:hAnsi="Times New Roman" w:cs="Times New Roman"/>
          <w:b/>
          <w:i/>
          <w:noProof/>
          <w:sz w:val="24"/>
          <w:szCs w:val="24"/>
        </w:rPr>
      </w:pPr>
      <w:r w:rsidRPr="002F24BB">
        <w:rPr>
          <w:rFonts w:ascii="Times New Roman" w:eastAsia="Times New Roman" w:hAnsi="Times New Roman" w:cs="Times New Roman"/>
          <w:bCs/>
          <w:i/>
          <w:sz w:val="24"/>
          <w:szCs w:val="24"/>
          <w:lang w:eastAsia="sk-SK"/>
        </w:rPr>
        <w:lastRenderedPageBreak/>
        <w:t xml:space="preserve">Príloha IV </w:t>
      </w:r>
      <w:r>
        <w:rPr>
          <w:rFonts w:ascii="Times New Roman" w:eastAsia="Times New Roman" w:hAnsi="Times New Roman" w:cs="Times New Roman"/>
          <w:bCs/>
          <w:i/>
          <w:sz w:val="24"/>
          <w:szCs w:val="24"/>
          <w:lang w:eastAsia="sk-SK"/>
        </w:rPr>
        <w:t>–</w:t>
      </w:r>
      <w:r w:rsidRPr="002F24BB">
        <w:rPr>
          <w:rFonts w:ascii="Times New Roman" w:eastAsia="Times New Roman" w:hAnsi="Times New Roman" w:cs="Times New Roman"/>
          <w:bCs/>
          <w:i/>
          <w:sz w:val="24"/>
          <w:szCs w:val="24"/>
          <w:lang w:eastAsia="sk-SK"/>
        </w:rPr>
        <w:t xml:space="preserve"> </w:t>
      </w:r>
      <w:r w:rsidRPr="002F24BB">
        <w:rPr>
          <w:rFonts w:ascii="Times New Roman" w:hAnsi="Times New Roman" w:cs="Times New Roman"/>
          <w:b/>
          <w:i/>
          <w:noProof/>
          <w:sz w:val="24"/>
          <w:szCs w:val="24"/>
        </w:rPr>
        <w:t>Koeficienty výpočtu podpory cieľov súvisiacich so životným prostredím a cieľov v oblasti zmeny klímy</w:t>
      </w:r>
    </w:p>
    <w:p w:rsidR="002F24BB" w:rsidRDefault="002F24BB" w:rsidP="002F24BB">
      <w:pPr>
        <w:spacing w:after="0" w:line="240" w:lineRule="auto"/>
        <w:jc w:val="both"/>
        <w:rPr>
          <w:rFonts w:ascii="Times New Roman" w:hAnsi="Times New Roman" w:cs="Times New Roman"/>
          <w:noProof/>
          <w:sz w:val="24"/>
          <w:szCs w:val="24"/>
        </w:rPr>
      </w:pPr>
      <w:r w:rsidRPr="002F24BB">
        <w:rPr>
          <w:rFonts w:ascii="Times New Roman" w:hAnsi="Times New Roman" w:cs="Times New Roman"/>
          <w:noProof/>
          <w:sz w:val="24"/>
          <w:szCs w:val="24"/>
        </w:rPr>
        <w:t>Obsahuje koeficienty výpočtu podpory cieľov súvisiacich so životným prostredím a cieľov v oblasti zmeny klímy</w:t>
      </w:r>
      <w:r>
        <w:rPr>
          <w:rFonts w:ascii="Times New Roman" w:hAnsi="Times New Roman" w:cs="Times New Roman"/>
          <w:noProof/>
          <w:sz w:val="24"/>
          <w:szCs w:val="24"/>
        </w:rPr>
        <w:t xml:space="preserve"> pre vybrané oblasti podpory .</w:t>
      </w:r>
    </w:p>
    <w:p w:rsidR="002F24BB" w:rsidRDefault="002F24BB" w:rsidP="002F24BB">
      <w:pPr>
        <w:spacing w:before="120" w:after="0" w:line="240" w:lineRule="auto"/>
        <w:jc w:val="both"/>
        <w:rPr>
          <w:rFonts w:ascii="Times New Roman" w:hAnsi="Times New Roman" w:cs="Times New Roman"/>
          <w:b/>
          <w:i/>
          <w:noProof/>
          <w:sz w:val="24"/>
          <w:szCs w:val="24"/>
        </w:rPr>
      </w:pPr>
      <w:r w:rsidRPr="002F24BB">
        <w:rPr>
          <w:rFonts w:ascii="Times New Roman" w:hAnsi="Times New Roman" w:cs="Times New Roman"/>
          <w:i/>
          <w:noProof/>
          <w:sz w:val="24"/>
          <w:szCs w:val="24"/>
        </w:rPr>
        <w:t xml:space="preserve">Príloha V </w:t>
      </w:r>
      <w:r>
        <w:rPr>
          <w:rFonts w:ascii="Times New Roman" w:hAnsi="Times New Roman" w:cs="Times New Roman"/>
          <w:i/>
          <w:noProof/>
          <w:sz w:val="24"/>
          <w:szCs w:val="24"/>
        </w:rPr>
        <w:t>–</w:t>
      </w:r>
      <w:r w:rsidRPr="002F24BB">
        <w:rPr>
          <w:rFonts w:ascii="Times New Roman" w:hAnsi="Times New Roman" w:cs="Times New Roman"/>
          <w:i/>
          <w:noProof/>
          <w:sz w:val="24"/>
          <w:szCs w:val="24"/>
        </w:rPr>
        <w:t xml:space="preserve"> </w:t>
      </w:r>
      <w:r w:rsidRPr="002F24BB">
        <w:rPr>
          <w:rFonts w:ascii="Times New Roman" w:hAnsi="Times New Roman" w:cs="Times New Roman"/>
          <w:b/>
          <w:i/>
          <w:noProof/>
          <w:sz w:val="24"/>
          <w:szCs w:val="24"/>
        </w:rPr>
        <w:t>Celkové zdroje podľa jednotlivých členských štátov na európsky námorný a rybársky fond na obdobie 2021 – 2027</w:t>
      </w:r>
    </w:p>
    <w:p w:rsidR="002F24BB" w:rsidRPr="00381EA4" w:rsidRDefault="002F24BB" w:rsidP="00381E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Obsahuje c</w:t>
      </w:r>
      <w:r w:rsidRPr="002F24BB">
        <w:rPr>
          <w:rFonts w:ascii="Times New Roman" w:hAnsi="Times New Roman" w:cs="Times New Roman"/>
          <w:noProof/>
          <w:sz w:val="24"/>
          <w:szCs w:val="24"/>
        </w:rPr>
        <w:t xml:space="preserve">elkové zdroje podľa jednotlivých </w:t>
      </w:r>
      <w:r>
        <w:rPr>
          <w:rFonts w:ascii="Times New Roman" w:hAnsi="Times New Roman" w:cs="Times New Roman"/>
          <w:noProof/>
          <w:sz w:val="24"/>
          <w:szCs w:val="24"/>
        </w:rPr>
        <w:t>ČŠ</w:t>
      </w:r>
      <w:r w:rsidRPr="002F24BB">
        <w:rPr>
          <w:rFonts w:ascii="Times New Roman" w:hAnsi="Times New Roman" w:cs="Times New Roman"/>
          <w:noProof/>
          <w:sz w:val="24"/>
          <w:szCs w:val="24"/>
        </w:rPr>
        <w:t xml:space="preserve"> na </w:t>
      </w:r>
      <w:r>
        <w:rPr>
          <w:rFonts w:ascii="Times New Roman" w:hAnsi="Times New Roman" w:cs="Times New Roman"/>
          <w:noProof/>
          <w:sz w:val="24"/>
          <w:szCs w:val="24"/>
        </w:rPr>
        <w:t>ENRF</w:t>
      </w:r>
      <w:r w:rsidRPr="002F24BB">
        <w:rPr>
          <w:rFonts w:ascii="Times New Roman" w:hAnsi="Times New Roman" w:cs="Times New Roman"/>
          <w:noProof/>
          <w:sz w:val="24"/>
          <w:szCs w:val="24"/>
        </w:rPr>
        <w:t>na obdobie 2021 – 2027</w:t>
      </w:r>
      <w:r>
        <w:rPr>
          <w:rFonts w:ascii="Times New Roman" w:hAnsi="Times New Roman" w:cs="Times New Roman"/>
          <w:noProof/>
          <w:sz w:val="24"/>
          <w:szCs w:val="24"/>
        </w:rPr>
        <w:t>.</w:t>
      </w:r>
    </w:p>
    <w:p w:rsidR="009F6E2D" w:rsidRPr="00381EA4" w:rsidRDefault="009F6E2D" w:rsidP="007801CA">
      <w:pPr>
        <w:pStyle w:val="Odsekzoznamu"/>
        <w:numPr>
          <w:ilvl w:val="0"/>
          <w:numId w:val="21"/>
        </w:numPr>
        <w:spacing w:before="240" w:after="120" w:line="240" w:lineRule="auto"/>
        <w:ind w:left="425" w:hanging="425"/>
        <w:contextualSpacing w:val="0"/>
        <w:jc w:val="both"/>
        <w:rPr>
          <w:rFonts w:ascii="Times New Roman" w:eastAsia="Times New Roman" w:hAnsi="Times New Roman" w:cs="Times New Roman"/>
          <w:b/>
          <w:bCs/>
          <w:sz w:val="24"/>
          <w:szCs w:val="24"/>
          <w:lang w:eastAsia="sk-SK"/>
        </w:rPr>
      </w:pPr>
      <w:r w:rsidRPr="00381EA4">
        <w:rPr>
          <w:rFonts w:ascii="Times New Roman" w:eastAsia="Times New Roman" w:hAnsi="Times New Roman" w:cs="Times New Roman"/>
          <w:b/>
          <w:bCs/>
          <w:sz w:val="24"/>
          <w:szCs w:val="24"/>
          <w:lang w:eastAsia="sk-SK"/>
        </w:rPr>
        <w:t>Pozícia/vyjednávacia inštrukcia k predkladanému návrhu</w:t>
      </w:r>
    </w:p>
    <w:p w:rsidR="0044695D" w:rsidRPr="0044695D" w:rsidRDefault="0044695D" w:rsidP="0044695D">
      <w:pPr>
        <w:spacing w:before="120" w:after="0" w:line="240" w:lineRule="auto"/>
        <w:jc w:val="both"/>
        <w:rPr>
          <w:rFonts w:ascii="Times New Roman" w:hAnsi="Times New Roman" w:cs="Times New Roman"/>
          <w:noProof/>
          <w:sz w:val="24"/>
          <w:szCs w:val="24"/>
        </w:rPr>
      </w:pPr>
      <w:r w:rsidRPr="0044695D">
        <w:rPr>
          <w:rFonts w:ascii="Times New Roman" w:hAnsi="Times New Roman" w:cs="Times New Roman"/>
          <w:noProof/>
          <w:sz w:val="24"/>
          <w:szCs w:val="24"/>
        </w:rPr>
        <w:t xml:space="preserve">SR vo všeobecnosti víta predložený návrh nariadenia, ktorý je v porovnaní so súčasným programovým obdobím zjednodušený a zároveň poskytuje značnú mieru flexibility </w:t>
      </w:r>
      <w:r>
        <w:rPr>
          <w:rFonts w:ascii="Times New Roman" w:hAnsi="Times New Roman" w:cs="Times New Roman"/>
          <w:noProof/>
          <w:sz w:val="24"/>
          <w:szCs w:val="24"/>
        </w:rPr>
        <w:t>ČŠ</w:t>
      </w:r>
      <w:r w:rsidRPr="0044695D">
        <w:rPr>
          <w:rFonts w:ascii="Times New Roman" w:hAnsi="Times New Roman" w:cs="Times New Roman"/>
          <w:noProof/>
          <w:sz w:val="24"/>
          <w:szCs w:val="24"/>
        </w:rPr>
        <w:t>, napr. pokiaľ ide o definovanie opatrení v rámci stanovených priorít a oblastí podpory,</w:t>
      </w:r>
      <w:r w:rsidR="00725022">
        <w:rPr>
          <w:rFonts w:ascii="Times New Roman" w:hAnsi="Times New Roman" w:cs="Times New Roman"/>
          <w:noProof/>
          <w:sz w:val="24"/>
          <w:szCs w:val="24"/>
        </w:rPr>
        <w:t xml:space="preserve"> oprávnenosť výdavkov,</w:t>
      </w:r>
      <w:r w:rsidRPr="0044695D">
        <w:rPr>
          <w:rFonts w:ascii="Times New Roman" w:hAnsi="Times New Roman" w:cs="Times New Roman"/>
          <w:noProof/>
          <w:sz w:val="24"/>
          <w:szCs w:val="24"/>
        </w:rPr>
        <w:t xml:space="preserve"> vzhľadom na ich špecifické potreby.</w:t>
      </w:r>
    </w:p>
    <w:p w:rsidR="0044695D" w:rsidRPr="0044695D" w:rsidRDefault="0044695D" w:rsidP="0044695D">
      <w:pPr>
        <w:spacing w:before="120" w:after="0" w:line="240" w:lineRule="auto"/>
        <w:jc w:val="both"/>
        <w:rPr>
          <w:rFonts w:ascii="Times New Roman" w:hAnsi="Times New Roman" w:cs="Times New Roman"/>
          <w:noProof/>
          <w:sz w:val="24"/>
          <w:szCs w:val="24"/>
        </w:rPr>
      </w:pPr>
      <w:r w:rsidRPr="0044695D">
        <w:rPr>
          <w:rFonts w:ascii="Times New Roman" w:hAnsi="Times New Roman" w:cs="Times New Roman"/>
          <w:noProof/>
          <w:sz w:val="24"/>
          <w:szCs w:val="24"/>
        </w:rPr>
        <w:t>SR víta zachovanie súčasnej miery pomoci 50% z celkových oprávnených výdavkov vrátane zachovania súčasnej miery spolufinancovania  z ENRF a národných zdrojov v pomere 75 : 25.</w:t>
      </w:r>
    </w:p>
    <w:p w:rsidR="0044695D" w:rsidRPr="0044695D" w:rsidRDefault="0044695D" w:rsidP="0044695D">
      <w:pPr>
        <w:spacing w:before="120" w:after="0" w:line="240" w:lineRule="auto"/>
        <w:jc w:val="both"/>
        <w:rPr>
          <w:rFonts w:ascii="Times New Roman" w:hAnsi="Times New Roman" w:cs="Times New Roman"/>
          <w:noProof/>
          <w:sz w:val="24"/>
          <w:szCs w:val="24"/>
        </w:rPr>
      </w:pPr>
      <w:r w:rsidRPr="0044695D">
        <w:rPr>
          <w:rFonts w:ascii="Times New Roman" w:hAnsi="Times New Roman" w:cs="Times New Roman"/>
          <w:noProof/>
          <w:sz w:val="24"/>
          <w:szCs w:val="24"/>
        </w:rPr>
        <w:t>SR berie na vedomie začlenenie ENRF 2021 – 2027 do Dohody o partnerstve. Ide o obdobný inštrument zavedený v súčasnom programovom období.</w:t>
      </w:r>
    </w:p>
    <w:p w:rsidR="0044695D" w:rsidRPr="0044695D" w:rsidRDefault="0044695D" w:rsidP="0044695D">
      <w:pPr>
        <w:spacing w:before="120" w:after="0" w:line="240" w:lineRule="auto"/>
        <w:jc w:val="both"/>
        <w:rPr>
          <w:rFonts w:ascii="Times New Roman" w:hAnsi="Times New Roman" w:cs="Times New Roman"/>
          <w:noProof/>
          <w:sz w:val="24"/>
          <w:szCs w:val="24"/>
        </w:rPr>
      </w:pPr>
      <w:r w:rsidRPr="0044695D">
        <w:rPr>
          <w:rFonts w:ascii="Times New Roman" w:hAnsi="Times New Roman" w:cs="Times New Roman"/>
          <w:noProof/>
          <w:sz w:val="24"/>
          <w:szCs w:val="24"/>
        </w:rPr>
        <w:t xml:space="preserve">SR podporuje iniciatívu </w:t>
      </w:r>
      <w:r w:rsidR="00725022">
        <w:rPr>
          <w:rFonts w:ascii="Times New Roman" w:hAnsi="Times New Roman" w:cs="Times New Roman"/>
          <w:noProof/>
          <w:sz w:val="24"/>
          <w:szCs w:val="24"/>
        </w:rPr>
        <w:t>Komisie</w:t>
      </w:r>
      <w:r w:rsidRPr="0044695D">
        <w:rPr>
          <w:rFonts w:ascii="Times New Roman" w:hAnsi="Times New Roman" w:cs="Times New Roman"/>
          <w:noProof/>
          <w:sz w:val="24"/>
          <w:szCs w:val="24"/>
        </w:rPr>
        <w:t xml:space="preserve"> zjednodušiť systém kontroly výkonnosti. Rovnako ako v súčasnom programovom období </w:t>
      </w:r>
      <w:r w:rsidR="00725022">
        <w:rPr>
          <w:rFonts w:ascii="Times New Roman" w:hAnsi="Times New Roman" w:cs="Times New Roman"/>
          <w:noProof/>
          <w:sz w:val="24"/>
          <w:szCs w:val="24"/>
        </w:rPr>
        <w:t>Komisia navrhuje</w:t>
      </w:r>
      <w:r w:rsidRPr="0044695D">
        <w:rPr>
          <w:rFonts w:ascii="Times New Roman" w:hAnsi="Times New Roman" w:cs="Times New Roman"/>
          <w:noProof/>
          <w:sz w:val="24"/>
          <w:szCs w:val="24"/>
        </w:rPr>
        <w:t xml:space="preserve"> na úrovni všeobecného nariadenia zavedenie míľnikov a cieľov.</w:t>
      </w:r>
    </w:p>
    <w:p w:rsidR="0044695D" w:rsidRDefault="0044695D" w:rsidP="0044695D">
      <w:pPr>
        <w:spacing w:before="120" w:after="0" w:line="240" w:lineRule="auto"/>
        <w:jc w:val="both"/>
        <w:rPr>
          <w:rFonts w:ascii="Times New Roman" w:hAnsi="Times New Roman" w:cs="Times New Roman"/>
          <w:noProof/>
          <w:sz w:val="24"/>
          <w:szCs w:val="24"/>
        </w:rPr>
      </w:pPr>
      <w:r w:rsidRPr="0044695D">
        <w:rPr>
          <w:rFonts w:ascii="Times New Roman" w:hAnsi="Times New Roman" w:cs="Times New Roman"/>
          <w:noProof/>
          <w:sz w:val="24"/>
          <w:szCs w:val="24"/>
        </w:rPr>
        <w:t>Pre SR je podstatné zachovanie podpory sladkovodnej akvakultúry vrátane spracovania produktov rybolovu a akvakultúry, čo návrh nariadenia umožňuje v rámci priority 2  - Prispievanie k potravinovej bezpečnosti v Únii prostredníctvom konkurencieschopnej a ud</w:t>
      </w:r>
      <w:r>
        <w:rPr>
          <w:rFonts w:ascii="Times New Roman" w:hAnsi="Times New Roman" w:cs="Times New Roman"/>
          <w:noProof/>
          <w:sz w:val="24"/>
          <w:szCs w:val="24"/>
        </w:rPr>
        <w:t xml:space="preserve">ržateľnej akvakultúry a trhov. </w:t>
      </w:r>
    </w:p>
    <w:p w:rsidR="00725022" w:rsidRDefault="0044695D" w:rsidP="00725022">
      <w:pPr>
        <w:pStyle w:val="Default"/>
        <w:spacing w:after="120"/>
        <w:jc w:val="both"/>
        <w:rPr>
          <w:noProof/>
        </w:rPr>
      </w:pPr>
      <w:r>
        <w:rPr>
          <w:noProof/>
        </w:rPr>
        <w:t>SR nesúhlasí</w:t>
      </w:r>
      <w:r w:rsidRPr="0044695D">
        <w:rPr>
          <w:noProof/>
        </w:rPr>
        <w:t xml:space="preserve"> </w:t>
      </w:r>
      <w:r w:rsidR="00725022">
        <w:rPr>
          <w:noProof/>
        </w:rPr>
        <w:t>s navrhovan</w:t>
      </w:r>
      <w:r w:rsidR="006453A1">
        <w:rPr>
          <w:noProof/>
        </w:rPr>
        <w:t>ým</w:t>
      </w:r>
      <w:r w:rsidR="00725022">
        <w:rPr>
          <w:noProof/>
        </w:rPr>
        <w:t xml:space="preserve"> financovaním</w:t>
      </w:r>
      <w:r w:rsidRPr="0044695D">
        <w:rPr>
          <w:noProof/>
        </w:rPr>
        <w:t xml:space="preserve"> produktívnych investícií do akvakultúry a investícií do spracovania produktov rybolovu a akvakultúry, a to výlučne prostredníctvom finančných nástrojov.</w:t>
      </w:r>
      <w:r>
        <w:rPr>
          <w:noProof/>
        </w:rPr>
        <w:t xml:space="preserve"> </w:t>
      </w:r>
      <w:r w:rsidRPr="0044695D">
        <w:rPr>
          <w:noProof/>
        </w:rPr>
        <w:t xml:space="preserve">Vychádzajúc zo skúseností s predchádzajúcich programových období, kedy finančné nástroje neboli využívané, povinné použitie finančných nástrojov na financovanie </w:t>
      </w:r>
      <w:r w:rsidR="00725022">
        <w:rPr>
          <w:noProof/>
        </w:rPr>
        <w:t xml:space="preserve">uvedených </w:t>
      </w:r>
      <w:r w:rsidRPr="0044695D">
        <w:rPr>
          <w:noProof/>
        </w:rPr>
        <w:t xml:space="preserve">investícií v období po roku 2020 by mohlo výrazne ohroziť plnenie cieľov ENRF. </w:t>
      </w:r>
    </w:p>
    <w:p w:rsidR="00725022" w:rsidRDefault="00725022" w:rsidP="00725022">
      <w:pPr>
        <w:pStyle w:val="Default"/>
        <w:spacing w:after="120"/>
        <w:jc w:val="both"/>
        <w:rPr>
          <w:sz w:val="23"/>
          <w:szCs w:val="23"/>
        </w:rPr>
      </w:pPr>
      <w:r w:rsidRPr="0044695D">
        <w:rPr>
          <w:noProof/>
        </w:rPr>
        <w:t>Možnosť využí</w:t>
      </w:r>
      <w:r w:rsidR="006453A1">
        <w:rPr>
          <w:noProof/>
        </w:rPr>
        <w:t>vania finančných nástrojov bola</w:t>
      </w:r>
      <w:r w:rsidRPr="0044695D">
        <w:rPr>
          <w:noProof/>
        </w:rPr>
        <w:t xml:space="preserve"> v procese prípravy návrhu OP RH</w:t>
      </w:r>
      <w:r w:rsidR="006453A1">
        <w:rPr>
          <w:noProof/>
        </w:rPr>
        <w:t xml:space="preserve"> 2014 - 2020</w:t>
      </w:r>
      <w:r w:rsidRPr="0044695D">
        <w:rPr>
          <w:noProof/>
        </w:rPr>
        <w:t>, predmetom konzultácií s relevantnými partnermi (zástupcami sektora rybného hospodárstva), ktorí uprednostnili poskytovanie podpory formou nenávratného finančného príspevku (grantu), najmä z dôvodu sezónneho charakteru výroby a vplyvu externých faktorov na výrobný proces (počasie, dostatok a kvalita vody, choroby a pod.), čo predstavuje potenciálne riziko pri generovaní príjmov na splácanie návratnej finančnej pomoci.</w:t>
      </w:r>
      <w:r w:rsidRPr="0044695D">
        <w:rPr>
          <w:sz w:val="23"/>
          <w:szCs w:val="23"/>
        </w:rPr>
        <w:t xml:space="preserve"> </w:t>
      </w:r>
    </w:p>
    <w:p w:rsidR="00725022" w:rsidRDefault="0044695D" w:rsidP="00725022">
      <w:pPr>
        <w:spacing w:before="120" w:after="0" w:line="240" w:lineRule="auto"/>
        <w:jc w:val="both"/>
        <w:rPr>
          <w:rFonts w:ascii="Times New Roman" w:hAnsi="Times New Roman" w:cs="Times New Roman"/>
          <w:noProof/>
          <w:sz w:val="24"/>
          <w:szCs w:val="24"/>
        </w:rPr>
      </w:pPr>
      <w:r w:rsidRPr="0044695D">
        <w:rPr>
          <w:rFonts w:ascii="Times New Roman" w:hAnsi="Times New Roman" w:cs="Times New Roman"/>
          <w:noProof/>
          <w:sz w:val="24"/>
          <w:szCs w:val="24"/>
        </w:rPr>
        <w:t xml:space="preserve">Je potrebné dôkladne zanalyzovať situáciu sektora </w:t>
      </w:r>
      <w:r w:rsidR="00725022">
        <w:rPr>
          <w:rFonts w:ascii="Times New Roman" w:hAnsi="Times New Roman" w:cs="Times New Roman"/>
          <w:noProof/>
          <w:sz w:val="24"/>
          <w:szCs w:val="24"/>
        </w:rPr>
        <w:t>rybného hospodárstva</w:t>
      </w:r>
      <w:r w:rsidRPr="0044695D">
        <w:rPr>
          <w:rFonts w:ascii="Times New Roman" w:hAnsi="Times New Roman" w:cs="Times New Roman"/>
          <w:noProof/>
          <w:sz w:val="24"/>
          <w:szCs w:val="24"/>
        </w:rPr>
        <w:t xml:space="preserve"> a na základe toho mať možnosť výberu vhodného typu financovania, čo by umožnilo lepšie reagovať na špecifiká sektora </w:t>
      </w:r>
      <w:r w:rsidR="00725022">
        <w:rPr>
          <w:rFonts w:ascii="Times New Roman" w:hAnsi="Times New Roman" w:cs="Times New Roman"/>
          <w:noProof/>
          <w:sz w:val="24"/>
          <w:szCs w:val="24"/>
        </w:rPr>
        <w:t xml:space="preserve">rybného hospodárstva </w:t>
      </w:r>
      <w:r w:rsidRPr="0044695D">
        <w:rPr>
          <w:rFonts w:ascii="Times New Roman" w:hAnsi="Times New Roman" w:cs="Times New Roman"/>
          <w:noProof/>
          <w:sz w:val="24"/>
          <w:szCs w:val="24"/>
        </w:rPr>
        <w:t>v jednotlivých ČŠ.</w:t>
      </w:r>
      <w:r w:rsidR="00725022">
        <w:rPr>
          <w:rFonts w:ascii="Times New Roman" w:hAnsi="Times New Roman" w:cs="Times New Roman"/>
          <w:noProof/>
          <w:sz w:val="24"/>
          <w:szCs w:val="24"/>
        </w:rPr>
        <w:t xml:space="preserve"> </w:t>
      </w:r>
    </w:p>
    <w:p w:rsidR="0044695D" w:rsidRPr="00725022" w:rsidRDefault="0044695D" w:rsidP="00725022">
      <w:pPr>
        <w:spacing w:before="120" w:after="0" w:line="240" w:lineRule="auto"/>
        <w:jc w:val="both"/>
        <w:rPr>
          <w:rFonts w:ascii="Times New Roman" w:hAnsi="Times New Roman" w:cs="Times New Roman"/>
          <w:noProof/>
          <w:sz w:val="24"/>
          <w:szCs w:val="24"/>
        </w:rPr>
      </w:pPr>
      <w:r w:rsidRPr="00725022">
        <w:rPr>
          <w:rFonts w:ascii="Times New Roman" w:hAnsi="Times New Roman" w:cs="Times New Roman"/>
          <w:noProof/>
          <w:sz w:val="24"/>
          <w:szCs w:val="24"/>
        </w:rPr>
        <w:t>SR preto navrhuje upraviť text článkov 23 a 25 v záujme poskytnúť ČŠ flexibilitu v rozhodovaní o využití príslušného typu financovania, t.j. financovanie pomocou grantov (nenávratnej pomoci), resp. pomocou finančných nástrojov(návratnej pomoci), a to na základe vykonanej analýzy situácie v sektore akvakultúry.</w:t>
      </w:r>
    </w:p>
    <w:p w:rsidR="00725022" w:rsidRDefault="0044695D" w:rsidP="00725022">
      <w:pPr>
        <w:pStyle w:val="Text1"/>
        <w:spacing w:line="276" w:lineRule="auto"/>
        <w:ind w:left="0"/>
      </w:pPr>
      <w:r w:rsidRPr="0044695D">
        <w:rPr>
          <w:noProof/>
        </w:rPr>
        <w:t>Pokiaľ ide o fin</w:t>
      </w:r>
      <w:r w:rsidR="006453A1">
        <w:rPr>
          <w:noProof/>
        </w:rPr>
        <w:t>ančný rámec ENRF na obdobie 2021</w:t>
      </w:r>
      <w:r w:rsidRPr="0044695D">
        <w:rPr>
          <w:noProof/>
        </w:rPr>
        <w:t xml:space="preserve"> – 2027</w:t>
      </w:r>
      <w:r w:rsidR="00BA53B2">
        <w:rPr>
          <w:noProof/>
        </w:rPr>
        <w:t>,</w:t>
      </w:r>
      <w:r w:rsidRPr="0044695D">
        <w:rPr>
          <w:noProof/>
        </w:rPr>
        <w:t xml:space="preserve"> prerozdelenie celkového rozpočtu medzi </w:t>
      </w:r>
      <w:r w:rsidR="00725022">
        <w:rPr>
          <w:noProof/>
        </w:rPr>
        <w:t>ČŠ</w:t>
      </w:r>
      <w:r w:rsidRPr="0044695D">
        <w:rPr>
          <w:noProof/>
        </w:rPr>
        <w:t xml:space="preserve"> pre zdieľané hospodárenie by malo byť obdobné, ako v súčasnom programovom období. </w:t>
      </w:r>
      <w:r w:rsidR="00BA53B2">
        <w:t xml:space="preserve">Navrhovaná celková </w:t>
      </w:r>
      <w:r w:rsidR="00725022">
        <w:t xml:space="preserve">alokácia pre SR predstavuje sumu </w:t>
      </w:r>
      <w:r w:rsidR="00725022" w:rsidRPr="00725022">
        <w:t xml:space="preserve">15 225 428 </w:t>
      </w:r>
      <w:r w:rsidR="00725022" w:rsidRPr="00725022">
        <w:lastRenderedPageBreak/>
        <w:t>EUR,</w:t>
      </w:r>
      <w:r w:rsidR="00725022">
        <w:t xml:space="preserve"> čo je o 3,5 % menej ako v súčasnom programovom období. </w:t>
      </w:r>
      <w:r w:rsidR="00725022" w:rsidRPr="0044695D">
        <w:rPr>
          <w:noProof/>
        </w:rPr>
        <w:t>SR nemá výhrady voči tomuto návrhu</w:t>
      </w:r>
      <w:r w:rsidR="00725022" w:rsidRPr="0044695D">
        <w:rPr>
          <w:i/>
          <w:noProof/>
        </w:rPr>
        <w:t>.</w:t>
      </w:r>
    </w:p>
    <w:p w:rsidR="0044695D" w:rsidRPr="00725022" w:rsidRDefault="0044695D" w:rsidP="0044695D">
      <w:pPr>
        <w:spacing w:before="120" w:after="0" w:line="240" w:lineRule="auto"/>
        <w:jc w:val="both"/>
        <w:rPr>
          <w:rFonts w:ascii="Times New Roman" w:hAnsi="Times New Roman" w:cs="Times New Roman"/>
          <w:noProof/>
          <w:sz w:val="24"/>
          <w:szCs w:val="24"/>
        </w:rPr>
      </w:pPr>
    </w:p>
    <w:p w:rsidR="009F6E2D" w:rsidRPr="00C23DB2" w:rsidRDefault="009F6E2D" w:rsidP="0044695D">
      <w:pPr>
        <w:pStyle w:val="Default"/>
        <w:spacing w:after="120"/>
        <w:jc w:val="both"/>
        <w:rPr>
          <w:rFonts w:eastAsia="Times New Roman"/>
          <w:b/>
          <w:bCs/>
          <w:u w:val="single"/>
          <w:lang w:eastAsia="sk-SK"/>
        </w:rPr>
      </w:pPr>
      <w:r w:rsidRPr="00C23DB2">
        <w:rPr>
          <w:rFonts w:eastAsia="Times New Roman"/>
          <w:b/>
          <w:bCs/>
          <w:u w:val="single"/>
          <w:lang w:eastAsia="sk-SK"/>
        </w:rPr>
        <w:t>DÔSLEDKY NA LEGISLATÍVU SR A</w:t>
      </w:r>
      <w:r w:rsidRPr="00C23DB2">
        <w:rPr>
          <w:rFonts w:eastAsia="Times New Roman"/>
          <w:b/>
          <w:bCs/>
          <w:lang w:eastAsia="sk-SK"/>
        </w:rPr>
        <w:t xml:space="preserve"> </w:t>
      </w:r>
      <w:r w:rsidRPr="00C23DB2">
        <w:rPr>
          <w:rFonts w:eastAsia="Times New Roman"/>
          <w:b/>
          <w:bCs/>
          <w:u w:val="single"/>
          <w:lang w:eastAsia="sk-SK"/>
        </w:rPr>
        <w:t>ADMINISTRATÍVNU PRAX SR</w:t>
      </w:r>
    </w:p>
    <w:p w:rsidR="00F715A1" w:rsidRPr="00F715A1" w:rsidRDefault="00F715A1" w:rsidP="001623A8">
      <w:pPr>
        <w:spacing w:after="0" w:line="240" w:lineRule="auto"/>
        <w:jc w:val="both"/>
        <w:rPr>
          <w:rFonts w:ascii="Times New Roman" w:hAnsi="Times New Roman" w:cs="Times New Roman"/>
          <w:sz w:val="24"/>
          <w:szCs w:val="24"/>
        </w:rPr>
      </w:pPr>
      <w:r w:rsidRPr="00F715A1">
        <w:rPr>
          <w:rFonts w:ascii="Times New Roman" w:hAnsi="Times New Roman" w:cs="Times New Roman"/>
          <w:sz w:val="24"/>
          <w:szCs w:val="24"/>
        </w:rPr>
        <w:t>Nariadenie bude v SR priamo uplatniteľné.</w:t>
      </w:r>
    </w:p>
    <w:p w:rsidR="009F6E2D" w:rsidRPr="00C23DB2" w:rsidRDefault="009F6E2D" w:rsidP="001623A8">
      <w:pPr>
        <w:pStyle w:val="Odsekzoznamu"/>
        <w:numPr>
          <w:ilvl w:val="0"/>
          <w:numId w:val="1"/>
        </w:numPr>
        <w:spacing w:before="360" w:after="240" w:line="240" w:lineRule="auto"/>
        <w:ind w:left="426" w:hanging="426"/>
        <w:contextualSpacing w:val="0"/>
        <w:jc w:val="center"/>
        <w:rPr>
          <w:rFonts w:ascii="Times New Roman" w:eastAsia="Times New Roman" w:hAnsi="Times New Roman" w:cs="Times New Roman"/>
          <w:b/>
          <w:bCs/>
          <w:sz w:val="24"/>
          <w:szCs w:val="24"/>
          <w:u w:val="single"/>
          <w:lang w:eastAsia="sk-SK"/>
        </w:rPr>
      </w:pPr>
      <w:r w:rsidRPr="00C23DB2">
        <w:rPr>
          <w:rFonts w:ascii="Times New Roman" w:eastAsia="Times New Roman" w:hAnsi="Times New Roman" w:cs="Times New Roman"/>
          <w:b/>
          <w:bCs/>
          <w:sz w:val="24"/>
          <w:szCs w:val="24"/>
          <w:u w:val="single"/>
          <w:lang w:eastAsia="sk-SK"/>
        </w:rPr>
        <w:t>DÔSLEDKY NA ROZPOČET</w:t>
      </w:r>
    </w:p>
    <w:p w:rsidR="00BA53B2" w:rsidRDefault="000A2776" w:rsidP="00BA53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Nariadenie má priamy dopad na štátny rozpočet SR. Prostriedky ENRF alokované v rámci zdieľaného riadenia pre </w:t>
      </w:r>
      <w:r w:rsidR="0044695D">
        <w:rPr>
          <w:rFonts w:ascii="Times New Roman" w:hAnsi="Times New Roman" w:cs="Times New Roman"/>
          <w:sz w:val="24"/>
          <w:szCs w:val="24"/>
        </w:rPr>
        <w:t>ČŠ</w:t>
      </w:r>
      <w:r>
        <w:rPr>
          <w:rFonts w:ascii="Times New Roman" w:hAnsi="Times New Roman" w:cs="Times New Roman"/>
          <w:sz w:val="24"/>
          <w:szCs w:val="24"/>
        </w:rPr>
        <w:t xml:space="preserve"> musia byť spolufinancované </w:t>
      </w:r>
      <w:r w:rsidR="00A8332F">
        <w:rPr>
          <w:rFonts w:ascii="Times New Roman" w:hAnsi="Times New Roman" w:cs="Times New Roman"/>
          <w:sz w:val="24"/>
          <w:szCs w:val="24"/>
        </w:rPr>
        <w:t xml:space="preserve">v príslušnom </w:t>
      </w:r>
      <w:r w:rsidR="0044695D">
        <w:rPr>
          <w:rFonts w:ascii="Times New Roman" w:hAnsi="Times New Roman" w:cs="Times New Roman"/>
          <w:sz w:val="24"/>
          <w:szCs w:val="24"/>
        </w:rPr>
        <w:t xml:space="preserve">pomere z národných zdrojov </w:t>
      </w:r>
      <w:r w:rsidR="00BA53B2">
        <w:rPr>
          <w:rFonts w:ascii="Times New Roman" w:hAnsi="Times New Roman" w:cs="Times New Roman"/>
          <w:sz w:val="24"/>
          <w:szCs w:val="24"/>
        </w:rPr>
        <w:t xml:space="preserve">jednotlivé </w:t>
      </w:r>
      <w:r w:rsidR="0044695D">
        <w:rPr>
          <w:rFonts w:ascii="Times New Roman" w:hAnsi="Times New Roman" w:cs="Times New Roman"/>
          <w:sz w:val="24"/>
          <w:szCs w:val="24"/>
        </w:rPr>
        <w:t>ČŠ</w:t>
      </w:r>
      <w:r w:rsidR="00A8332F">
        <w:rPr>
          <w:rFonts w:ascii="Times New Roman" w:hAnsi="Times New Roman" w:cs="Times New Roman"/>
          <w:sz w:val="24"/>
          <w:szCs w:val="24"/>
        </w:rPr>
        <w:t>.</w:t>
      </w:r>
    </w:p>
    <w:p w:rsidR="009F6E2D" w:rsidRPr="00146FE1" w:rsidRDefault="00146FE1" w:rsidP="0014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Komisia navrhuje </w:t>
      </w:r>
      <w:r w:rsidR="00E81D05" w:rsidRPr="00E81D05">
        <w:rPr>
          <w:rFonts w:ascii="Times New Roman" w:hAnsi="Times New Roman" w:cs="Times New Roman"/>
          <w:sz w:val="24"/>
          <w:szCs w:val="24"/>
        </w:rPr>
        <w:t xml:space="preserve">pre SR </w:t>
      </w:r>
      <w:r w:rsidR="00C710B6" w:rsidRPr="00E81D05">
        <w:rPr>
          <w:rFonts w:ascii="Times New Roman" w:hAnsi="Times New Roman" w:cs="Times New Roman"/>
          <w:sz w:val="24"/>
          <w:szCs w:val="24"/>
        </w:rPr>
        <w:t xml:space="preserve">v rámci </w:t>
      </w:r>
      <w:r w:rsidR="00E81D05" w:rsidRPr="00E81D05">
        <w:rPr>
          <w:rFonts w:ascii="Times New Roman" w:hAnsi="Times New Roman" w:cs="Times New Roman"/>
          <w:sz w:val="24"/>
          <w:szCs w:val="24"/>
        </w:rPr>
        <w:t>zdieľaného riadenia</w:t>
      </w:r>
      <w:r w:rsidR="00E81D05">
        <w:rPr>
          <w:rFonts w:ascii="Times New Roman" w:hAnsi="Times New Roman" w:cs="Times New Roman"/>
          <w:sz w:val="24"/>
          <w:szCs w:val="24"/>
        </w:rPr>
        <w:t xml:space="preserve"> </w:t>
      </w:r>
      <w:r>
        <w:rPr>
          <w:rFonts w:ascii="Times New Roman" w:hAnsi="Times New Roman" w:cs="Times New Roman"/>
          <w:sz w:val="24"/>
          <w:szCs w:val="24"/>
        </w:rPr>
        <w:t xml:space="preserve">(na spolufinancovanie operačného programu) </w:t>
      </w:r>
      <w:r w:rsidR="00A46D8F">
        <w:rPr>
          <w:rFonts w:ascii="Times New Roman" w:hAnsi="Times New Roman" w:cs="Times New Roman"/>
          <w:sz w:val="24"/>
          <w:szCs w:val="24"/>
        </w:rPr>
        <w:t xml:space="preserve">celkový balík z ENRF vo výške </w:t>
      </w:r>
      <w:r w:rsidR="00E81D05" w:rsidRPr="000F6BFA">
        <w:rPr>
          <w:b/>
        </w:rPr>
        <w:t>15 225 428 EUR</w:t>
      </w:r>
      <w:r w:rsidR="00E81D05" w:rsidRPr="00146FE1">
        <w:t xml:space="preserve">. </w:t>
      </w:r>
      <w:r w:rsidR="0040163E">
        <w:rPr>
          <w:rFonts w:ascii="Times New Roman" w:hAnsi="Times New Roman" w:cs="Times New Roman"/>
          <w:sz w:val="24"/>
          <w:szCs w:val="24"/>
        </w:rPr>
        <w:t>Miera</w:t>
      </w:r>
      <w:r w:rsidRPr="00A46D8F">
        <w:rPr>
          <w:rFonts w:ascii="Times New Roman" w:hAnsi="Times New Roman" w:cs="Times New Roman"/>
          <w:sz w:val="24"/>
          <w:szCs w:val="24"/>
        </w:rPr>
        <w:t xml:space="preserve"> </w:t>
      </w:r>
      <w:r w:rsidRPr="00146FE1">
        <w:rPr>
          <w:rFonts w:ascii="Times New Roman" w:hAnsi="Times New Roman" w:cs="Times New Roman"/>
          <w:sz w:val="24"/>
          <w:szCs w:val="24"/>
        </w:rPr>
        <w:t>spolufinancovania zo štátneho rozpočtu SR</w:t>
      </w:r>
      <w:r w:rsidR="00A46D8F">
        <w:rPr>
          <w:rFonts w:ascii="Times New Roman" w:hAnsi="Times New Roman" w:cs="Times New Roman"/>
          <w:sz w:val="24"/>
          <w:szCs w:val="24"/>
        </w:rPr>
        <w:t xml:space="preserve"> bude</w:t>
      </w:r>
      <w:r w:rsidR="0040163E">
        <w:rPr>
          <w:rFonts w:ascii="Times New Roman" w:hAnsi="Times New Roman" w:cs="Times New Roman"/>
          <w:sz w:val="24"/>
          <w:szCs w:val="24"/>
        </w:rPr>
        <w:t>, podľa zamerania operačného programu,</w:t>
      </w:r>
      <w:r w:rsidR="00A46D8F">
        <w:rPr>
          <w:rFonts w:ascii="Times New Roman" w:hAnsi="Times New Roman" w:cs="Times New Roman"/>
          <w:sz w:val="24"/>
          <w:szCs w:val="24"/>
        </w:rPr>
        <w:t xml:space="preserve"> </w:t>
      </w:r>
      <w:r w:rsidR="0040163E">
        <w:rPr>
          <w:rFonts w:ascii="Times New Roman" w:hAnsi="Times New Roman" w:cs="Times New Roman"/>
          <w:sz w:val="24"/>
          <w:szCs w:val="24"/>
        </w:rPr>
        <w:t>stanovená v</w:t>
      </w:r>
      <w:r w:rsidR="00A46D8F">
        <w:rPr>
          <w:rFonts w:ascii="Times New Roman" w:hAnsi="Times New Roman" w:cs="Times New Roman"/>
          <w:sz w:val="24"/>
          <w:szCs w:val="24"/>
        </w:rPr>
        <w:t xml:space="preserve"> </w:t>
      </w:r>
      <w:r w:rsidR="0040163E">
        <w:rPr>
          <w:rFonts w:ascii="Times New Roman" w:hAnsi="Times New Roman" w:cs="Times New Roman"/>
          <w:sz w:val="24"/>
          <w:szCs w:val="24"/>
        </w:rPr>
        <w:t>pomernej výške</w:t>
      </w:r>
      <w:r w:rsidR="00A7173F">
        <w:rPr>
          <w:rFonts w:ascii="Times New Roman" w:hAnsi="Times New Roman" w:cs="Times New Roman"/>
          <w:sz w:val="24"/>
          <w:szCs w:val="24"/>
        </w:rPr>
        <w:t xml:space="preserve"> </w:t>
      </w:r>
      <w:r w:rsidR="0040163E">
        <w:rPr>
          <w:rFonts w:ascii="Times New Roman" w:hAnsi="Times New Roman" w:cs="Times New Roman"/>
          <w:sz w:val="24"/>
          <w:szCs w:val="24"/>
        </w:rPr>
        <w:t>v súlade s </w:t>
      </w:r>
      <w:r w:rsidR="00BA53B2">
        <w:rPr>
          <w:rFonts w:ascii="Times New Roman" w:hAnsi="Times New Roman" w:cs="Times New Roman"/>
          <w:sz w:val="24"/>
          <w:szCs w:val="24"/>
        </w:rPr>
        <w:t>p</w:t>
      </w:r>
      <w:r w:rsidR="0040163E">
        <w:rPr>
          <w:rFonts w:ascii="Times New Roman" w:hAnsi="Times New Roman" w:cs="Times New Roman"/>
          <w:sz w:val="24"/>
          <w:szCs w:val="24"/>
        </w:rPr>
        <w:t>rílohou II nariadenia</w:t>
      </w:r>
      <w:r w:rsidR="00A7173F">
        <w:rPr>
          <w:rFonts w:ascii="Times New Roman" w:hAnsi="Times New Roman" w:cs="Times New Roman"/>
          <w:sz w:val="24"/>
          <w:szCs w:val="24"/>
        </w:rPr>
        <w:t>.</w:t>
      </w:r>
    </w:p>
    <w:p w:rsidR="009F6E2D" w:rsidRPr="00C23DB2" w:rsidRDefault="009F6E2D" w:rsidP="001623A8">
      <w:pPr>
        <w:pStyle w:val="Odsekzoznamu"/>
        <w:numPr>
          <w:ilvl w:val="0"/>
          <w:numId w:val="1"/>
        </w:numPr>
        <w:spacing w:before="360" w:after="240" w:line="240" w:lineRule="auto"/>
        <w:ind w:left="426" w:hanging="426"/>
        <w:contextualSpacing w:val="0"/>
        <w:jc w:val="center"/>
        <w:rPr>
          <w:rFonts w:ascii="Times New Roman" w:eastAsia="Times New Roman" w:hAnsi="Times New Roman" w:cs="Times New Roman"/>
          <w:b/>
          <w:sz w:val="24"/>
          <w:szCs w:val="24"/>
          <w:lang w:eastAsia="sk-SK"/>
        </w:rPr>
      </w:pPr>
      <w:r w:rsidRPr="00C23DB2">
        <w:rPr>
          <w:rFonts w:ascii="Times New Roman" w:eastAsia="Times New Roman" w:hAnsi="Times New Roman" w:cs="Times New Roman"/>
          <w:b/>
          <w:bCs/>
          <w:sz w:val="24"/>
          <w:szCs w:val="24"/>
          <w:u w:val="single"/>
          <w:lang w:eastAsia="sk-SK"/>
        </w:rPr>
        <w:t>INÉ DÔSLEDKY – napr. SOCIÁLNE, ENVIRONMENTÁLNE, VPLYV NA PODNIKATEĽSKÉ PROSTREDIE</w:t>
      </w:r>
    </w:p>
    <w:tbl>
      <w:tblPr>
        <w:tblStyle w:val="Mriekatabuky"/>
        <w:tblW w:w="9180" w:type="dxa"/>
        <w:tblLayout w:type="fixed"/>
        <w:tblLook w:val="04A0" w:firstRow="1" w:lastRow="0" w:firstColumn="1" w:lastColumn="0" w:noHBand="0" w:noVBand="1"/>
      </w:tblPr>
      <w:tblGrid>
        <w:gridCol w:w="3812"/>
        <w:gridCol w:w="541"/>
        <w:gridCol w:w="1281"/>
        <w:gridCol w:w="569"/>
        <w:gridCol w:w="1133"/>
        <w:gridCol w:w="547"/>
        <w:gridCol w:w="1297"/>
      </w:tblGrid>
      <w:tr w:rsidR="004C63E7" w:rsidRPr="004C63E7" w:rsidTr="001C6675">
        <w:trPr>
          <w:trHeight w:val="577"/>
        </w:trPr>
        <w:tc>
          <w:tcPr>
            <w:tcW w:w="9180" w:type="dxa"/>
            <w:gridSpan w:val="7"/>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Vplyvy navrhovaného materiálu</w:t>
            </w:r>
          </w:p>
        </w:tc>
      </w:tr>
      <w:tr w:rsidR="004C63E7" w:rsidRPr="004C63E7" w:rsidTr="001C6675">
        <w:tc>
          <w:tcPr>
            <w:tcW w:w="3812" w:type="dxa"/>
            <w:tcBorders>
              <w:top w:val="single" w:sz="4" w:space="0" w:color="auto"/>
              <w:left w:val="single" w:sz="4" w:space="0" w:color="auto"/>
              <w:bottom w:val="nil"/>
              <w:right w:val="single" w:sz="4" w:space="0" w:color="auto"/>
            </w:tcBorders>
            <w:shd w:val="clear" w:color="auto" w:fill="E2E2E2"/>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Vplyvy na rozpočet verejnej správy</w:t>
            </w:r>
          </w:p>
        </w:tc>
        <w:sdt>
          <w:sdtPr>
            <w:rPr>
              <w:rFonts w:ascii="Times New Roman" w:hAnsi="Times New Roman" w:cs="Times New Roman"/>
              <w:b/>
              <w:sz w:val="20"/>
              <w:szCs w:val="20"/>
            </w:rPr>
            <w:id w:val="1121575439"/>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4C63E7" w:rsidRPr="004C63E7" w:rsidRDefault="00A8332F" w:rsidP="001623A8">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281" w:type="dxa"/>
            <w:tcBorders>
              <w:top w:val="single" w:sz="4" w:space="0" w:color="auto"/>
              <w:left w:val="nil"/>
              <w:bottom w:val="single" w:sz="4" w:space="0" w:color="auto"/>
              <w:right w:val="nil"/>
            </w:tcBorders>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Pozitívne</w:t>
            </w:r>
          </w:p>
        </w:tc>
        <w:sdt>
          <w:sdtPr>
            <w:rPr>
              <w:rFonts w:ascii="Times New Roman" w:hAnsi="Times New Roman" w:cs="Times New Roman"/>
              <w:b/>
              <w:sz w:val="20"/>
              <w:szCs w:val="20"/>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4C63E7" w:rsidRPr="004C63E7" w:rsidRDefault="00E81D05" w:rsidP="001623A8">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Žiadne</w:t>
            </w:r>
          </w:p>
        </w:tc>
        <w:sdt>
          <w:sdtPr>
            <w:rPr>
              <w:rFonts w:ascii="Times New Roman" w:hAnsi="Times New Roman" w:cs="Times New Roman"/>
              <w:b/>
              <w:sz w:val="20"/>
              <w:szCs w:val="20"/>
            </w:rPr>
            <w:id w:val="-853649096"/>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4C63E7" w:rsidRPr="004C63E7" w:rsidRDefault="00E81D05" w:rsidP="001623A8">
                <w:pPr>
                  <w:ind w:left="-107" w:right="-108"/>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4C63E7" w:rsidRPr="004C63E7" w:rsidRDefault="004C63E7" w:rsidP="001623A8">
            <w:pPr>
              <w:ind w:left="34"/>
              <w:rPr>
                <w:rFonts w:ascii="Times New Roman" w:hAnsi="Times New Roman" w:cs="Times New Roman"/>
                <w:b/>
                <w:sz w:val="20"/>
                <w:szCs w:val="20"/>
              </w:rPr>
            </w:pPr>
            <w:r w:rsidRPr="004C63E7">
              <w:rPr>
                <w:rFonts w:ascii="Times New Roman" w:hAnsi="Times New Roman" w:cs="Times New Roman"/>
                <w:b/>
                <w:sz w:val="20"/>
                <w:szCs w:val="20"/>
              </w:rPr>
              <w:t>Negatívne</w:t>
            </w:r>
          </w:p>
        </w:tc>
      </w:tr>
      <w:tr w:rsidR="004C63E7" w:rsidRPr="004C63E7" w:rsidTr="001C6675">
        <w:tc>
          <w:tcPr>
            <w:tcW w:w="3812" w:type="dxa"/>
            <w:tcBorders>
              <w:top w:val="nil"/>
              <w:left w:val="single" w:sz="4" w:space="0" w:color="auto"/>
              <w:bottom w:val="single" w:sz="4" w:space="0" w:color="000000" w:themeColor="text1"/>
              <w:right w:val="single" w:sz="4" w:space="0" w:color="auto"/>
            </w:tcBorders>
            <w:shd w:val="clear" w:color="auto" w:fill="E2E2E2"/>
          </w:tcPr>
          <w:p w:rsidR="004C63E7" w:rsidRPr="004C63E7" w:rsidRDefault="004C63E7" w:rsidP="001623A8">
            <w:pPr>
              <w:rPr>
                <w:rFonts w:ascii="Times New Roman" w:hAnsi="Times New Roman" w:cs="Times New Roman"/>
                <w:sz w:val="20"/>
                <w:szCs w:val="20"/>
              </w:rPr>
            </w:pPr>
            <w:r w:rsidRPr="004C63E7">
              <w:rPr>
                <w:rFonts w:ascii="Times New Roman" w:hAnsi="Times New Roman" w:cs="Times New Roman"/>
                <w:sz w:val="20"/>
                <w:szCs w:val="20"/>
              </w:rPr>
              <w:t xml:space="preserve">    z toho rozpočtovo zabezpečené vplyvy</w:t>
            </w:r>
          </w:p>
        </w:tc>
        <w:sdt>
          <w:sdtPr>
            <w:rPr>
              <w:rFonts w:ascii="Times New Roman" w:hAnsi="Times New Roman" w:cs="Times New Roman"/>
              <w:sz w:val="20"/>
              <w:szCs w:val="20"/>
            </w:rPr>
            <w:id w:val="-207372912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4C63E7" w:rsidRPr="004C63E7" w:rsidRDefault="004C63E7" w:rsidP="001623A8">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281" w:type="dxa"/>
            <w:tcBorders>
              <w:top w:val="single" w:sz="4" w:space="0" w:color="auto"/>
              <w:left w:val="nil"/>
              <w:bottom w:val="single" w:sz="4" w:space="0" w:color="auto"/>
              <w:right w:val="nil"/>
            </w:tcBorders>
          </w:tcPr>
          <w:p w:rsidR="004C63E7" w:rsidRPr="004C63E7" w:rsidRDefault="004C63E7" w:rsidP="001623A8">
            <w:pPr>
              <w:rPr>
                <w:rFonts w:ascii="Times New Roman" w:hAnsi="Times New Roman" w:cs="Times New Roman"/>
                <w:sz w:val="20"/>
                <w:szCs w:val="20"/>
              </w:rPr>
            </w:pPr>
            <w:r w:rsidRPr="004C63E7">
              <w:rPr>
                <w:rFonts w:ascii="Times New Roman" w:hAnsi="Times New Roman" w:cs="Times New Roman"/>
                <w:sz w:val="20"/>
                <w:szCs w:val="20"/>
              </w:rPr>
              <w:t>Áno</w:t>
            </w:r>
          </w:p>
        </w:tc>
        <w:sdt>
          <w:sdtPr>
            <w:rPr>
              <w:rFonts w:ascii="Times New Roman" w:hAnsi="Times New Roman" w:cs="Times New Roman"/>
              <w:sz w:val="20"/>
              <w:szCs w:val="20"/>
            </w:r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4C63E7" w:rsidRPr="004C63E7" w:rsidRDefault="001347DC" w:rsidP="001623A8">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33" w:type="dxa"/>
            <w:tcBorders>
              <w:top w:val="single" w:sz="4" w:space="0" w:color="auto"/>
              <w:left w:val="nil"/>
              <w:bottom w:val="single" w:sz="4" w:space="0" w:color="auto"/>
              <w:right w:val="nil"/>
            </w:tcBorders>
          </w:tcPr>
          <w:p w:rsidR="004C63E7" w:rsidRPr="004C63E7" w:rsidRDefault="004C63E7" w:rsidP="001623A8">
            <w:pPr>
              <w:rPr>
                <w:rFonts w:ascii="Times New Roman" w:hAnsi="Times New Roman" w:cs="Times New Roman"/>
                <w:sz w:val="20"/>
                <w:szCs w:val="20"/>
              </w:rPr>
            </w:pPr>
            <w:r w:rsidRPr="004C63E7">
              <w:rPr>
                <w:rFonts w:ascii="Times New Roman" w:hAnsi="Times New Roman" w:cs="Times New Roman"/>
                <w:sz w:val="20"/>
                <w:szCs w:val="20"/>
              </w:rPr>
              <w:t>Nie</w:t>
            </w:r>
          </w:p>
        </w:tc>
        <w:sdt>
          <w:sdtPr>
            <w:rPr>
              <w:rFonts w:ascii="Times New Roman" w:hAnsi="Times New Roman" w:cs="Times New Roman"/>
              <w:sz w:val="20"/>
              <w:szCs w:val="20"/>
            </w:rPr>
            <w:id w:val="361940775"/>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4C63E7" w:rsidRPr="004C63E7" w:rsidRDefault="004C63E7" w:rsidP="001623A8">
                <w:pPr>
                  <w:ind w:left="-107" w:right="-108"/>
                  <w:jc w:val="center"/>
                  <w:rPr>
                    <w:rFonts w:ascii="Times New Roman" w:hAnsi="Times New Roman" w:cs="Times New Roman"/>
                    <w:sz w:val="20"/>
                    <w:szCs w:val="20"/>
                  </w:rPr>
                </w:pPr>
                <w:r w:rsidRPr="004C63E7">
                  <w:rPr>
                    <w:rFonts w:ascii="MS Mincho" w:eastAsia="MS Mincho" w:hAnsi="MS Mincho" w:cs="MS Mincho" w:hint="eastAsia"/>
                    <w:sz w:val="20"/>
                    <w:szCs w:val="20"/>
                  </w:rPr>
                  <w:t>☐</w:t>
                </w:r>
              </w:p>
            </w:tc>
          </w:sdtContent>
        </w:sdt>
        <w:tc>
          <w:tcPr>
            <w:tcW w:w="1297" w:type="dxa"/>
            <w:tcBorders>
              <w:top w:val="single" w:sz="4" w:space="0" w:color="auto"/>
              <w:left w:val="nil"/>
              <w:bottom w:val="single" w:sz="4" w:space="0" w:color="auto"/>
              <w:right w:val="single" w:sz="4" w:space="0" w:color="auto"/>
            </w:tcBorders>
          </w:tcPr>
          <w:p w:rsidR="004C63E7" w:rsidRPr="004C63E7" w:rsidRDefault="004C63E7" w:rsidP="001623A8">
            <w:pPr>
              <w:ind w:left="34"/>
              <w:rPr>
                <w:rFonts w:ascii="Times New Roman" w:hAnsi="Times New Roman" w:cs="Times New Roman"/>
                <w:sz w:val="20"/>
                <w:szCs w:val="20"/>
              </w:rPr>
            </w:pPr>
            <w:r w:rsidRPr="004C63E7">
              <w:rPr>
                <w:rFonts w:ascii="Times New Roman" w:hAnsi="Times New Roman" w:cs="Times New Roman"/>
                <w:sz w:val="20"/>
                <w:szCs w:val="20"/>
              </w:rPr>
              <w:t>Čiastočne</w:t>
            </w:r>
          </w:p>
        </w:tc>
      </w:tr>
      <w:tr w:rsidR="004C63E7" w:rsidRPr="004C63E7" w:rsidTr="001C6675">
        <w:tc>
          <w:tcPr>
            <w:tcW w:w="3812" w:type="dxa"/>
            <w:tcBorders>
              <w:top w:val="single" w:sz="4" w:space="0" w:color="000000" w:themeColor="text1"/>
              <w:left w:val="single" w:sz="4" w:space="0" w:color="auto"/>
              <w:bottom w:val="nil"/>
              <w:right w:val="single" w:sz="4" w:space="0" w:color="auto"/>
            </w:tcBorders>
            <w:shd w:val="clear" w:color="auto" w:fill="E2E2E2"/>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Vplyvy na podnikateľské prostredie</w:t>
            </w:r>
          </w:p>
        </w:tc>
        <w:sdt>
          <w:sdtPr>
            <w:rPr>
              <w:rFonts w:ascii="Times New Roman" w:hAnsi="Times New Roman" w:cs="Times New Roman"/>
              <w:b/>
              <w:sz w:val="20"/>
              <w:szCs w:val="20"/>
            </w:rPr>
            <w:id w:val="1328319843"/>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4C63E7" w:rsidRPr="004C63E7" w:rsidRDefault="00A7173F" w:rsidP="001623A8">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281" w:type="dxa"/>
            <w:tcBorders>
              <w:top w:val="single" w:sz="4" w:space="0" w:color="auto"/>
              <w:left w:val="nil"/>
              <w:bottom w:val="single" w:sz="4" w:space="0" w:color="auto"/>
              <w:right w:val="nil"/>
            </w:tcBorders>
          </w:tcPr>
          <w:p w:rsidR="004C63E7" w:rsidRPr="004C63E7" w:rsidRDefault="004C63E7" w:rsidP="001623A8">
            <w:pPr>
              <w:ind w:right="-108"/>
              <w:rPr>
                <w:rFonts w:ascii="Times New Roman" w:hAnsi="Times New Roman" w:cs="Times New Roman"/>
                <w:b/>
                <w:sz w:val="20"/>
                <w:szCs w:val="20"/>
              </w:rPr>
            </w:pPr>
            <w:r w:rsidRPr="004C63E7">
              <w:rPr>
                <w:rFonts w:ascii="Times New Roman" w:hAnsi="Times New Roman" w:cs="Times New Roman"/>
                <w:b/>
                <w:sz w:val="20"/>
                <w:szCs w:val="20"/>
              </w:rPr>
              <w:t>Pozitívne</w:t>
            </w:r>
          </w:p>
        </w:tc>
        <w:sdt>
          <w:sdtPr>
            <w:rPr>
              <w:rFonts w:ascii="Times New Roman" w:hAnsi="Times New Roman" w:cs="Times New Roman"/>
              <w:b/>
              <w:sz w:val="20"/>
              <w:szCs w:val="20"/>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4C63E7" w:rsidRPr="004C63E7" w:rsidRDefault="00A7173F" w:rsidP="001623A8">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Žiadne</w:t>
            </w:r>
          </w:p>
        </w:tc>
        <w:sdt>
          <w:sdtPr>
            <w:rPr>
              <w:rFonts w:ascii="Times New Roman" w:hAnsi="Times New Roman" w:cs="Times New Roman"/>
              <w:b/>
              <w:sz w:val="20"/>
              <w:szCs w:val="20"/>
            </w:rPr>
            <w:id w:val="2173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4C63E7" w:rsidRPr="004C63E7" w:rsidRDefault="00D01E5D" w:rsidP="001623A8">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4C63E7" w:rsidRPr="004C63E7" w:rsidRDefault="004C63E7" w:rsidP="001623A8">
            <w:pPr>
              <w:ind w:left="54"/>
              <w:rPr>
                <w:rFonts w:ascii="Times New Roman" w:hAnsi="Times New Roman" w:cs="Times New Roman"/>
                <w:b/>
                <w:sz w:val="20"/>
                <w:szCs w:val="20"/>
              </w:rPr>
            </w:pPr>
            <w:r w:rsidRPr="004C63E7">
              <w:rPr>
                <w:rFonts w:ascii="Times New Roman" w:hAnsi="Times New Roman" w:cs="Times New Roman"/>
                <w:b/>
                <w:sz w:val="20"/>
                <w:szCs w:val="20"/>
              </w:rPr>
              <w:t>Negatívne</w:t>
            </w:r>
          </w:p>
        </w:tc>
      </w:tr>
      <w:tr w:rsidR="004C63E7" w:rsidRPr="004C63E7" w:rsidTr="001C6675">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4C63E7" w:rsidRPr="004C63E7" w:rsidRDefault="004C63E7" w:rsidP="001623A8">
            <w:pPr>
              <w:rPr>
                <w:rFonts w:ascii="Times New Roman" w:hAnsi="Times New Roman" w:cs="Times New Roman"/>
                <w:sz w:val="20"/>
                <w:szCs w:val="20"/>
              </w:rPr>
            </w:pPr>
            <w:r w:rsidRPr="004C63E7">
              <w:rPr>
                <w:rFonts w:ascii="Times New Roman" w:hAnsi="Times New Roman" w:cs="Times New Roman"/>
                <w:sz w:val="20"/>
                <w:szCs w:val="20"/>
              </w:rPr>
              <w:t xml:space="preserve">    z toho vplyvy na MSP</w:t>
            </w:r>
          </w:p>
        </w:tc>
        <w:sdt>
          <w:sdtPr>
            <w:rPr>
              <w:rFonts w:ascii="Times New Roman" w:hAnsi="Times New Roman" w:cs="Times New Roman"/>
              <w:sz w:val="20"/>
              <w:szCs w:val="20"/>
            </w:rPr>
            <w:id w:val="19319380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000000" w:themeColor="text1"/>
                  <w:bottom w:val="single" w:sz="4" w:space="0" w:color="auto"/>
                  <w:right w:val="nil"/>
                </w:tcBorders>
              </w:tcPr>
              <w:p w:rsidR="004C63E7" w:rsidRPr="004C63E7" w:rsidRDefault="00A7173F" w:rsidP="001623A8">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281" w:type="dxa"/>
            <w:tcBorders>
              <w:top w:val="single" w:sz="4" w:space="0" w:color="auto"/>
              <w:left w:val="nil"/>
              <w:bottom w:val="single" w:sz="4" w:space="0" w:color="auto"/>
              <w:right w:val="nil"/>
            </w:tcBorders>
          </w:tcPr>
          <w:p w:rsidR="004C63E7" w:rsidRPr="004C63E7" w:rsidRDefault="004C63E7" w:rsidP="001623A8">
            <w:pPr>
              <w:ind w:right="-108"/>
              <w:rPr>
                <w:rFonts w:ascii="Times New Roman" w:hAnsi="Times New Roman" w:cs="Times New Roman"/>
                <w:sz w:val="20"/>
                <w:szCs w:val="20"/>
              </w:rPr>
            </w:pPr>
            <w:r w:rsidRPr="004C63E7">
              <w:rPr>
                <w:rFonts w:ascii="Times New Roman" w:hAnsi="Times New Roman" w:cs="Times New Roman"/>
                <w:sz w:val="20"/>
                <w:szCs w:val="20"/>
              </w:rPr>
              <w:t>Pozitívne</w:t>
            </w:r>
          </w:p>
        </w:tc>
        <w:sdt>
          <w:sdtPr>
            <w:rPr>
              <w:rFonts w:ascii="Times New Roman" w:hAnsi="Times New Roman" w:cs="Times New Roman"/>
              <w:sz w:val="20"/>
              <w:szCs w:val="20"/>
            </w:r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4C63E7" w:rsidRPr="004C63E7" w:rsidRDefault="00A7173F" w:rsidP="001623A8">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33" w:type="dxa"/>
            <w:tcBorders>
              <w:top w:val="single" w:sz="4" w:space="0" w:color="auto"/>
              <w:left w:val="nil"/>
              <w:bottom w:val="single" w:sz="4" w:space="0" w:color="auto"/>
              <w:right w:val="nil"/>
            </w:tcBorders>
          </w:tcPr>
          <w:p w:rsidR="004C63E7" w:rsidRPr="004C63E7" w:rsidRDefault="004C63E7" w:rsidP="001623A8">
            <w:pPr>
              <w:rPr>
                <w:rFonts w:ascii="Times New Roman" w:hAnsi="Times New Roman" w:cs="Times New Roman"/>
                <w:sz w:val="20"/>
                <w:szCs w:val="20"/>
              </w:rPr>
            </w:pPr>
            <w:r w:rsidRPr="004C63E7">
              <w:rPr>
                <w:rFonts w:ascii="Times New Roman" w:hAnsi="Times New Roman" w:cs="Times New Roman"/>
                <w:sz w:val="20"/>
                <w:szCs w:val="20"/>
              </w:rPr>
              <w:t>Žiadne</w:t>
            </w:r>
          </w:p>
        </w:tc>
        <w:sdt>
          <w:sdtPr>
            <w:rPr>
              <w:rFonts w:ascii="Times New Roman" w:hAnsi="Times New Roman" w:cs="Times New Roman"/>
              <w:sz w:val="20"/>
              <w:szCs w:val="20"/>
            </w:rPr>
            <w:id w:val="671765022"/>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4C63E7" w:rsidRPr="004C63E7" w:rsidRDefault="004C63E7" w:rsidP="001623A8">
                <w:pPr>
                  <w:jc w:val="center"/>
                  <w:rPr>
                    <w:rFonts w:ascii="Times New Roman" w:hAnsi="Times New Roman" w:cs="Times New Roman"/>
                    <w:sz w:val="20"/>
                    <w:szCs w:val="20"/>
                  </w:rPr>
                </w:pPr>
                <w:r w:rsidRPr="004C63E7">
                  <w:rPr>
                    <w:rFonts w:ascii="MS Mincho" w:eastAsia="MS Mincho" w:hAnsi="MS Mincho" w:cs="MS Mincho" w:hint="eastAsia"/>
                    <w:sz w:val="20"/>
                    <w:szCs w:val="20"/>
                  </w:rPr>
                  <w:t>☐</w:t>
                </w:r>
              </w:p>
            </w:tc>
          </w:sdtContent>
        </w:sdt>
        <w:tc>
          <w:tcPr>
            <w:tcW w:w="1297" w:type="dxa"/>
            <w:tcBorders>
              <w:top w:val="single" w:sz="4" w:space="0" w:color="auto"/>
              <w:left w:val="nil"/>
              <w:bottom w:val="single" w:sz="4" w:space="0" w:color="auto"/>
              <w:right w:val="single" w:sz="4" w:space="0" w:color="auto"/>
            </w:tcBorders>
          </w:tcPr>
          <w:p w:rsidR="004C63E7" w:rsidRPr="004C63E7" w:rsidRDefault="004C63E7" w:rsidP="001623A8">
            <w:pPr>
              <w:ind w:left="54"/>
              <w:rPr>
                <w:rFonts w:ascii="Times New Roman" w:hAnsi="Times New Roman" w:cs="Times New Roman"/>
                <w:sz w:val="20"/>
                <w:szCs w:val="20"/>
              </w:rPr>
            </w:pPr>
            <w:r w:rsidRPr="004C63E7">
              <w:rPr>
                <w:rFonts w:ascii="Times New Roman" w:hAnsi="Times New Roman" w:cs="Times New Roman"/>
                <w:sz w:val="20"/>
                <w:szCs w:val="20"/>
              </w:rPr>
              <w:t>Negatívne</w:t>
            </w:r>
          </w:p>
        </w:tc>
      </w:tr>
      <w:tr w:rsidR="004C63E7" w:rsidRPr="004C63E7" w:rsidTr="001C6675">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Sociálne vplyvy</w:t>
            </w:r>
          </w:p>
        </w:tc>
        <w:sdt>
          <w:sdtPr>
            <w:rPr>
              <w:rFonts w:ascii="Times New Roman" w:hAnsi="Times New Roman" w:cs="Times New Roman"/>
              <w:b/>
              <w:sz w:val="20"/>
              <w:szCs w:val="20"/>
            </w:rPr>
            <w:id w:val="4493578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4C63E7" w:rsidRPr="004C63E7" w:rsidRDefault="00A8332F" w:rsidP="001623A8">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281" w:type="dxa"/>
            <w:tcBorders>
              <w:top w:val="single" w:sz="4" w:space="0" w:color="auto"/>
              <w:left w:val="nil"/>
              <w:bottom w:val="single" w:sz="4" w:space="0" w:color="auto"/>
              <w:right w:val="nil"/>
            </w:tcBorders>
          </w:tcPr>
          <w:p w:rsidR="004C63E7" w:rsidRPr="004C63E7" w:rsidRDefault="004C63E7" w:rsidP="001623A8">
            <w:pPr>
              <w:ind w:right="-108"/>
              <w:rPr>
                <w:rFonts w:ascii="Times New Roman" w:hAnsi="Times New Roman" w:cs="Times New Roman"/>
                <w:b/>
                <w:sz w:val="20"/>
                <w:szCs w:val="20"/>
              </w:rPr>
            </w:pPr>
            <w:r w:rsidRPr="004C63E7">
              <w:rPr>
                <w:rFonts w:ascii="Times New Roman" w:hAnsi="Times New Roman" w:cs="Times New Roman"/>
                <w:b/>
                <w:sz w:val="20"/>
                <w:szCs w:val="20"/>
              </w:rPr>
              <w:t>Pozitívne</w:t>
            </w:r>
          </w:p>
        </w:tc>
        <w:sdt>
          <w:sdtPr>
            <w:rPr>
              <w:rFonts w:ascii="Times New Roman" w:hAnsi="Times New Roman" w:cs="Times New Roman"/>
              <w:b/>
              <w:sz w:val="20"/>
              <w:szCs w:val="20"/>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4C63E7" w:rsidRPr="004C63E7" w:rsidRDefault="00A8332F" w:rsidP="001623A8">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Žiadne</w:t>
            </w:r>
          </w:p>
        </w:tc>
        <w:sdt>
          <w:sdtPr>
            <w:rPr>
              <w:rFonts w:ascii="Times New Roman" w:hAnsi="Times New Roman" w:cs="Times New Roman"/>
              <w:b/>
              <w:sz w:val="20"/>
              <w:szCs w:val="20"/>
            </w:rPr>
            <w:id w:val="-870833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4C63E7" w:rsidRPr="004C63E7" w:rsidRDefault="004C63E7" w:rsidP="001623A8">
                <w:pPr>
                  <w:jc w:val="center"/>
                  <w:rPr>
                    <w:rFonts w:ascii="Times New Roman" w:hAnsi="Times New Roman" w:cs="Times New Roman"/>
                    <w:b/>
                    <w:sz w:val="20"/>
                    <w:szCs w:val="20"/>
                  </w:rPr>
                </w:pPr>
                <w:r w:rsidRPr="004C63E7">
                  <w:rPr>
                    <w:rFonts w:ascii="MS Mincho" w:eastAsia="MS Mincho" w:hAnsi="MS Mincho" w:cs="MS Mincho"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4C63E7" w:rsidRPr="004C63E7" w:rsidRDefault="004C63E7" w:rsidP="001623A8">
            <w:pPr>
              <w:ind w:left="54"/>
              <w:rPr>
                <w:rFonts w:ascii="Times New Roman" w:hAnsi="Times New Roman" w:cs="Times New Roman"/>
                <w:b/>
                <w:sz w:val="20"/>
                <w:szCs w:val="20"/>
              </w:rPr>
            </w:pPr>
            <w:r w:rsidRPr="004C63E7">
              <w:rPr>
                <w:rFonts w:ascii="Times New Roman" w:hAnsi="Times New Roman" w:cs="Times New Roman"/>
                <w:b/>
                <w:sz w:val="20"/>
                <w:szCs w:val="20"/>
              </w:rPr>
              <w:t>Negatívne</w:t>
            </w:r>
          </w:p>
        </w:tc>
      </w:tr>
      <w:tr w:rsidR="004C63E7" w:rsidRPr="004C63E7" w:rsidTr="001C6675">
        <w:tc>
          <w:tcPr>
            <w:tcW w:w="3812" w:type="dxa"/>
            <w:tcBorders>
              <w:top w:val="single" w:sz="4" w:space="0" w:color="auto"/>
              <w:left w:val="single" w:sz="4" w:space="0" w:color="auto"/>
              <w:bottom w:val="single" w:sz="4" w:space="0" w:color="auto"/>
              <w:right w:val="single" w:sz="4" w:space="0" w:color="auto"/>
            </w:tcBorders>
            <w:shd w:val="clear" w:color="auto" w:fill="E2E2E2"/>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Vplyvy na životné prostredie</w:t>
            </w:r>
          </w:p>
        </w:tc>
        <w:sdt>
          <w:sdtPr>
            <w:rPr>
              <w:rFonts w:ascii="Times New Roman" w:hAnsi="Times New Roman" w:cs="Times New Roman"/>
              <w:b/>
              <w:sz w:val="20"/>
              <w:szCs w:val="20"/>
            </w:rPr>
            <w:id w:val="30475515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4C63E7" w:rsidRPr="004C63E7" w:rsidRDefault="00A7173F" w:rsidP="001623A8">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281" w:type="dxa"/>
            <w:tcBorders>
              <w:top w:val="single" w:sz="4" w:space="0" w:color="auto"/>
              <w:left w:val="nil"/>
              <w:bottom w:val="single" w:sz="4" w:space="0" w:color="auto"/>
              <w:right w:val="nil"/>
            </w:tcBorders>
          </w:tcPr>
          <w:p w:rsidR="004C63E7" w:rsidRPr="004C63E7" w:rsidRDefault="004C63E7" w:rsidP="001623A8">
            <w:pPr>
              <w:ind w:right="-108"/>
              <w:rPr>
                <w:rFonts w:ascii="Times New Roman" w:hAnsi="Times New Roman" w:cs="Times New Roman"/>
                <w:b/>
                <w:sz w:val="20"/>
                <w:szCs w:val="20"/>
              </w:rPr>
            </w:pPr>
            <w:r w:rsidRPr="004C63E7">
              <w:rPr>
                <w:rFonts w:ascii="Times New Roman" w:hAnsi="Times New Roman" w:cs="Times New Roman"/>
                <w:b/>
                <w:sz w:val="20"/>
                <w:szCs w:val="20"/>
              </w:rPr>
              <w:t>Pozitívne</w:t>
            </w:r>
          </w:p>
        </w:tc>
        <w:sdt>
          <w:sdtPr>
            <w:rPr>
              <w:rFonts w:ascii="Times New Roman" w:hAnsi="Times New Roman" w:cs="Times New Roman"/>
              <w:b/>
              <w:sz w:val="20"/>
              <w:szCs w:val="20"/>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4C63E7" w:rsidRPr="004C63E7" w:rsidRDefault="00A7173F" w:rsidP="001623A8">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Žiadne</w:t>
            </w:r>
          </w:p>
        </w:tc>
        <w:sdt>
          <w:sdtPr>
            <w:rPr>
              <w:rFonts w:ascii="Times New Roman" w:hAnsi="Times New Roman" w:cs="Times New Roman"/>
              <w:b/>
              <w:sz w:val="20"/>
              <w:szCs w:val="20"/>
            </w:rPr>
            <w:id w:val="-1310200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4C63E7" w:rsidRPr="004C63E7" w:rsidRDefault="004C63E7" w:rsidP="001623A8">
                <w:pPr>
                  <w:jc w:val="center"/>
                  <w:rPr>
                    <w:rFonts w:ascii="Times New Roman" w:hAnsi="Times New Roman" w:cs="Times New Roman"/>
                    <w:b/>
                    <w:sz w:val="20"/>
                    <w:szCs w:val="20"/>
                  </w:rPr>
                </w:pPr>
                <w:r w:rsidRPr="004C63E7">
                  <w:rPr>
                    <w:rFonts w:ascii="MS Mincho" w:eastAsia="MS Mincho" w:hAnsi="MS Mincho" w:cs="MS Mincho"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4C63E7" w:rsidRPr="004C63E7" w:rsidRDefault="004C63E7" w:rsidP="001623A8">
            <w:pPr>
              <w:ind w:left="54"/>
              <w:rPr>
                <w:rFonts w:ascii="Times New Roman" w:hAnsi="Times New Roman" w:cs="Times New Roman"/>
                <w:b/>
                <w:sz w:val="20"/>
                <w:szCs w:val="20"/>
              </w:rPr>
            </w:pPr>
            <w:r w:rsidRPr="004C63E7">
              <w:rPr>
                <w:rFonts w:ascii="Times New Roman" w:hAnsi="Times New Roman" w:cs="Times New Roman"/>
                <w:b/>
                <w:sz w:val="20"/>
                <w:szCs w:val="20"/>
              </w:rPr>
              <w:t>Negatívne</w:t>
            </w:r>
          </w:p>
        </w:tc>
      </w:tr>
      <w:tr w:rsidR="004C63E7" w:rsidRPr="004C63E7" w:rsidTr="001C6675">
        <w:tc>
          <w:tcPr>
            <w:tcW w:w="3812" w:type="dxa"/>
            <w:tcBorders>
              <w:top w:val="single" w:sz="4" w:space="0" w:color="auto"/>
              <w:left w:val="single" w:sz="4" w:space="0" w:color="auto"/>
              <w:bottom w:val="single" w:sz="4" w:space="0" w:color="auto"/>
              <w:right w:val="single" w:sz="4" w:space="0" w:color="auto"/>
            </w:tcBorders>
            <w:shd w:val="clear" w:color="auto" w:fill="E2E2E2"/>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Vplyvy na informatizáciu</w:t>
            </w:r>
          </w:p>
        </w:tc>
        <w:sdt>
          <w:sdtPr>
            <w:rPr>
              <w:rFonts w:ascii="Times New Roman" w:hAnsi="Times New Roman" w:cs="Times New Roman"/>
              <w:b/>
              <w:sz w:val="20"/>
              <w:szCs w:val="20"/>
            </w:rPr>
            <w:id w:val="-94075100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4C63E7" w:rsidRPr="004C63E7" w:rsidRDefault="004C63E7" w:rsidP="001623A8">
                <w:pPr>
                  <w:jc w:val="center"/>
                  <w:rPr>
                    <w:rFonts w:ascii="Times New Roman" w:hAnsi="Times New Roman" w:cs="Times New Roman"/>
                    <w:b/>
                    <w:sz w:val="20"/>
                    <w:szCs w:val="20"/>
                  </w:rPr>
                </w:pPr>
                <w:r w:rsidRPr="004C63E7">
                  <w:rPr>
                    <w:rFonts w:ascii="MS Mincho" w:eastAsia="MS Mincho" w:hAnsi="MS Mincho" w:cs="MS Mincho" w:hint="eastAsia"/>
                    <w:b/>
                    <w:sz w:val="20"/>
                    <w:szCs w:val="20"/>
                  </w:rPr>
                  <w:t>☐</w:t>
                </w:r>
              </w:p>
            </w:tc>
          </w:sdtContent>
        </w:sdt>
        <w:tc>
          <w:tcPr>
            <w:tcW w:w="1281" w:type="dxa"/>
            <w:tcBorders>
              <w:top w:val="single" w:sz="4" w:space="0" w:color="auto"/>
              <w:left w:val="nil"/>
              <w:bottom w:val="single" w:sz="4" w:space="0" w:color="auto"/>
              <w:right w:val="nil"/>
            </w:tcBorders>
          </w:tcPr>
          <w:p w:rsidR="004C63E7" w:rsidRPr="004C63E7" w:rsidRDefault="004C63E7" w:rsidP="001623A8">
            <w:pPr>
              <w:ind w:right="-108"/>
              <w:rPr>
                <w:rFonts w:ascii="Times New Roman" w:hAnsi="Times New Roman" w:cs="Times New Roman"/>
                <w:b/>
                <w:sz w:val="20"/>
                <w:szCs w:val="20"/>
              </w:rPr>
            </w:pPr>
            <w:r w:rsidRPr="004C63E7">
              <w:rPr>
                <w:rFonts w:ascii="Times New Roman" w:hAnsi="Times New Roman" w:cs="Times New Roman"/>
                <w:b/>
                <w:sz w:val="20"/>
                <w:szCs w:val="20"/>
              </w:rPr>
              <w:t>Pozitívne</w:t>
            </w:r>
          </w:p>
        </w:tc>
        <w:sdt>
          <w:sdtPr>
            <w:rPr>
              <w:rFonts w:ascii="Times New Roman" w:hAnsi="Times New Roman" w:cs="Times New Roman"/>
              <w:b/>
              <w:sz w:val="20"/>
              <w:szCs w:val="20"/>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4C63E7" w:rsidRPr="004C63E7" w:rsidRDefault="004C63E7" w:rsidP="001623A8">
                <w:pPr>
                  <w:jc w:val="center"/>
                  <w:rPr>
                    <w:rFonts w:ascii="Times New Roman" w:hAnsi="Times New Roman" w:cs="Times New Roman"/>
                    <w:b/>
                    <w:sz w:val="20"/>
                    <w:szCs w:val="20"/>
                  </w:rPr>
                </w:pPr>
                <w:r w:rsidRPr="004C63E7">
                  <w:rPr>
                    <w:rFonts w:ascii="MS Mincho" w:eastAsia="MS Mincho" w:hAnsi="MS Mincho" w:cs="MS Mincho" w:hint="eastAsia"/>
                    <w:b/>
                    <w:sz w:val="20"/>
                    <w:szCs w:val="20"/>
                  </w:rPr>
                  <w:t>☒</w:t>
                </w:r>
              </w:p>
            </w:tc>
          </w:sdtContent>
        </w:sdt>
        <w:tc>
          <w:tcPr>
            <w:tcW w:w="1133" w:type="dxa"/>
            <w:tcBorders>
              <w:top w:val="single" w:sz="4" w:space="0" w:color="auto"/>
              <w:left w:val="nil"/>
              <w:bottom w:val="single" w:sz="4" w:space="0" w:color="auto"/>
              <w:right w:val="nil"/>
            </w:tcBorders>
          </w:tcPr>
          <w:p w:rsidR="004C63E7" w:rsidRPr="004C63E7" w:rsidRDefault="004C63E7" w:rsidP="001623A8">
            <w:pPr>
              <w:rPr>
                <w:rFonts w:ascii="Times New Roman" w:hAnsi="Times New Roman" w:cs="Times New Roman"/>
                <w:b/>
                <w:sz w:val="20"/>
                <w:szCs w:val="20"/>
              </w:rPr>
            </w:pPr>
            <w:r w:rsidRPr="004C63E7">
              <w:rPr>
                <w:rFonts w:ascii="Times New Roman" w:hAnsi="Times New Roman" w:cs="Times New Roman"/>
                <w:b/>
                <w:sz w:val="20"/>
                <w:szCs w:val="20"/>
              </w:rPr>
              <w:t>Žiadne</w:t>
            </w:r>
          </w:p>
        </w:tc>
        <w:sdt>
          <w:sdtPr>
            <w:rPr>
              <w:rFonts w:ascii="Times New Roman" w:hAnsi="Times New Roman" w:cs="Times New Roman"/>
              <w:b/>
              <w:sz w:val="20"/>
              <w:szCs w:val="20"/>
            </w:rPr>
            <w:id w:val="378831873"/>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4C63E7" w:rsidRPr="004C63E7" w:rsidRDefault="004C63E7" w:rsidP="001623A8">
                <w:pPr>
                  <w:jc w:val="center"/>
                  <w:rPr>
                    <w:rFonts w:ascii="Times New Roman" w:hAnsi="Times New Roman" w:cs="Times New Roman"/>
                    <w:b/>
                    <w:sz w:val="20"/>
                    <w:szCs w:val="20"/>
                  </w:rPr>
                </w:pPr>
                <w:r w:rsidRPr="004C63E7">
                  <w:rPr>
                    <w:rFonts w:ascii="MS Mincho" w:eastAsia="MS Mincho" w:hAnsi="MS Mincho" w:cs="MS Mincho"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4C63E7" w:rsidRPr="004C63E7" w:rsidRDefault="004C63E7" w:rsidP="001623A8">
            <w:pPr>
              <w:ind w:left="54"/>
              <w:rPr>
                <w:rFonts w:ascii="Times New Roman" w:hAnsi="Times New Roman" w:cs="Times New Roman"/>
                <w:b/>
                <w:sz w:val="20"/>
                <w:szCs w:val="20"/>
              </w:rPr>
            </w:pPr>
            <w:r w:rsidRPr="004C63E7">
              <w:rPr>
                <w:rFonts w:ascii="Times New Roman" w:hAnsi="Times New Roman" w:cs="Times New Roman"/>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C63E7" w:rsidRPr="004C63E7" w:rsidTr="004C63E7">
        <w:trPr>
          <w:trHeight w:val="485"/>
        </w:trPr>
        <w:tc>
          <w:tcPr>
            <w:tcW w:w="3812" w:type="dxa"/>
            <w:tcBorders>
              <w:top w:val="single" w:sz="4" w:space="0" w:color="auto"/>
              <w:left w:val="single" w:sz="4" w:space="0" w:color="auto"/>
              <w:bottom w:val="nil"/>
              <w:right w:val="single" w:sz="4" w:space="0" w:color="auto"/>
            </w:tcBorders>
            <w:shd w:val="clear" w:color="auto" w:fill="E2E2E2"/>
          </w:tcPr>
          <w:p w:rsidR="004C63E7" w:rsidRPr="004C63E7" w:rsidRDefault="004C63E7" w:rsidP="001623A8">
            <w:pPr>
              <w:spacing w:after="0" w:line="240" w:lineRule="auto"/>
              <w:rPr>
                <w:rFonts w:ascii="Times New Roman" w:hAnsi="Times New Roman" w:cs="Times New Roman"/>
                <w:b/>
                <w:sz w:val="20"/>
                <w:szCs w:val="20"/>
              </w:rPr>
            </w:pPr>
            <w:r w:rsidRPr="004C63E7">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4C63E7" w:rsidRPr="004C63E7" w:rsidRDefault="004C63E7" w:rsidP="001623A8">
            <w:pPr>
              <w:spacing w:after="0" w:line="240" w:lineRule="auto"/>
              <w:jc w:val="center"/>
              <w:rPr>
                <w:rFonts w:ascii="Times New Roman" w:eastAsia="MS Mincho" w:hAnsi="Times New Roman" w:cs="Times New Roman"/>
                <w:b/>
                <w:sz w:val="20"/>
                <w:szCs w:val="20"/>
              </w:rPr>
            </w:pPr>
          </w:p>
        </w:tc>
        <w:tc>
          <w:tcPr>
            <w:tcW w:w="1281" w:type="dxa"/>
            <w:tcBorders>
              <w:top w:val="single" w:sz="4" w:space="0" w:color="auto"/>
              <w:left w:val="nil"/>
              <w:bottom w:val="nil"/>
              <w:right w:val="nil"/>
            </w:tcBorders>
            <w:shd w:val="clear" w:color="auto" w:fill="auto"/>
          </w:tcPr>
          <w:p w:rsidR="004C63E7" w:rsidRPr="004C63E7" w:rsidRDefault="004C63E7" w:rsidP="001623A8">
            <w:pPr>
              <w:spacing w:after="0" w:line="240" w:lineRule="auto"/>
              <w:ind w:right="-108"/>
              <w:rPr>
                <w:rFonts w:ascii="Times New Roman" w:hAnsi="Times New Roman" w:cs="Times New Roman"/>
                <w:b/>
                <w:sz w:val="20"/>
                <w:szCs w:val="20"/>
              </w:rPr>
            </w:pPr>
          </w:p>
        </w:tc>
        <w:tc>
          <w:tcPr>
            <w:tcW w:w="569" w:type="dxa"/>
            <w:tcBorders>
              <w:top w:val="single" w:sz="4" w:space="0" w:color="auto"/>
              <w:left w:val="nil"/>
              <w:bottom w:val="nil"/>
              <w:right w:val="nil"/>
            </w:tcBorders>
            <w:shd w:val="clear" w:color="auto" w:fill="auto"/>
          </w:tcPr>
          <w:p w:rsidR="004C63E7" w:rsidRPr="004C63E7" w:rsidRDefault="004C63E7" w:rsidP="001623A8">
            <w:pPr>
              <w:spacing w:after="0" w:line="240" w:lineRule="auto"/>
              <w:jc w:val="center"/>
              <w:rPr>
                <w:rFonts w:ascii="Times New Roman" w:eastAsia="MS Mincho" w:hAnsi="Times New Roman" w:cs="Times New Roman"/>
                <w:b/>
                <w:sz w:val="20"/>
                <w:szCs w:val="20"/>
              </w:rPr>
            </w:pPr>
          </w:p>
        </w:tc>
        <w:tc>
          <w:tcPr>
            <w:tcW w:w="1133" w:type="dxa"/>
            <w:tcBorders>
              <w:top w:val="single" w:sz="4" w:space="0" w:color="auto"/>
              <w:left w:val="nil"/>
              <w:bottom w:val="nil"/>
              <w:right w:val="nil"/>
            </w:tcBorders>
            <w:shd w:val="clear" w:color="auto" w:fill="auto"/>
          </w:tcPr>
          <w:p w:rsidR="004C63E7" w:rsidRPr="004C63E7" w:rsidRDefault="004C63E7" w:rsidP="001623A8">
            <w:pPr>
              <w:spacing w:after="0" w:line="240" w:lineRule="auto"/>
              <w:rPr>
                <w:rFonts w:ascii="Times New Roman" w:hAnsi="Times New Roman" w:cs="Times New Roman"/>
                <w:b/>
                <w:sz w:val="20"/>
                <w:szCs w:val="20"/>
              </w:rPr>
            </w:pPr>
          </w:p>
        </w:tc>
        <w:tc>
          <w:tcPr>
            <w:tcW w:w="547" w:type="dxa"/>
            <w:tcBorders>
              <w:top w:val="single" w:sz="4" w:space="0" w:color="auto"/>
              <w:left w:val="nil"/>
              <w:bottom w:val="nil"/>
              <w:right w:val="nil"/>
            </w:tcBorders>
            <w:shd w:val="clear" w:color="auto" w:fill="auto"/>
          </w:tcPr>
          <w:p w:rsidR="004C63E7" w:rsidRPr="004C63E7" w:rsidRDefault="004C63E7" w:rsidP="001623A8">
            <w:pPr>
              <w:spacing w:after="0" w:line="240" w:lineRule="auto"/>
              <w:jc w:val="center"/>
              <w:rPr>
                <w:rFonts w:ascii="Times New Roman" w:eastAsia="MS Mincho" w:hAnsi="Times New Roman" w:cs="Times New Roman"/>
                <w:b/>
                <w:sz w:val="20"/>
                <w:szCs w:val="20"/>
              </w:rPr>
            </w:pPr>
          </w:p>
        </w:tc>
        <w:tc>
          <w:tcPr>
            <w:tcW w:w="1297" w:type="dxa"/>
            <w:tcBorders>
              <w:top w:val="single" w:sz="4" w:space="0" w:color="auto"/>
              <w:left w:val="nil"/>
              <w:bottom w:val="nil"/>
              <w:right w:val="single" w:sz="4" w:space="0" w:color="auto"/>
            </w:tcBorders>
            <w:shd w:val="clear" w:color="auto" w:fill="auto"/>
          </w:tcPr>
          <w:p w:rsidR="004C63E7" w:rsidRPr="004C63E7" w:rsidRDefault="004C63E7" w:rsidP="001623A8">
            <w:pPr>
              <w:spacing w:after="0" w:line="240" w:lineRule="auto"/>
              <w:ind w:left="54"/>
              <w:rPr>
                <w:rFonts w:ascii="Times New Roman" w:hAnsi="Times New Roman" w:cs="Times New Roman"/>
                <w:b/>
                <w:sz w:val="20"/>
                <w:szCs w:val="20"/>
              </w:rPr>
            </w:pPr>
          </w:p>
        </w:tc>
      </w:tr>
      <w:tr w:rsidR="004C63E7" w:rsidRPr="004C63E7" w:rsidTr="001C6675">
        <w:tc>
          <w:tcPr>
            <w:tcW w:w="3812" w:type="dxa"/>
            <w:tcBorders>
              <w:top w:val="nil"/>
              <w:left w:val="single" w:sz="4" w:space="0" w:color="auto"/>
              <w:bottom w:val="nil"/>
              <w:right w:val="single" w:sz="4" w:space="0" w:color="auto"/>
            </w:tcBorders>
            <w:shd w:val="clear" w:color="auto" w:fill="E2E2E2"/>
          </w:tcPr>
          <w:p w:rsidR="004C63E7" w:rsidRPr="004C63E7" w:rsidRDefault="004C63E7" w:rsidP="001623A8">
            <w:pPr>
              <w:spacing w:after="0" w:line="240" w:lineRule="auto"/>
              <w:ind w:left="196" w:hanging="196"/>
              <w:rPr>
                <w:rFonts w:ascii="Times New Roman" w:eastAsia="Calibri" w:hAnsi="Times New Roman" w:cs="Times New Roman"/>
                <w:b/>
                <w:sz w:val="20"/>
                <w:szCs w:val="20"/>
              </w:rPr>
            </w:pPr>
            <w:r w:rsidRPr="004C63E7">
              <w:rPr>
                <w:rFonts w:ascii="Times New Roman" w:eastAsia="Calibri" w:hAnsi="Times New Roman" w:cs="Times New Roman"/>
                <w:b/>
                <w:sz w:val="20"/>
                <w:szCs w:val="20"/>
              </w:rPr>
              <w:t xml:space="preserve">    vplyvy služieb verejnej správy na občana</w:t>
            </w:r>
          </w:p>
        </w:tc>
        <w:sdt>
          <w:sdtPr>
            <w:rPr>
              <w:rFonts w:ascii="Times New Roman" w:hAnsi="Times New Roman" w:cs="Times New Roman"/>
              <w:b/>
              <w:sz w:val="20"/>
              <w:szCs w:val="20"/>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4C63E7" w:rsidRPr="004C63E7" w:rsidRDefault="004C63E7" w:rsidP="001623A8">
                <w:pPr>
                  <w:spacing w:after="0" w:line="240" w:lineRule="auto"/>
                  <w:jc w:val="center"/>
                  <w:rPr>
                    <w:rFonts w:ascii="Times New Roman" w:hAnsi="Times New Roman" w:cs="Times New Roman"/>
                    <w:b/>
                    <w:sz w:val="20"/>
                    <w:szCs w:val="20"/>
                  </w:rPr>
                </w:pPr>
                <w:r w:rsidRPr="004C63E7">
                  <w:rPr>
                    <w:rFonts w:ascii="MS Mincho" w:eastAsia="MS Mincho" w:hAnsi="MS Mincho" w:cs="MS Mincho" w:hint="eastAsia"/>
                    <w:b/>
                    <w:sz w:val="20"/>
                    <w:szCs w:val="20"/>
                  </w:rPr>
                  <w:t>☐</w:t>
                </w:r>
              </w:p>
            </w:tc>
          </w:sdtContent>
        </w:sdt>
        <w:tc>
          <w:tcPr>
            <w:tcW w:w="1281" w:type="dxa"/>
            <w:tcBorders>
              <w:top w:val="nil"/>
              <w:left w:val="nil"/>
              <w:bottom w:val="nil"/>
              <w:right w:val="nil"/>
            </w:tcBorders>
            <w:shd w:val="clear" w:color="auto" w:fill="auto"/>
          </w:tcPr>
          <w:p w:rsidR="004C63E7" w:rsidRPr="004C63E7" w:rsidRDefault="004C63E7" w:rsidP="001623A8">
            <w:pPr>
              <w:spacing w:after="0" w:line="240" w:lineRule="auto"/>
              <w:ind w:right="-108"/>
              <w:rPr>
                <w:rFonts w:ascii="Times New Roman" w:hAnsi="Times New Roman" w:cs="Times New Roman"/>
                <w:b/>
                <w:sz w:val="20"/>
                <w:szCs w:val="20"/>
              </w:rPr>
            </w:pPr>
            <w:r w:rsidRPr="004C63E7">
              <w:rPr>
                <w:rFonts w:ascii="Times New Roman" w:hAnsi="Times New Roman" w:cs="Times New Roman"/>
                <w:b/>
                <w:sz w:val="20"/>
                <w:szCs w:val="20"/>
              </w:rPr>
              <w:t>Pozitívne</w:t>
            </w:r>
          </w:p>
        </w:tc>
        <w:sdt>
          <w:sdtPr>
            <w:rPr>
              <w:rFonts w:ascii="Times New Roman" w:hAnsi="Times New Roman" w:cs="Times New Roman"/>
              <w:b/>
              <w:sz w:val="20"/>
              <w:szCs w:val="20"/>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4C63E7" w:rsidRPr="004C63E7" w:rsidRDefault="004C63E7" w:rsidP="001623A8">
                <w:pPr>
                  <w:spacing w:after="0" w:line="240" w:lineRule="auto"/>
                  <w:jc w:val="center"/>
                  <w:rPr>
                    <w:rFonts w:ascii="Times New Roman" w:hAnsi="Times New Roman" w:cs="Times New Roman"/>
                    <w:b/>
                    <w:sz w:val="20"/>
                    <w:szCs w:val="20"/>
                  </w:rPr>
                </w:pPr>
                <w:r w:rsidRPr="004C63E7">
                  <w:rPr>
                    <w:rFonts w:ascii="MS Mincho" w:eastAsia="MS Mincho" w:hAnsi="MS Mincho" w:cs="MS Mincho" w:hint="eastAsia"/>
                    <w:b/>
                    <w:sz w:val="20"/>
                    <w:szCs w:val="20"/>
                  </w:rPr>
                  <w:t>☒</w:t>
                </w:r>
              </w:p>
            </w:tc>
          </w:sdtContent>
        </w:sdt>
        <w:tc>
          <w:tcPr>
            <w:tcW w:w="1133" w:type="dxa"/>
            <w:tcBorders>
              <w:top w:val="nil"/>
              <w:left w:val="nil"/>
              <w:bottom w:val="nil"/>
              <w:right w:val="nil"/>
            </w:tcBorders>
            <w:shd w:val="clear" w:color="auto" w:fill="auto"/>
          </w:tcPr>
          <w:p w:rsidR="004C63E7" w:rsidRPr="004C63E7" w:rsidRDefault="004C63E7" w:rsidP="001623A8">
            <w:pPr>
              <w:spacing w:after="0" w:line="240" w:lineRule="auto"/>
              <w:rPr>
                <w:rFonts w:ascii="Times New Roman" w:hAnsi="Times New Roman" w:cs="Times New Roman"/>
                <w:b/>
                <w:sz w:val="20"/>
                <w:szCs w:val="20"/>
              </w:rPr>
            </w:pPr>
            <w:r w:rsidRPr="004C63E7">
              <w:rPr>
                <w:rFonts w:ascii="Times New Roman" w:hAnsi="Times New Roman" w:cs="Times New Roman"/>
                <w:b/>
                <w:sz w:val="20"/>
                <w:szCs w:val="20"/>
              </w:rPr>
              <w:t>Žiadne</w:t>
            </w:r>
          </w:p>
        </w:tc>
        <w:sdt>
          <w:sdtPr>
            <w:rPr>
              <w:rFonts w:ascii="Times New Roman" w:hAnsi="Times New Roman" w:cs="Times New Roman"/>
              <w:b/>
              <w:sz w:val="20"/>
              <w:szCs w:val="20"/>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4C63E7" w:rsidRPr="004C63E7" w:rsidRDefault="004C63E7" w:rsidP="001623A8">
                <w:pPr>
                  <w:spacing w:after="0" w:line="240" w:lineRule="auto"/>
                  <w:jc w:val="center"/>
                  <w:rPr>
                    <w:rFonts w:ascii="Times New Roman" w:hAnsi="Times New Roman" w:cs="Times New Roman"/>
                    <w:b/>
                    <w:sz w:val="20"/>
                    <w:szCs w:val="20"/>
                  </w:rPr>
                </w:pPr>
                <w:r w:rsidRPr="004C63E7">
                  <w:rPr>
                    <w:rFonts w:ascii="MS Gothic" w:eastAsia="MS Gothic" w:hAnsi="MS Gothic" w:cs="Times New Roman" w:hint="eastAsia"/>
                    <w:b/>
                    <w:sz w:val="20"/>
                    <w:szCs w:val="20"/>
                  </w:rPr>
                  <w:t>☐</w:t>
                </w:r>
              </w:p>
            </w:tc>
          </w:sdtContent>
        </w:sdt>
        <w:tc>
          <w:tcPr>
            <w:tcW w:w="1297" w:type="dxa"/>
            <w:tcBorders>
              <w:top w:val="nil"/>
              <w:left w:val="nil"/>
              <w:bottom w:val="nil"/>
              <w:right w:val="single" w:sz="4" w:space="0" w:color="auto"/>
            </w:tcBorders>
            <w:shd w:val="clear" w:color="auto" w:fill="auto"/>
          </w:tcPr>
          <w:p w:rsidR="004C63E7" w:rsidRPr="004C63E7" w:rsidRDefault="004C63E7" w:rsidP="001623A8">
            <w:pPr>
              <w:spacing w:after="0" w:line="240" w:lineRule="auto"/>
              <w:ind w:left="54"/>
              <w:rPr>
                <w:rFonts w:ascii="Times New Roman" w:hAnsi="Times New Roman" w:cs="Times New Roman"/>
                <w:b/>
                <w:sz w:val="20"/>
                <w:szCs w:val="20"/>
              </w:rPr>
            </w:pPr>
            <w:r w:rsidRPr="004C63E7">
              <w:rPr>
                <w:rFonts w:ascii="Times New Roman" w:hAnsi="Times New Roman" w:cs="Times New Roman"/>
                <w:b/>
                <w:sz w:val="20"/>
                <w:szCs w:val="20"/>
              </w:rPr>
              <w:t>Negatívne</w:t>
            </w:r>
          </w:p>
        </w:tc>
      </w:tr>
      <w:tr w:rsidR="004C63E7" w:rsidRPr="004C63E7" w:rsidTr="001C6675">
        <w:tc>
          <w:tcPr>
            <w:tcW w:w="3812" w:type="dxa"/>
            <w:tcBorders>
              <w:top w:val="nil"/>
              <w:left w:val="single" w:sz="4" w:space="0" w:color="auto"/>
              <w:bottom w:val="single" w:sz="4" w:space="0" w:color="auto"/>
              <w:right w:val="single" w:sz="4" w:space="0" w:color="auto"/>
            </w:tcBorders>
            <w:shd w:val="clear" w:color="auto" w:fill="E2E2E2"/>
          </w:tcPr>
          <w:p w:rsidR="004C63E7" w:rsidRPr="004C63E7" w:rsidRDefault="004C63E7" w:rsidP="001623A8">
            <w:pPr>
              <w:spacing w:after="0" w:line="240" w:lineRule="auto"/>
              <w:ind w:left="168" w:hanging="168"/>
              <w:rPr>
                <w:rFonts w:ascii="Times New Roman" w:eastAsia="Calibri" w:hAnsi="Times New Roman" w:cs="Times New Roman"/>
                <w:b/>
                <w:sz w:val="20"/>
                <w:szCs w:val="20"/>
              </w:rPr>
            </w:pPr>
            <w:r w:rsidRPr="004C63E7">
              <w:rPr>
                <w:rFonts w:ascii="Times New Roman" w:eastAsia="Calibri" w:hAnsi="Times New Roman" w:cs="Times New Roman"/>
                <w:b/>
                <w:sz w:val="20"/>
                <w:szCs w:val="20"/>
              </w:rPr>
              <w:t xml:space="preserve">    vplyvy na procesy služieb vo verejnej správe</w:t>
            </w:r>
          </w:p>
        </w:tc>
        <w:sdt>
          <w:sdtPr>
            <w:rPr>
              <w:rFonts w:ascii="Times New Roman" w:hAnsi="Times New Roman" w:cs="Times New Roman"/>
              <w:b/>
              <w:sz w:val="20"/>
              <w:szCs w:val="20"/>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4C63E7" w:rsidRPr="004C63E7" w:rsidRDefault="004C63E7" w:rsidP="001623A8">
                <w:pPr>
                  <w:spacing w:after="0" w:line="240" w:lineRule="auto"/>
                  <w:jc w:val="center"/>
                  <w:rPr>
                    <w:rFonts w:ascii="Times New Roman" w:hAnsi="Times New Roman" w:cs="Times New Roman"/>
                    <w:b/>
                    <w:sz w:val="20"/>
                    <w:szCs w:val="20"/>
                  </w:rPr>
                </w:pPr>
                <w:r w:rsidRPr="004C63E7">
                  <w:rPr>
                    <w:rFonts w:ascii="MS Mincho" w:eastAsia="MS Mincho" w:hAnsi="MS Mincho" w:cs="MS Mincho" w:hint="eastAsia"/>
                    <w:b/>
                    <w:sz w:val="20"/>
                    <w:szCs w:val="20"/>
                  </w:rPr>
                  <w:t>☐</w:t>
                </w:r>
              </w:p>
            </w:tc>
          </w:sdtContent>
        </w:sdt>
        <w:tc>
          <w:tcPr>
            <w:tcW w:w="1281" w:type="dxa"/>
            <w:tcBorders>
              <w:top w:val="nil"/>
              <w:left w:val="nil"/>
              <w:bottom w:val="single" w:sz="4" w:space="0" w:color="auto"/>
              <w:right w:val="nil"/>
            </w:tcBorders>
            <w:shd w:val="clear" w:color="auto" w:fill="auto"/>
          </w:tcPr>
          <w:p w:rsidR="004C63E7" w:rsidRPr="004C63E7" w:rsidRDefault="004C63E7" w:rsidP="001623A8">
            <w:pPr>
              <w:spacing w:after="0" w:line="240" w:lineRule="auto"/>
              <w:ind w:right="-108"/>
              <w:rPr>
                <w:rFonts w:ascii="Times New Roman" w:hAnsi="Times New Roman" w:cs="Times New Roman"/>
                <w:b/>
                <w:sz w:val="20"/>
                <w:szCs w:val="20"/>
              </w:rPr>
            </w:pPr>
            <w:r w:rsidRPr="004C63E7">
              <w:rPr>
                <w:rFonts w:ascii="Times New Roman" w:hAnsi="Times New Roman" w:cs="Times New Roman"/>
                <w:b/>
                <w:sz w:val="20"/>
                <w:szCs w:val="20"/>
              </w:rPr>
              <w:t>Pozitívne</w:t>
            </w:r>
          </w:p>
        </w:tc>
        <w:sdt>
          <w:sdtPr>
            <w:rPr>
              <w:rFonts w:ascii="Times New Roman" w:hAnsi="Times New Roman" w:cs="Times New Roman"/>
              <w:b/>
              <w:sz w:val="20"/>
              <w:szCs w:val="20"/>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4C63E7" w:rsidRPr="004C63E7" w:rsidRDefault="004C63E7" w:rsidP="001623A8">
                <w:pPr>
                  <w:spacing w:after="0" w:line="240" w:lineRule="auto"/>
                  <w:jc w:val="center"/>
                  <w:rPr>
                    <w:rFonts w:ascii="Times New Roman" w:hAnsi="Times New Roman" w:cs="Times New Roman"/>
                    <w:b/>
                    <w:sz w:val="20"/>
                    <w:szCs w:val="20"/>
                  </w:rPr>
                </w:pPr>
                <w:r w:rsidRPr="004C63E7">
                  <w:rPr>
                    <w:rFonts w:ascii="MS Mincho" w:eastAsia="MS Mincho" w:hAnsi="MS Mincho" w:cs="MS Mincho" w:hint="eastAsia"/>
                    <w:b/>
                    <w:sz w:val="20"/>
                    <w:szCs w:val="20"/>
                  </w:rPr>
                  <w:t>☒</w:t>
                </w:r>
              </w:p>
            </w:tc>
          </w:sdtContent>
        </w:sdt>
        <w:tc>
          <w:tcPr>
            <w:tcW w:w="1133" w:type="dxa"/>
            <w:tcBorders>
              <w:top w:val="nil"/>
              <w:left w:val="nil"/>
              <w:bottom w:val="single" w:sz="4" w:space="0" w:color="auto"/>
              <w:right w:val="nil"/>
            </w:tcBorders>
            <w:shd w:val="clear" w:color="auto" w:fill="auto"/>
          </w:tcPr>
          <w:p w:rsidR="004C63E7" w:rsidRPr="004C63E7" w:rsidRDefault="004C63E7" w:rsidP="001623A8">
            <w:pPr>
              <w:spacing w:after="0" w:line="240" w:lineRule="auto"/>
              <w:rPr>
                <w:rFonts w:ascii="Times New Roman" w:hAnsi="Times New Roman" w:cs="Times New Roman"/>
                <w:b/>
                <w:sz w:val="20"/>
                <w:szCs w:val="20"/>
              </w:rPr>
            </w:pPr>
            <w:r w:rsidRPr="004C63E7">
              <w:rPr>
                <w:rFonts w:ascii="Times New Roman" w:hAnsi="Times New Roman" w:cs="Times New Roman"/>
                <w:b/>
                <w:sz w:val="20"/>
                <w:szCs w:val="20"/>
              </w:rPr>
              <w:t>Žiadne</w:t>
            </w:r>
          </w:p>
        </w:tc>
        <w:sdt>
          <w:sdtPr>
            <w:rPr>
              <w:rFonts w:ascii="Times New Roman" w:hAnsi="Times New Roman" w:cs="Times New Roman"/>
              <w:b/>
              <w:sz w:val="20"/>
              <w:szCs w:val="20"/>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4C63E7" w:rsidRPr="004C63E7" w:rsidRDefault="004C63E7" w:rsidP="001623A8">
                <w:pPr>
                  <w:spacing w:after="0" w:line="240" w:lineRule="auto"/>
                  <w:jc w:val="center"/>
                  <w:rPr>
                    <w:rFonts w:ascii="Times New Roman" w:hAnsi="Times New Roman" w:cs="Times New Roman"/>
                    <w:b/>
                    <w:sz w:val="20"/>
                    <w:szCs w:val="20"/>
                  </w:rPr>
                </w:pPr>
                <w:r w:rsidRPr="004C63E7">
                  <w:rPr>
                    <w:rFonts w:ascii="MS Mincho" w:eastAsia="MS Mincho" w:hAnsi="MS Mincho" w:cs="MS Mincho" w:hint="eastAsia"/>
                    <w:b/>
                    <w:sz w:val="20"/>
                    <w:szCs w:val="20"/>
                  </w:rPr>
                  <w:t>☐</w:t>
                </w:r>
              </w:p>
            </w:tc>
          </w:sdtContent>
        </w:sdt>
        <w:tc>
          <w:tcPr>
            <w:tcW w:w="1297" w:type="dxa"/>
            <w:tcBorders>
              <w:top w:val="nil"/>
              <w:left w:val="nil"/>
              <w:bottom w:val="single" w:sz="4" w:space="0" w:color="auto"/>
              <w:right w:val="single" w:sz="4" w:space="0" w:color="auto"/>
            </w:tcBorders>
            <w:shd w:val="clear" w:color="auto" w:fill="auto"/>
          </w:tcPr>
          <w:p w:rsidR="004C63E7" w:rsidRPr="004C63E7" w:rsidRDefault="004C63E7" w:rsidP="001623A8">
            <w:pPr>
              <w:spacing w:after="0" w:line="240" w:lineRule="auto"/>
              <w:ind w:left="54"/>
              <w:rPr>
                <w:rFonts w:ascii="Times New Roman" w:hAnsi="Times New Roman" w:cs="Times New Roman"/>
                <w:b/>
                <w:sz w:val="20"/>
                <w:szCs w:val="20"/>
              </w:rPr>
            </w:pPr>
            <w:r w:rsidRPr="004C63E7">
              <w:rPr>
                <w:rFonts w:ascii="Times New Roman" w:hAnsi="Times New Roman" w:cs="Times New Roman"/>
                <w:b/>
                <w:sz w:val="20"/>
                <w:szCs w:val="20"/>
              </w:rPr>
              <w:t>Negatívne</w:t>
            </w:r>
          </w:p>
        </w:tc>
      </w:tr>
    </w:tbl>
    <w:p w:rsidR="000D27F9" w:rsidRDefault="000D27F9" w:rsidP="001623A8">
      <w:pPr>
        <w:spacing w:line="240" w:lineRule="auto"/>
        <w:rPr>
          <w:rFonts w:ascii="Times New Roman" w:hAnsi="Times New Roman" w:cs="Times New Roman"/>
          <w:sz w:val="24"/>
          <w:szCs w:val="24"/>
        </w:rPr>
      </w:pPr>
    </w:p>
    <w:p w:rsidR="00072D1B" w:rsidRPr="00AF34BF" w:rsidRDefault="00AF34BF" w:rsidP="00072D1B">
      <w:pPr>
        <w:tabs>
          <w:tab w:val="left" w:pos="720"/>
        </w:tabs>
        <w:spacing w:line="240" w:lineRule="auto"/>
        <w:jc w:val="both"/>
        <w:rPr>
          <w:rFonts w:ascii="Times New Roman" w:hAnsi="Times New Roman" w:cs="Times New Roman"/>
          <w:bCs/>
          <w:sz w:val="24"/>
          <w:szCs w:val="24"/>
        </w:rPr>
      </w:pPr>
      <w:r w:rsidRPr="00AF34BF">
        <w:rPr>
          <w:rFonts w:ascii="Times New Roman" w:hAnsi="Times New Roman" w:cs="Times New Roman"/>
          <w:bCs/>
          <w:sz w:val="24"/>
          <w:szCs w:val="24"/>
        </w:rPr>
        <w:t>Vypracovala:</w:t>
      </w:r>
      <w:r w:rsidR="00072D1B">
        <w:rPr>
          <w:rFonts w:ascii="Times New Roman" w:hAnsi="Times New Roman" w:cs="Times New Roman"/>
          <w:bCs/>
          <w:sz w:val="24"/>
          <w:szCs w:val="24"/>
        </w:rPr>
        <w:t xml:space="preserve">                                                         Revidoval na základe PPK</w:t>
      </w:r>
      <w:r w:rsidR="00072D1B" w:rsidRPr="00AF34BF">
        <w:rPr>
          <w:rFonts w:ascii="Times New Roman" w:hAnsi="Times New Roman" w:cs="Times New Roman"/>
          <w:bCs/>
          <w:sz w:val="24"/>
          <w:szCs w:val="24"/>
        </w:rPr>
        <w:t>:</w:t>
      </w:r>
    </w:p>
    <w:p w:rsidR="00072D1B" w:rsidRPr="00212EAD" w:rsidRDefault="00212EAD" w:rsidP="00072D1B">
      <w:pPr>
        <w:tabs>
          <w:tab w:val="left" w:pos="720"/>
        </w:tabs>
        <w:spacing w:after="0" w:line="240" w:lineRule="auto"/>
        <w:jc w:val="both"/>
        <w:rPr>
          <w:rFonts w:ascii="Times New Roman" w:hAnsi="Times New Roman" w:cs="Times New Roman"/>
          <w:bCs/>
          <w:sz w:val="24"/>
          <w:szCs w:val="24"/>
        </w:rPr>
      </w:pPr>
      <w:r w:rsidRPr="00212EAD">
        <w:rPr>
          <w:rFonts w:ascii="Times New Roman" w:hAnsi="Times New Roman" w:cs="Times New Roman"/>
          <w:sz w:val="24"/>
          <w:szCs w:val="24"/>
        </w:rPr>
        <w:t xml:space="preserve">Ing. </w:t>
      </w:r>
      <w:r w:rsidR="00AF34BF">
        <w:rPr>
          <w:rFonts w:ascii="Times New Roman" w:hAnsi="Times New Roman" w:cs="Times New Roman"/>
          <w:sz w:val="24"/>
          <w:szCs w:val="24"/>
        </w:rPr>
        <w:t>Zlatica Daubnerová</w:t>
      </w:r>
      <w:r w:rsidRPr="00212EAD">
        <w:rPr>
          <w:rFonts w:ascii="Times New Roman" w:hAnsi="Times New Roman" w:cs="Times New Roman"/>
          <w:sz w:val="24"/>
          <w:szCs w:val="24"/>
        </w:rPr>
        <w:t xml:space="preserve">, </w:t>
      </w:r>
      <w:r w:rsidR="00D53A55">
        <w:rPr>
          <w:rFonts w:ascii="Times New Roman" w:hAnsi="Times New Roman" w:cs="Times New Roman"/>
          <w:sz w:val="24"/>
          <w:szCs w:val="24"/>
        </w:rPr>
        <w:t xml:space="preserve">dňa </w:t>
      </w:r>
      <w:r w:rsidR="0040163E">
        <w:rPr>
          <w:rFonts w:ascii="Times New Roman" w:hAnsi="Times New Roman" w:cs="Times New Roman"/>
          <w:sz w:val="24"/>
          <w:szCs w:val="24"/>
        </w:rPr>
        <w:t>11</w:t>
      </w:r>
      <w:r w:rsidR="00AF34BF">
        <w:rPr>
          <w:rFonts w:ascii="Times New Roman" w:hAnsi="Times New Roman" w:cs="Times New Roman"/>
          <w:sz w:val="24"/>
          <w:szCs w:val="24"/>
        </w:rPr>
        <w:t>.7.2018</w:t>
      </w:r>
      <w:r w:rsidR="00072D1B">
        <w:rPr>
          <w:rFonts w:ascii="Times New Roman" w:hAnsi="Times New Roman" w:cs="Times New Roman"/>
          <w:sz w:val="24"/>
          <w:szCs w:val="24"/>
        </w:rPr>
        <w:t xml:space="preserve">              Mgr</w:t>
      </w:r>
      <w:r w:rsidR="00072D1B" w:rsidRPr="00212EAD">
        <w:rPr>
          <w:rFonts w:ascii="Times New Roman" w:hAnsi="Times New Roman" w:cs="Times New Roman"/>
          <w:sz w:val="24"/>
          <w:szCs w:val="24"/>
        </w:rPr>
        <w:t xml:space="preserve">. </w:t>
      </w:r>
      <w:r w:rsidR="00072D1B">
        <w:rPr>
          <w:rFonts w:ascii="Times New Roman" w:hAnsi="Times New Roman" w:cs="Times New Roman"/>
          <w:sz w:val="24"/>
          <w:szCs w:val="24"/>
        </w:rPr>
        <w:t>Ján Chládok</w:t>
      </w:r>
      <w:r w:rsidR="00072D1B" w:rsidRPr="00212EAD">
        <w:rPr>
          <w:rFonts w:ascii="Times New Roman" w:hAnsi="Times New Roman" w:cs="Times New Roman"/>
          <w:sz w:val="24"/>
          <w:szCs w:val="24"/>
        </w:rPr>
        <w:t xml:space="preserve">, </w:t>
      </w:r>
      <w:r w:rsidR="00072D1B">
        <w:rPr>
          <w:rFonts w:ascii="Times New Roman" w:hAnsi="Times New Roman" w:cs="Times New Roman"/>
          <w:sz w:val="24"/>
          <w:szCs w:val="24"/>
        </w:rPr>
        <w:t>dňa 8.8.2018</w:t>
      </w:r>
    </w:p>
    <w:p w:rsidR="00212EAD" w:rsidRPr="00212EAD" w:rsidRDefault="00212EAD" w:rsidP="001623A8">
      <w:pPr>
        <w:tabs>
          <w:tab w:val="left" w:pos="720"/>
        </w:tabs>
        <w:spacing w:after="0" w:line="240" w:lineRule="auto"/>
        <w:jc w:val="both"/>
        <w:rPr>
          <w:rFonts w:ascii="Times New Roman" w:hAnsi="Times New Roman" w:cs="Times New Roman"/>
          <w:bCs/>
          <w:sz w:val="24"/>
          <w:szCs w:val="24"/>
        </w:rPr>
      </w:pPr>
    </w:p>
    <w:p w:rsidR="00212EAD" w:rsidRDefault="00212EAD" w:rsidP="001623A8">
      <w:pPr>
        <w:tabs>
          <w:tab w:val="left" w:pos="720"/>
        </w:tabs>
        <w:spacing w:after="0" w:line="240" w:lineRule="auto"/>
        <w:jc w:val="both"/>
        <w:rPr>
          <w:rFonts w:ascii="Times New Roman" w:hAnsi="Times New Roman" w:cs="Times New Roman"/>
          <w:bCs/>
          <w:sz w:val="24"/>
          <w:szCs w:val="24"/>
        </w:rPr>
      </w:pPr>
    </w:p>
    <w:p w:rsidR="00212EAD" w:rsidRDefault="00AF34BF" w:rsidP="00AF34BF">
      <w:pPr>
        <w:tabs>
          <w:tab w:val="left" w:pos="72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Schválili:</w:t>
      </w:r>
    </w:p>
    <w:p w:rsidR="00212EAD" w:rsidRDefault="000E368C" w:rsidP="001623A8">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Ing. Andrea Hrdá</w:t>
      </w:r>
      <w:r w:rsidR="00212EAD">
        <w:rPr>
          <w:rFonts w:ascii="Times New Roman" w:hAnsi="Times New Roman" w:cs="Times New Roman"/>
          <w:bCs/>
          <w:sz w:val="24"/>
          <w:szCs w:val="24"/>
        </w:rPr>
        <w:t xml:space="preserve">, </w:t>
      </w:r>
      <w:r w:rsidR="00D53A55">
        <w:rPr>
          <w:rFonts w:ascii="Times New Roman" w:hAnsi="Times New Roman" w:cs="Times New Roman"/>
          <w:bCs/>
          <w:sz w:val="24"/>
          <w:szCs w:val="24"/>
        </w:rPr>
        <w:t xml:space="preserve">dňa </w:t>
      </w:r>
      <w:r w:rsidR="00072D1B">
        <w:rPr>
          <w:rFonts w:ascii="Times New Roman" w:hAnsi="Times New Roman" w:cs="Times New Roman"/>
          <w:bCs/>
          <w:sz w:val="24"/>
          <w:szCs w:val="24"/>
        </w:rPr>
        <w:t xml:space="preserve">                                          </w:t>
      </w:r>
      <w:r w:rsidR="00072D1B" w:rsidRPr="00072D1B">
        <w:rPr>
          <w:rFonts w:ascii="Times New Roman" w:hAnsi="Times New Roman" w:cs="Times New Roman"/>
          <w:bCs/>
          <w:sz w:val="24"/>
          <w:szCs w:val="24"/>
        </w:rPr>
        <w:t>JUDr. Mgr. Daniel Krošlák PhD. LL.M</w:t>
      </w:r>
      <w:r w:rsidR="00072D1B">
        <w:rPr>
          <w:rFonts w:ascii="Times New Roman" w:hAnsi="Times New Roman" w:cs="Times New Roman"/>
          <w:bCs/>
          <w:sz w:val="24"/>
          <w:szCs w:val="24"/>
        </w:rPr>
        <w:t>, dňa</w:t>
      </w:r>
    </w:p>
    <w:p w:rsidR="00072D1B" w:rsidRPr="00072D1B" w:rsidRDefault="00212EAD" w:rsidP="00072D1B">
      <w:pPr>
        <w:rPr>
          <w:rFonts w:ascii="Times New Roman" w:hAnsi="Times New Roman" w:cs="Times New Roman"/>
          <w:bCs/>
          <w:sz w:val="24"/>
          <w:szCs w:val="24"/>
        </w:rPr>
      </w:pPr>
      <w:r>
        <w:rPr>
          <w:rFonts w:ascii="Times New Roman" w:hAnsi="Times New Roman" w:cs="Times New Roman"/>
          <w:bCs/>
          <w:sz w:val="24"/>
          <w:szCs w:val="24"/>
        </w:rPr>
        <w:t xml:space="preserve">riaditeľka odboru </w:t>
      </w:r>
      <w:r w:rsidR="000E368C">
        <w:rPr>
          <w:rFonts w:ascii="Times New Roman" w:hAnsi="Times New Roman" w:cs="Times New Roman"/>
          <w:bCs/>
          <w:sz w:val="24"/>
          <w:szCs w:val="24"/>
        </w:rPr>
        <w:t>riadiaceho orgánu OP RH</w:t>
      </w:r>
      <w:r>
        <w:rPr>
          <w:rFonts w:ascii="Times New Roman" w:hAnsi="Times New Roman" w:cs="Times New Roman"/>
          <w:bCs/>
          <w:sz w:val="24"/>
          <w:szCs w:val="24"/>
        </w:rPr>
        <w:t xml:space="preserve"> </w:t>
      </w:r>
      <w:r w:rsidR="00072D1B">
        <w:rPr>
          <w:rFonts w:ascii="Times New Roman" w:hAnsi="Times New Roman" w:cs="Times New Roman"/>
          <w:bCs/>
          <w:sz w:val="24"/>
          <w:szCs w:val="24"/>
        </w:rPr>
        <w:t xml:space="preserve">        </w:t>
      </w:r>
      <w:r w:rsidR="00072D1B" w:rsidRPr="00072D1B">
        <w:rPr>
          <w:rFonts w:ascii="Times New Roman" w:hAnsi="Times New Roman" w:cs="Times New Roman"/>
          <w:bCs/>
          <w:sz w:val="24"/>
          <w:szCs w:val="24"/>
        </w:rPr>
        <w:t xml:space="preserve">vedúci Oddelenia riadenia </w:t>
      </w:r>
      <w:r w:rsidR="00072D1B">
        <w:rPr>
          <w:rFonts w:ascii="Times New Roman" w:hAnsi="Times New Roman" w:cs="Times New Roman"/>
          <w:bCs/>
          <w:sz w:val="24"/>
          <w:szCs w:val="24"/>
        </w:rPr>
        <w:t>OPRH</w:t>
      </w:r>
    </w:p>
    <w:p w:rsidR="00212EAD" w:rsidRPr="00212EAD" w:rsidRDefault="00212EAD" w:rsidP="001623A8">
      <w:pPr>
        <w:tabs>
          <w:tab w:val="left" w:pos="720"/>
        </w:tabs>
        <w:spacing w:after="0" w:line="240" w:lineRule="auto"/>
        <w:jc w:val="both"/>
        <w:rPr>
          <w:rFonts w:ascii="Times New Roman" w:hAnsi="Times New Roman" w:cs="Times New Roman"/>
          <w:bCs/>
          <w:sz w:val="24"/>
          <w:szCs w:val="24"/>
        </w:rPr>
      </w:pPr>
    </w:p>
    <w:p w:rsidR="00212EAD" w:rsidRDefault="00212EAD" w:rsidP="001623A8">
      <w:pPr>
        <w:tabs>
          <w:tab w:val="left" w:pos="720"/>
        </w:tabs>
        <w:spacing w:after="0" w:line="240" w:lineRule="auto"/>
        <w:jc w:val="both"/>
        <w:rPr>
          <w:rFonts w:ascii="Times New Roman" w:hAnsi="Times New Roman" w:cs="Times New Roman"/>
          <w:bCs/>
          <w:sz w:val="24"/>
          <w:szCs w:val="24"/>
        </w:rPr>
      </w:pPr>
    </w:p>
    <w:p w:rsidR="00212EAD" w:rsidRPr="00212EAD" w:rsidRDefault="00212EAD" w:rsidP="001623A8">
      <w:pPr>
        <w:tabs>
          <w:tab w:val="left" w:pos="720"/>
        </w:tabs>
        <w:spacing w:after="0" w:line="240" w:lineRule="auto"/>
        <w:jc w:val="both"/>
        <w:rPr>
          <w:rFonts w:ascii="Times New Roman" w:hAnsi="Times New Roman" w:cs="Times New Roman"/>
          <w:bCs/>
          <w:sz w:val="24"/>
          <w:szCs w:val="24"/>
        </w:rPr>
      </w:pPr>
      <w:r w:rsidRPr="00212EAD">
        <w:rPr>
          <w:rFonts w:ascii="Times New Roman" w:hAnsi="Times New Roman" w:cs="Times New Roman"/>
          <w:bCs/>
          <w:sz w:val="24"/>
          <w:szCs w:val="24"/>
        </w:rPr>
        <w:t xml:space="preserve">Ing. </w:t>
      </w:r>
      <w:r w:rsidR="000E368C">
        <w:rPr>
          <w:rFonts w:ascii="Times New Roman" w:hAnsi="Times New Roman" w:cs="Times New Roman"/>
          <w:bCs/>
          <w:sz w:val="24"/>
          <w:szCs w:val="24"/>
        </w:rPr>
        <w:t>Jaroslav Gudába</w:t>
      </w:r>
      <w:r>
        <w:rPr>
          <w:rFonts w:ascii="Times New Roman" w:hAnsi="Times New Roman" w:cs="Times New Roman"/>
          <w:bCs/>
          <w:sz w:val="24"/>
          <w:szCs w:val="24"/>
        </w:rPr>
        <w:t xml:space="preserve">, </w:t>
      </w:r>
      <w:r w:rsidR="00D53A55">
        <w:rPr>
          <w:rFonts w:ascii="Times New Roman" w:hAnsi="Times New Roman" w:cs="Times New Roman"/>
          <w:bCs/>
          <w:sz w:val="24"/>
          <w:szCs w:val="24"/>
        </w:rPr>
        <w:t xml:space="preserve">dňa </w:t>
      </w:r>
    </w:p>
    <w:p w:rsidR="00212EAD" w:rsidRPr="00212EAD" w:rsidRDefault="00212EAD" w:rsidP="001623A8">
      <w:pPr>
        <w:tabs>
          <w:tab w:val="left" w:pos="720"/>
        </w:tabs>
        <w:spacing w:after="0" w:line="240" w:lineRule="auto"/>
        <w:jc w:val="both"/>
        <w:rPr>
          <w:rFonts w:ascii="Times New Roman" w:hAnsi="Times New Roman" w:cs="Times New Roman"/>
          <w:bCs/>
          <w:sz w:val="24"/>
          <w:szCs w:val="24"/>
        </w:rPr>
      </w:pPr>
      <w:r w:rsidRPr="00212EAD">
        <w:rPr>
          <w:rFonts w:ascii="Times New Roman" w:hAnsi="Times New Roman" w:cs="Times New Roman"/>
          <w:bCs/>
          <w:sz w:val="24"/>
          <w:szCs w:val="24"/>
        </w:rPr>
        <w:t>generáln</w:t>
      </w:r>
      <w:r>
        <w:rPr>
          <w:rFonts w:ascii="Times New Roman" w:hAnsi="Times New Roman" w:cs="Times New Roman"/>
          <w:bCs/>
          <w:sz w:val="24"/>
          <w:szCs w:val="24"/>
        </w:rPr>
        <w:t>y</w:t>
      </w:r>
      <w:r w:rsidRPr="00212EAD">
        <w:rPr>
          <w:rFonts w:ascii="Times New Roman" w:hAnsi="Times New Roman" w:cs="Times New Roman"/>
          <w:bCs/>
          <w:sz w:val="24"/>
          <w:szCs w:val="24"/>
        </w:rPr>
        <w:t xml:space="preserve"> riaditeľ sekcie </w:t>
      </w:r>
      <w:r w:rsidR="000E368C">
        <w:rPr>
          <w:rFonts w:ascii="Times New Roman" w:hAnsi="Times New Roman" w:cs="Times New Roman"/>
          <w:bCs/>
          <w:sz w:val="24"/>
          <w:szCs w:val="24"/>
        </w:rPr>
        <w:t>rozvoja vidieka a priamych platieb</w:t>
      </w:r>
    </w:p>
    <w:sectPr w:rsidR="00212EAD" w:rsidRPr="00212E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85" w:rsidRDefault="00E82E85" w:rsidP="00FB1768">
      <w:pPr>
        <w:spacing w:after="0" w:line="240" w:lineRule="auto"/>
      </w:pPr>
      <w:r>
        <w:separator/>
      </w:r>
    </w:p>
  </w:endnote>
  <w:endnote w:type="continuationSeparator" w:id="0">
    <w:p w:rsidR="00E82E85" w:rsidRDefault="00E82E85" w:rsidP="00FB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067847"/>
      <w:docPartObj>
        <w:docPartGallery w:val="Page Numbers (Bottom of Page)"/>
        <w:docPartUnique/>
      </w:docPartObj>
    </w:sdtPr>
    <w:sdtEndPr/>
    <w:sdtContent>
      <w:p w:rsidR="00DB0BAA" w:rsidRDefault="00DB0BAA">
        <w:pPr>
          <w:pStyle w:val="Pta"/>
          <w:jc w:val="center"/>
        </w:pPr>
        <w:r>
          <w:fldChar w:fldCharType="begin"/>
        </w:r>
        <w:r>
          <w:instrText>PAGE   \* MERGEFORMAT</w:instrText>
        </w:r>
        <w:r>
          <w:fldChar w:fldCharType="separate"/>
        </w:r>
        <w:r w:rsidR="004742EC">
          <w:rPr>
            <w:noProof/>
          </w:rPr>
          <w:t>1</w:t>
        </w:r>
        <w:r>
          <w:fldChar w:fldCharType="end"/>
        </w:r>
      </w:p>
    </w:sdtContent>
  </w:sdt>
  <w:p w:rsidR="00DB0BAA" w:rsidRDefault="00DB0B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85" w:rsidRDefault="00E82E85" w:rsidP="00FB1768">
      <w:pPr>
        <w:spacing w:after="0" w:line="240" w:lineRule="auto"/>
      </w:pPr>
      <w:r>
        <w:separator/>
      </w:r>
    </w:p>
  </w:footnote>
  <w:footnote w:type="continuationSeparator" w:id="0">
    <w:p w:rsidR="00E82E85" w:rsidRDefault="00E82E85" w:rsidP="00FB1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B67"/>
    <w:multiLevelType w:val="hybridMultilevel"/>
    <w:tmpl w:val="2EB65736"/>
    <w:lvl w:ilvl="0" w:tplc="665A04E8">
      <w:numFmt w:val="bullet"/>
      <w:lvlText w:val="-"/>
      <w:lvlJc w:val="left"/>
      <w:pPr>
        <w:ind w:left="780" w:hanging="360"/>
      </w:pPr>
      <w:rPr>
        <w:rFonts w:ascii="Calibri" w:eastAsiaTheme="minorHAnsi" w:hAnsi="Calibri"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nsid w:val="221A73E5"/>
    <w:multiLevelType w:val="hybridMultilevel"/>
    <w:tmpl w:val="BD68FA0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63C7D76"/>
    <w:multiLevelType w:val="hybridMultilevel"/>
    <w:tmpl w:val="ABB23D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AD724C"/>
    <w:multiLevelType w:val="hybridMultilevel"/>
    <w:tmpl w:val="1D24620A"/>
    <w:lvl w:ilvl="0" w:tplc="CF02163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AF0691B"/>
    <w:multiLevelType w:val="hybridMultilevel"/>
    <w:tmpl w:val="F7EEEC9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26C1AA2"/>
    <w:multiLevelType w:val="hybridMultilevel"/>
    <w:tmpl w:val="1B7835A0"/>
    <w:lvl w:ilvl="0" w:tplc="923EBD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8">
    <w:nsid w:val="4E320AAD"/>
    <w:multiLevelType w:val="hybridMultilevel"/>
    <w:tmpl w:val="9B58FC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E613744"/>
    <w:multiLevelType w:val="hybridMultilevel"/>
    <w:tmpl w:val="EF4E0FD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FA41C05"/>
    <w:multiLevelType w:val="hybridMultilevel"/>
    <w:tmpl w:val="25544970"/>
    <w:lvl w:ilvl="0" w:tplc="041B0011">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1">
    <w:nsid w:val="57E2477A"/>
    <w:multiLevelType w:val="hybridMultilevel"/>
    <w:tmpl w:val="6EE6F4F0"/>
    <w:lvl w:ilvl="0" w:tplc="C5EEF27E">
      <w:start w:val="1"/>
      <w:numFmt w:val="decimal"/>
      <w:lvlText w:val="%1."/>
      <w:lvlJc w:val="left"/>
      <w:pPr>
        <w:ind w:left="560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93622FD"/>
    <w:multiLevelType w:val="hybridMultilevel"/>
    <w:tmpl w:val="0A166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2156642"/>
    <w:multiLevelType w:val="hybridMultilevel"/>
    <w:tmpl w:val="5C6C1882"/>
    <w:lvl w:ilvl="0" w:tplc="A96E7E94">
      <w:start w:val="1"/>
      <w:numFmt w:val="upperRoman"/>
      <w:lvlText w:val="%1."/>
      <w:lvlJc w:val="left"/>
      <w:pPr>
        <w:ind w:left="1080" w:hanging="720"/>
      </w:pPr>
      <w:rPr>
        <w:rFonts w:hint="default"/>
        <w:u w:val="none"/>
      </w:rPr>
    </w:lvl>
    <w:lvl w:ilvl="1" w:tplc="84AAD81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3"/>
  </w:num>
  <w:num w:numId="2">
    <w:abstractNumId w:val="12"/>
  </w:num>
  <w:num w:numId="3">
    <w:abstractNumId w:val="11"/>
  </w:num>
  <w:num w:numId="4">
    <w:abstractNumId w:val="5"/>
  </w:num>
  <w:num w:numId="5">
    <w:abstractNumId w:val="6"/>
    <w:lvlOverride w:ilvl="0">
      <w:startOverride w:val="1"/>
    </w:lvlOverride>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14"/>
  </w:num>
  <w:num w:numId="14">
    <w:abstractNumId w:val="4"/>
  </w:num>
  <w:num w:numId="15">
    <w:abstractNumId w:val="10"/>
  </w:num>
  <w:num w:numId="16">
    <w:abstractNumId w:val="0"/>
  </w:num>
  <w:num w:numId="17">
    <w:abstractNumId w:val="9"/>
  </w:num>
  <w:num w:numId="18">
    <w:abstractNumId w:val="1"/>
  </w:num>
  <w:num w:numId="19">
    <w:abstractNumId w:val="3"/>
  </w:num>
  <w:num w:numId="20">
    <w:abstractNumId w:val="8"/>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2D"/>
    <w:rsid w:val="00011494"/>
    <w:rsid w:val="0001529A"/>
    <w:rsid w:val="000302AF"/>
    <w:rsid w:val="00032B28"/>
    <w:rsid w:val="000663A2"/>
    <w:rsid w:val="00071210"/>
    <w:rsid w:val="00072D1B"/>
    <w:rsid w:val="000743D9"/>
    <w:rsid w:val="000A0F8E"/>
    <w:rsid w:val="000A2776"/>
    <w:rsid w:val="000B57DB"/>
    <w:rsid w:val="000D27F9"/>
    <w:rsid w:val="000E2DAF"/>
    <w:rsid w:val="000E368C"/>
    <w:rsid w:val="000F34B3"/>
    <w:rsid w:val="00107ABA"/>
    <w:rsid w:val="00122DD8"/>
    <w:rsid w:val="001347DC"/>
    <w:rsid w:val="00146FE1"/>
    <w:rsid w:val="001623A8"/>
    <w:rsid w:val="00163F95"/>
    <w:rsid w:val="001857FA"/>
    <w:rsid w:val="00186A74"/>
    <w:rsid w:val="001A0D5A"/>
    <w:rsid w:val="001C6675"/>
    <w:rsid w:val="001E3B30"/>
    <w:rsid w:val="001E7865"/>
    <w:rsid w:val="001F4F32"/>
    <w:rsid w:val="001F5CF2"/>
    <w:rsid w:val="00207707"/>
    <w:rsid w:val="00212EAD"/>
    <w:rsid w:val="0021796C"/>
    <w:rsid w:val="00240079"/>
    <w:rsid w:val="002705F7"/>
    <w:rsid w:val="00284FB6"/>
    <w:rsid w:val="00294573"/>
    <w:rsid w:val="002A6903"/>
    <w:rsid w:val="002B777F"/>
    <w:rsid w:val="002C3080"/>
    <w:rsid w:val="002C563A"/>
    <w:rsid w:val="002D3BB3"/>
    <w:rsid w:val="002F24BB"/>
    <w:rsid w:val="0030123E"/>
    <w:rsid w:val="00302CF4"/>
    <w:rsid w:val="00333698"/>
    <w:rsid w:val="003348D7"/>
    <w:rsid w:val="00335036"/>
    <w:rsid w:val="00346C41"/>
    <w:rsid w:val="00362AB6"/>
    <w:rsid w:val="00374FD8"/>
    <w:rsid w:val="00381EA4"/>
    <w:rsid w:val="00385EB3"/>
    <w:rsid w:val="00387B98"/>
    <w:rsid w:val="00393A6F"/>
    <w:rsid w:val="003A62E7"/>
    <w:rsid w:val="003B51FB"/>
    <w:rsid w:val="003C5B92"/>
    <w:rsid w:val="003D12F7"/>
    <w:rsid w:val="0040163E"/>
    <w:rsid w:val="004350BE"/>
    <w:rsid w:val="0044695D"/>
    <w:rsid w:val="00455E7D"/>
    <w:rsid w:val="004742EC"/>
    <w:rsid w:val="004768E0"/>
    <w:rsid w:val="00476A0F"/>
    <w:rsid w:val="004814BE"/>
    <w:rsid w:val="00483490"/>
    <w:rsid w:val="004C63E7"/>
    <w:rsid w:val="004C6547"/>
    <w:rsid w:val="004C7430"/>
    <w:rsid w:val="004D00AE"/>
    <w:rsid w:val="00505399"/>
    <w:rsid w:val="00511215"/>
    <w:rsid w:val="00537216"/>
    <w:rsid w:val="00544F71"/>
    <w:rsid w:val="005452DF"/>
    <w:rsid w:val="0055129C"/>
    <w:rsid w:val="00585EBD"/>
    <w:rsid w:val="00591E73"/>
    <w:rsid w:val="005D76B8"/>
    <w:rsid w:val="005E02E3"/>
    <w:rsid w:val="006024F9"/>
    <w:rsid w:val="00614C24"/>
    <w:rsid w:val="006342AB"/>
    <w:rsid w:val="006453A1"/>
    <w:rsid w:val="006466C6"/>
    <w:rsid w:val="00653BDB"/>
    <w:rsid w:val="00685838"/>
    <w:rsid w:val="0069282D"/>
    <w:rsid w:val="006D3932"/>
    <w:rsid w:val="006E358E"/>
    <w:rsid w:val="006E556E"/>
    <w:rsid w:val="006F24EE"/>
    <w:rsid w:val="00716E99"/>
    <w:rsid w:val="00725022"/>
    <w:rsid w:val="00770C78"/>
    <w:rsid w:val="00777D08"/>
    <w:rsid w:val="007801CA"/>
    <w:rsid w:val="00785949"/>
    <w:rsid w:val="007D4126"/>
    <w:rsid w:val="007D7FC7"/>
    <w:rsid w:val="007E69D1"/>
    <w:rsid w:val="00842E59"/>
    <w:rsid w:val="00886E0E"/>
    <w:rsid w:val="008A4106"/>
    <w:rsid w:val="008C4BD1"/>
    <w:rsid w:val="008F0760"/>
    <w:rsid w:val="00914680"/>
    <w:rsid w:val="0091543C"/>
    <w:rsid w:val="0094046D"/>
    <w:rsid w:val="00954DA8"/>
    <w:rsid w:val="00961C88"/>
    <w:rsid w:val="009B5FD5"/>
    <w:rsid w:val="009D25A6"/>
    <w:rsid w:val="009F6E2D"/>
    <w:rsid w:val="00A07B01"/>
    <w:rsid w:val="00A203E4"/>
    <w:rsid w:val="00A46D8F"/>
    <w:rsid w:val="00A6743A"/>
    <w:rsid w:val="00A7173F"/>
    <w:rsid w:val="00A8332F"/>
    <w:rsid w:val="00A8778F"/>
    <w:rsid w:val="00AB01A1"/>
    <w:rsid w:val="00AE66EA"/>
    <w:rsid w:val="00AF1DAC"/>
    <w:rsid w:val="00AF34BF"/>
    <w:rsid w:val="00AF4984"/>
    <w:rsid w:val="00AF63C2"/>
    <w:rsid w:val="00AF7035"/>
    <w:rsid w:val="00B02630"/>
    <w:rsid w:val="00B272C6"/>
    <w:rsid w:val="00B274AC"/>
    <w:rsid w:val="00B519D9"/>
    <w:rsid w:val="00B61E0A"/>
    <w:rsid w:val="00B66F75"/>
    <w:rsid w:val="00B702A0"/>
    <w:rsid w:val="00B8693D"/>
    <w:rsid w:val="00BA4CE3"/>
    <w:rsid w:val="00BA53B2"/>
    <w:rsid w:val="00BA7E75"/>
    <w:rsid w:val="00BC5AAF"/>
    <w:rsid w:val="00BE23AF"/>
    <w:rsid w:val="00BE4480"/>
    <w:rsid w:val="00C1138A"/>
    <w:rsid w:val="00C200EA"/>
    <w:rsid w:val="00C23D9F"/>
    <w:rsid w:val="00C23DB2"/>
    <w:rsid w:val="00C25F57"/>
    <w:rsid w:val="00C663A7"/>
    <w:rsid w:val="00C710B6"/>
    <w:rsid w:val="00C71667"/>
    <w:rsid w:val="00C9272C"/>
    <w:rsid w:val="00C9294F"/>
    <w:rsid w:val="00CF7EFD"/>
    <w:rsid w:val="00D01E5D"/>
    <w:rsid w:val="00D03B8C"/>
    <w:rsid w:val="00D1078B"/>
    <w:rsid w:val="00D27480"/>
    <w:rsid w:val="00D3107E"/>
    <w:rsid w:val="00D368DB"/>
    <w:rsid w:val="00D53A55"/>
    <w:rsid w:val="00D67AEC"/>
    <w:rsid w:val="00D90109"/>
    <w:rsid w:val="00D93565"/>
    <w:rsid w:val="00D97749"/>
    <w:rsid w:val="00DB0BAA"/>
    <w:rsid w:val="00DC13CA"/>
    <w:rsid w:val="00DD0F85"/>
    <w:rsid w:val="00DE4319"/>
    <w:rsid w:val="00E21DB5"/>
    <w:rsid w:val="00E81D05"/>
    <w:rsid w:val="00E82E85"/>
    <w:rsid w:val="00E85855"/>
    <w:rsid w:val="00EC7289"/>
    <w:rsid w:val="00ED6F3D"/>
    <w:rsid w:val="00EE2E3C"/>
    <w:rsid w:val="00EF5693"/>
    <w:rsid w:val="00EF5C16"/>
    <w:rsid w:val="00F0375E"/>
    <w:rsid w:val="00F17828"/>
    <w:rsid w:val="00F709FE"/>
    <w:rsid w:val="00F715A1"/>
    <w:rsid w:val="00F72928"/>
    <w:rsid w:val="00F77233"/>
    <w:rsid w:val="00F87F00"/>
    <w:rsid w:val="00F96D55"/>
    <w:rsid w:val="00FB1768"/>
    <w:rsid w:val="00FC79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2DD8"/>
  </w:style>
  <w:style w:type="paragraph" w:styleId="Nadpis3">
    <w:name w:val="heading 3"/>
    <w:basedOn w:val="Normlny"/>
    <w:link w:val="Nadpis3Char"/>
    <w:uiPriority w:val="9"/>
    <w:qFormat/>
    <w:rsid w:val="009F6E2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9F6E2D"/>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9F6E2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F6E2D"/>
    <w:pPr>
      <w:ind w:left="720"/>
      <w:contextualSpacing/>
    </w:pPr>
  </w:style>
  <w:style w:type="paragraph" w:customStyle="1" w:styleId="Statut">
    <w:name w:val="Statut"/>
    <w:basedOn w:val="Normlny"/>
    <w:next w:val="Typedudocument"/>
    <w:rsid w:val="00D97749"/>
    <w:pPr>
      <w:spacing w:before="360" w:after="0" w:line="240" w:lineRule="auto"/>
      <w:jc w:val="center"/>
    </w:pPr>
    <w:rPr>
      <w:rFonts w:ascii="Times New Roman" w:hAnsi="Times New Roman" w:cs="Times New Roman"/>
      <w:sz w:val="24"/>
    </w:rPr>
  </w:style>
  <w:style w:type="paragraph" w:customStyle="1" w:styleId="Titreobjet">
    <w:name w:val="Titre objet"/>
    <w:basedOn w:val="Normlny"/>
    <w:next w:val="Normlny"/>
    <w:rsid w:val="00D97749"/>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lny"/>
    <w:next w:val="Titreobjet"/>
    <w:rsid w:val="00D97749"/>
    <w:pPr>
      <w:spacing w:before="360" w:after="0" w:line="240" w:lineRule="auto"/>
      <w:jc w:val="center"/>
    </w:pPr>
    <w:rPr>
      <w:rFonts w:ascii="Times New Roman" w:hAnsi="Times New Roman" w:cs="Times New Roman"/>
      <w:b/>
      <w:sz w:val="24"/>
    </w:rPr>
  </w:style>
  <w:style w:type="paragraph" w:styleId="Textpoznmkypodiarou">
    <w:name w:val="footnote text"/>
    <w:basedOn w:val="Normlny"/>
    <w:link w:val="TextpoznmkypodiarouChar"/>
    <w:uiPriority w:val="99"/>
    <w:semiHidden/>
    <w:unhideWhenUsed/>
    <w:rsid w:val="00FB1768"/>
    <w:pPr>
      <w:spacing w:after="0" w:line="240" w:lineRule="auto"/>
      <w:ind w:left="720" w:hanging="720"/>
      <w:jc w:val="both"/>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FB1768"/>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FB1768"/>
    <w:rPr>
      <w:shd w:val="clear" w:color="auto" w:fill="auto"/>
      <w:vertAlign w:val="superscript"/>
    </w:rPr>
  </w:style>
  <w:style w:type="paragraph" w:customStyle="1" w:styleId="Bullet0">
    <w:name w:val="Bullet 0"/>
    <w:basedOn w:val="Normlny"/>
    <w:rsid w:val="006466C6"/>
    <w:pPr>
      <w:numPr>
        <w:numId w:val="5"/>
      </w:numPr>
      <w:spacing w:before="120" w:after="120" w:line="240" w:lineRule="auto"/>
      <w:jc w:val="both"/>
    </w:pPr>
    <w:rPr>
      <w:rFonts w:ascii="Times New Roman" w:hAnsi="Times New Roman" w:cs="Times New Roman"/>
      <w:sz w:val="24"/>
    </w:rPr>
  </w:style>
  <w:style w:type="paragraph" w:customStyle="1" w:styleId="Point1">
    <w:name w:val="Point 1"/>
    <w:basedOn w:val="Normlny"/>
    <w:rsid w:val="00C23DB2"/>
    <w:pPr>
      <w:spacing w:before="120" w:after="120" w:line="240" w:lineRule="auto"/>
      <w:ind w:left="1417" w:hanging="567"/>
      <w:jc w:val="both"/>
    </w:pPr>
    <w:rPr>
      <w:rFonts w:ascii="Times New Roman" w:hAnsi="Times New Roman" w:cs="Times New Roman"/>
      <w:sz w:val="24"/>
    </w:rPr>
  </w:style>
  <w:style w:type="paragraph" w:customStyle="1" w:styleId="ManualNumPar1">
    <w:name w:val="Manual NumPar 1"/>
    <w:basedOn w:val="Normlny"/>
    <w:next w:val="Normlny"/>
    <w:rsid w:val="00C23DB2"/>
    <w:pPr>
      <w:spacing w:before="120" w:after="120" w:line="240" w:lineRule="auto"/>
      <w:ind w:left="850" w:hanging="850"/>
      <w:jc w:val="both"/>
    </w:pPr>
    <w:rPr>
      <w:rFonts w:ascii="Times New Roman" w:hAnsi="Times New Roman" w:cs="Times New Roman"/>
      <w:sz w:val="24"/>
    </w:rPr>
  </w:style>
  <w:style w:type="table" w:styleId="Mriekatabuky">
    <w:name w:val="Table Grid"/>
    <w:basedOn w:val="Normlnatabuka"/>
    <w:uiPriority w:val="59"/>
    <w:rsid w:val="004C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C63E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63E7"/>
    <w:rPr>
      <w:rFonts w:ascii="Tahoma" w:hAnsi="Tahoma" w:cs="Tahoma"/>
      <w:sz w:val="16"/>
      <w:szCs w:val="16"/>
    </w:rPr>
  </w:style>
  <w:style w:type="character" w:styleId="Hypertextovprepojenie">
    <w:name w:val="Hyperlink"/>
    <w:basedOn w:val="Predvolenpsmoodseku"/>
    <w:uiPriority w:val="99"/>
    <w:semiHidden/>
    <w:unhideWhenUsed/>
    <w:rsid w:val="002C563A"/>
    <w:rPr>
      <w:strike w:val="0"/>
      <w:dstrike w:val="0"/>
      <w:color w:val="0000FF"/>
      <w:u w:val="none"/>
      <w:effect w:val="none"/>
    </w:rPr>
  </w:style>
  <w:style w:type="paragraph" w:customStyle="1" w:styleId="Default">
    <w:name w:val="Default"/>
    <w:rsid w:val="008C4BD1"/>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DB0B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0BAA"/>
  </w:style>
  <w:style w:type="paragraph" w:styleId="Pta">
    <w:name w:val="footer"/>
    <w:basedOn w:val="Normlny"/>
    <w:link w:val="PtaChar"/>
    <w:uiPriority w:val="99"/>
    <w:unhideWhenUsed/>
    <w:rsid w:val="00DB0BAA"/>
    <w:pPr>
      <w:tabs>
        <w:tab w:val="center" w:pos="4536"/>
        <w:tab w:val="right" w:pos="9072"/>
      </w:tabs>
      <w:spacing w:after="0" w:line="240" w:lineRule="auto"/>
    </w:pPr>
  </w:style>
  <w:style w:type="character" w:customStyle="1" w:styleId="PtaChar">
    <w:name w:val="Päta Char"/>
    <w:basedOn w:val="Predvolenpsmoodseku"/>
    <w:link w:val="Pta"/>
    <w:uiPriority w:val="99"/>
    <w:rsid w:val="00DB0BAA"/>
  </w:style>
  <w:style w:type="paragraph" w:customStyle="1" w:styleId="Text1">
    <w:name w:val="Text 1"/>
    <w:basedOn w:val="Normlny"/>
    <w:rsid w:val="006E358E"/>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ListDash1">
    <w:name w:val="List Dash 1"/>
    <w:basedOn w:val="Normlny"/>
    <w:rsid w:val="00362AB6"/>
    <w:pPr>
      <w:numPr>
        <w:numId w:val="22"/>
      </w:numPr>
      <w:spacing w:before="120" w:after="120" w:line="240" w:lineRule="auto"/>
      <w:jc w:val="both"/>
    </w:pPr>
    <w:rPr>
      <w:rFonts w:ascii="Times New Roman" w:eastAsia="Times New Roman" w:hAnsi="Times New Roman" w:cs="Times New Roman"/>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2DD8"/>
  </w:style>
  <w:style w:type="paragraph" w:styleId="Nadpis3">
    <w:name w:val="heading 3"/>
    <w:basedOn w:val="Normlny"/>
    <w:link w:val="Nadpis3Char"/>
    <w:uiPriority w:val="9"/>
    <w:qFormat/>
    <w:rsid w:val="009F6E2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9F6E2D"/>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9F6E2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F6E2D"/>
    <w:pPr>
      <w:ind w:left="720"/>
      <w:contextualSpacing/>
    </w:pPr>
  </w:style>
  <w:style w:type="paragraph" w:customStyle="1" w:styleId="Statut">
    <w:name w:val="Statut"/>
    <w:basedOn w:val="Normlny"/>
    <w:next w:val="Typedudocument"/>
    <w:rsid w:val="00D97749"/>
    <w:pPr>
      <w:spacing w:before="360" w:after="0" w:line="240" w:lineRule="auto"/>
      <w:jc w:val="center"/>
    </w:pPr>
    <w:rPr>
      <w:rFonts w:ascii="Times New Roman" w:hAnsi="Times New Roman" w:cs="Times New Roman"/>
      <w:sz w:val="24"/>
    </w:rPr>
  </w:style>
  <w:style w:type="paragraph" w:customStyle="1" w:styleId="Titreobjet">
    <w:name w:val="Titre objet"/>
    <w:basedOn w:val="Normlny"/>
    <w:next w:val="Normlny"/>
    <w:rsid w:val="00D97749"/>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lny"/>
    <w:next w:val="Titreobjet"/>
    <w:rsid w:val="00D97749"/>
    <w:pPr>
      <w:spacing w:before="360" w:after="0" w:line="240" w:lineRule="auto"/>
      <w:jc w:val="center"/>
    </w:pPr>
    <w:rPr>
      <w:rFonts w:ascii="Times New Roman" w:hAnsi="Times New Roman" w:cs="Times New Roman"/>
      <w:b/>
      <w:sz w:val="24"/>
    </w:rPr>
  </w:style>
  <w:style w:type="paragraph" w:styleId="Textpoznmkypodiarou">
    <w:name w:val="footnote text"/>
    <w:basedOn w:val="Normlny"/>
    <w:link w:val="TextpoznmkypodiarouChar"/>
    <w:uiPriority w:val="99"/>
    <w:semiHidden/>
    <w:unhideWhenUsed/>
    <w:rsid w:val="00FB1768"/>
    <w:pPr>
      <w:spacing w:after="0" w:line="240" w:lineRule="auto"/>
      <w:ind w:left="720" w:hanging="720"/>
      <w:jc w:val="both"/>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FB1768"/>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FB1768"/>
    <w:rPr>
      <w:shd w:val="clear" w:color="auto" w:fill="auto"/>
      <w:vertAlign w:val="superscript"/>
    </w:rPr>
  </w:style>
  <w:style w:type="paragraph" w:customStyle="1" w:styleId="Bullet0">
    <w:name w:val="Bullet 0"/>
    <w:basedOn w:val="Normlny"/>
    <w:rsid w:val="006466C6"/>
    <w:pPr>
      <w:numPr>
        <w:numId w:val="5"/>
      </w:numPr>
      <w:spacing w:before="120" w:after="120" w:line="240" w:lineRule="auto"/>
      <w:jc w:val="both"/>
    </w:pPr>
    <w:rPr>
      <w:rFonts w:ascii="Times New Roman" w:hAnsi="Times New Roman" w:cs="Times New Roman"/>
      <w:sz w:val="24"/>
    </w:rPr>
  </w:style>
  <w:style w:type="paragraph" w:customStyle="1" w:styleId="Point1">
    <w:name w:val="Point 1"/>
    <w:basedOn w:val="Normlny"/>
    <w:rsid w:val="00C23DB2"/>
    <w:pPr>
      <w:spacing w:before="120" w:after="120" w:line="240" w:lineRule="auto"/>
      <w:ind w:left="1417" w:hanging="567"/>
      <w:jc w:val="both"/>
    </w:pPr>
    <w:rPr>
      <w:rFonts w:ascii="Times New Roman" w:hAnsi="Times New Roman" w:cs="Times New Roman"/>
      <w:sz w:val="24"/>
    </w:rPr>
  </w:style>
  <w:style w:type="paragraph" w:customStyle="1" w:styleId="ManualNumPar1">
    <w:name w:val="Manual NumPar 1"/>
    <w:basedOn w:val="Normlny"/>
    <w:next w:val="Normlny"/>
    <w:rsid w:val="00C23DB2"/>
    <w:pPr>
      <w:spacing w:before="120" w:after="120" w:line="240" w:lineRule="auto"/>
      <w:ind w:left="850" w:hanging="850"/>
      <w:jc w:val="both"/>
    </w:pPr>
    <w:rPr>
      <w:rFonts w:ascii="Times New Roman" w:hAnsi="Times New Roman" w:cs="Times New Roman"/>
      <w:sz w:val="24"/>
    </w:rPr>
  </w:style>
  <w:style w:type="table" w:styleId="Mriekatabuky">
    <w:name w:val="Table Grid"/>
    <w:basedOn w:val="Normlnatabuka"/>
    <w:uiPriority w:val="59"/>
    <w:rsid w:val="004C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C63E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63E7"/>
    <w:rPr>
      <w:rFonts w:ascii="Tahoma" w:hAnsi="Tahoma" w:cs="Tahoma"/>
      <w:sz w:val="16"/>
      <w:szCs w:val="16"/>
    </w:rPr>
  </w:style>
  <w:style w:type="character" w:styleId="Hypertextovprepojenie">
    <w:name w:val="Hyperlink"/>
    <w:basedOn w:val="Predvolenpsmoodseku"/>
    <w:uiPriority w:val="99"/>
    <w:semiHidden/>
    <w:unhideWhenUsed/>
    <w:rsid w:val="002C563A"/>
    <w:rPr>
      <w:strike w:val="0"/>
      <w:dstrike w:val="0"/>
      <w:color w:val="0000FF"/>
      <w:u w:val="none"/>
      <w:effect w:val="none"/>
    </w:rPr>
  </w:style>
  <w:style w:type="paragraph" w:customStyle="1" w:styleId="Default">
    <w:name w:val="Default"/>
    <w:rsid w:val="008C4BD1"/>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DB0B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0BAA"/>
  </w:style>
  <w:style w:type="paragraph" w:styleId="Pta">
    <w:name w:val="footer"/>
    <w:basedOn w:val="Normlny"/>
    <w:link w:val="PtaChar"/>
    <w:uiPriority w:val="99"/>
    <w:unhideWhenUsed/>
    <w:rsid w:val="00DB0BAA"/>
    <w:pPr>
      <w:tabs>
        <w:tab w:val="center" w:pos="4536"/>
        <w:tab w:val="right" w:pos="9072"/>
      </w:tabs>
      <w:spacing w:after="0" w:line="240" w:lineRule="auto"/>
    </w:pPr>
  </w:style>
  <w:style w:type="character" w:customStyle="1" w:styleId="PtaChar">
    <w:name w:val="Päta Char"/>
    <w:basedOn w:val="Predvolenpsmoodseku"/>
    <w:link w:val="Pta"/>
    <w:uiPriority w:val="99"/>
    <w:rsid w:val="00DB0BAA"/>
  </w:style>
  <w:style w:type="paragraph" w:customStyle="1" w:styleId="Text1">
    <w:name w:val="Text 1"/>
    <w:basedOn w:val="Normlny"/>
    <w:rsid w:val="006E358E"/>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ListDash1">
    <w:name w:val="List Dash 1"/>
    <w:basedOn w:val="Normlny"/>
    <w:rsid w:val="00362AB6"/>
    <w:pPr>
      <w:numPr>
        <w:numId w:val="22"/>
      </w:numPr>
      <w:spacing w:before="120" w:after="120" w:line="240" w:lineRule="auto"/>
      <w:jc w:val="both"/>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0090">
      <w:bodyDiv w:val="1"/>
      <w:marLeft w:val="0"/>
      <w:marRight w:val="0"/>
      <w:marTop w:val="0"/>
      <w:marBottom w:val="0"/>
      <w:divBdr>
        <w:top w:val="none" w:sz="0" w:space="0" w:color="auto"/>
        <w:left w:val="none" w:sz="0" w:space="0" w:color="auto"/>
        <w:bottom w:val="none" w:sz="0" w:space="0" w:color="auto"/>
        <w:right w:val="none" w:sz="0" w:space="0" w:color="auto"/>
      </w:divBdr>
    </w:div>
    <w:div w:id="1741751002">
      <w:bodyDiv w:val="1"/>
      <w:marLeft w:val="0"/>
      <w:marRight w:val="0"/>
      <w:marTop w:val="0"/>
      <w:marBottom w:val="0"/>
      <w:divBdr>
        <w:top w:val="none" w:sz="0" w:space="0" w:color="auto"/>
        <w:left w:val="none" w:sz="0" w:space="0" w:color="auto"/>
        <w:bottom w:val="none" w:sz="0" w:space="0" w:color="auto"/>
        <w:right w:val="none" w:sz="0" w:space="0" w:color="auto"/>
      </w:divBdr>
      <w:divsChild>
        <w:div w:id="142121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BD47-5942-474C-A5FE-34544C8E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6056</Words>
  <Characters>34521</Characters>
  <Application>Microsoft Office Word</Application>
  <DocSecurity>4</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Benovicsová Alexandra</dc:creator>
  <cp:lastModifiedBy>Pindiaková Dana</cp:lastModifiedBy>
  <cp:revision>2</cp:revision>
  <cp:lastPrinted>2018-08-08T11:03:00Z</cp:lastPrinted>
  <dcterms:created xsi:type="dcterms:W3CDTF">2018-09-05T07:32:00Z</dcterms:created>
  <dcterms:modified xsi:type="dcterms:W3CDTF">2018-09-05T07:32:00Z</dcterms:modified>
</cp:coreProperties>
</file>