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37DEA" w14:textId="77777777" w:rsidR="00E36605" w:rsidRPr="00643861" w:rsidRDefault="00E36605" w:rsidP="00E36605">
      <w:pPr>
        <w:jc w:val="center"/>
        <w:rPr>
          <w:b/>
        </w:rPr>
      </w:pPr>
      <w:bookmarkStart w:id="0" w:name="_GoBack"/>
      <w:bookmarkEnd w:id="0"/>
      <w:r w:rsidRPr="00643861">
        <w:rPr>
          <w:b/>
        </w:rPr>
        <w:t>Ministerstvo dopravy a výstavby Slovenskej republiky</w:t>
      </w:r>
    </w:p>
    <w:p w14:paraId="345E9DC7" w14:textId="77777777" w:rsidR="00E36605" w:rsidRPr="00643861" w:rsidRDefault="00E36605" w:rsidP="00E36605">
      <w:pPr>
        <w:jc w:val="center"/>
        <w:rPr>
          <w:b/>
        </w:rPr>
      </w:pPr>
    </w:p>
    <w:p w14:paraId="1EA3EA1F" w14:textId="77777777" w:rsidR="00E36605" w:rsidRPr="00643861" w:rsidRDefault="00E36605" w:rsidP="00E36605">
      <w:pPr>
        <w:jc w:val="center"/>
        <w:rPr>
          <w:b/>
        </w:rPr>
      </w:pPr>
    </w:p>
    <w:p w14:paraId="11597411" w14:textId="77777777" w:rsidR="00E36605" w:rsidRPr="00643861" w:rsidRDefault="00E36605" w:rsidP="00E36605">
      <w:pPr>
        <w:jc w:val="center"/>
        <w:rPr>
          <w:b/>
        </w:rPr>
      </w:pPr>
    </w:p>
    <w:p w14:paraId="2CD7BCC7" w14:textId="77777777" w:rsidR="00E36605" w:rsidRPr="00643861" w:rsidRDefault="00E36605" w:rsidP="00E36605">
      <w:pPr>
        <w:jc w:val="center"/>
        <w:rPr>
          <w:b/>
        </w:rPr>
      </w:pPr>
    </w:p>
    <w:p w14:paraId="6B71DDD4" w14:textId="77777777" w:rsidR="00E36605" w:rsidRPr="00643861" w:rsidRDefault="00E36605" w:rsidP="00E36605">
      <w:pPr>
        <w:jc w:val="center"/>
        <w:rPr>
          <w:b/>
        </w:rPr>
      </w:pPr>
    </w:p>
    <w:p w14:paraId="0A580F6C" w14:textId="77777777" w:rsidR="00E36605" w:rsidRPr="00643861" w:rsidRDefault="00E36605" w:rsidP="00E36605">
      <w:pPr>
        <w:jc w:val="center"/>
        <w:rPr>
          <w:b/>
        </w:rPr>
      </w:pPr>
    </w:p>
    <w:p w14:paraId="6F544A05" w14:textId="77777777" w:rsidR="00E36605" w:rsidRPr="00643861" w:rsidRDefault="00E36605" w:rsidP="00E36605">
      <w:pPr>
        <w:jc w:val="center"/>
        <w:rPr>
          <w:b/>
        </w:rPr>
      </w:pPr>
    </w:p>
    <w:p w14:paraId="0FA88CF8" w14:textId="77777777" w:rsidR="00E36605" w:rsidRPr="00643861" w:rsidRDefault="00E36605" w:rsidP="00E36605">
      <w:pPr>
        <w:jc w:val="center"/>
        <w:rPr>
          <w:b/>
        </w:rPr>
      </w:pPr>
    </w:p>
    <w:p w14:paraId="5034AFD4" w14:textId="77777777" w:rsidR="00E36605" w:rsidRPr="00643861" w:rsidRDefault="00E36605" w:rsidP="00E36605">
      <w:pPr>
        <w:jc w:val="center"/>
        <w:rPr>
          <w:b/>
        </w:rPr>
      </w:pPr>
    </w:p>
    <w:p w14:paraId="104A3887" w14:textId="77777777" w:rsidR="00E36605" w:rsidRPr="00643861" w:rsidRDefault="00E36605" w:rsidP="00E36605">
      <w:pPr>
        <w:jc w:val="center"/>
        <w:rPr>
          <w:b/>
        </w:rPr>
      </w:pPr>
    </w:p>
    <w:p w14:paraId="637260E2" w14:textId="77777777" w:rsidR="00E36605" w:rsidRPr="00643861" w:rsidRDefault="00E36605" w:rsidP="00E36605">
      <w:pPr>
        <w:jc w:val="center"/>
        <w:rPr>
          <w:b/>
        </w:rPr>
      </w:pPr>
    </w:p>
    <w:p w14:paraId="2822DA01" w14:textId="77777777" w:rsidR="000B0D1A" w:rsidRPr="00643861" w:rsidRDefault="000B0D1A" w:rsidP="00E36605">
      <w:pPr>
        <w:jc w:val="center"/>
        <w:rPr>
          <w:b/>
        </w:rPr>
      </w:pPr>
    </w:p>
    <w:p w14:paraId="35FBA701" w14:textId="77777777" w:rsidR="00E36605" w:rsidRPr="00643861" w:rsidRDefault="00E36605" w:rsidP="00E36605">
      <w:pPr>
        <w:jc w:val="center"/>
        <w:rPr>
          <w:b/>
        </w:rPr>
      </w:pPr>
    </w:p>
    <w:p w14:paraId="1242903B" w14:textId="77777777" w:rsidR="00E36605" w:rsidRPr="00643861" w:rsidRDefault="00E36605" w:rsidP="00E36605">
      <w:pPr>
        <w:jc w:val="center"/>
        <w:rPr>
          <w:b/>
        </w:rPr>
      </w:pPr>
    </w:p>
    <w:p w14:paraId="0A6744B9" w14:textId="77777777" w:rsidR="00E36605" w:rsidRPr="00643861" w:rsidRDefault="00E36605" w:rsidP="00E36605">
      <w:pPr>
        <w:jc w:val="center"/>
        <w:rPr>
          <w:b/>
        </w:rPr>
      </w:pPr>
    </w:p>
    <w:p w14:paraId="36C43118" w14:textId="77777777" w:rsidR="00E36605" w:rsidRPr="00643861" w:rsidRDefault="00E36605" w:rsidP="00E36605">
      <w:pPr>
        <w:jc w:val="center"/>
        <w:rPr>
          <w:b/>
        </w:rPr>
      </w:pPr>
    </w:p>
    <w:p w14:paraId="1F9C2EED" w14:textId="77777777" w:rsidR="00E36605" w:rsidRPr="00643861" w:rsidRDefault="00E36605" w:rsidP="00E36605">
      <w:pPr>
        <w:jc w:val="center"/>
        <w:rPr>
          <w:b/>
        </w:rPr>
      </w:pPr>
    </w:p>
    <w:p w14:paraId="45C0FF55" w14:textId="77777777" w:rsidR="00E36605" w:rsidRPr="00643861" w:rsidRDefault="00E36605" w:rsidP="00E36605">
      <w:pPr>
        <w:jc w:val="center"/>
        <w:rPr>
          <w:b/>
        </w:rPr>
      </w:pPr>
    </w:p>
    <w:p w14:paraId="1810336D" w14:textId="77777777" w:rsidR="00E36605" w:rsidRPr="00643861" w:rsidRDefault="00E36605" w:rsidP="00E36605">
      <w:pPr>
        <w:jc w:val="center"/>
        <w:rPr>
          <w:b/>
        </w:rPr>
      </w:pPr>
    </w:p>
    <w:p w14:paraId="4091A461" w14:textId="77777777" w:rsidR="00E36605" w:rsidRPr="00643861" w:rsidRDefault="00E36605" w:rsidP="00E36605">
      <w:pPr>
        <w:jc w:val="center"/>
        <w:rPr>
          <w:b/>
        </w:rPr>
      </w:pPr>
    </w:p>
    <w:p w14:paraId="2E5BF787" w14:textId="77777777" w:rsidR="00E36605" w:rsidRPr="00643861" w:rsidRDefault="00E36605" w:rsidP="00E36605">
      <w:pPr>
        <w:jc w:val="center"/>
        <w:rPr>
          <w:b/>
        </w:rPr>
      </w:pPr>
      <w:r w:rsidRPr="00643861">
        <w:rPr>
          <w:b/>
          <w:bCs/>
          <w:sz w:val="36"/>
          <w:szCs w:val="36"/>
        </w:rPr>
        <w:t>Riadne predbežné stanovisko Slovenskej republiky</w:t>
      </w:r>
    </w:p>
    <w:p w14:paraId="1933CB2A" w14:textId="77777777" w:rsidR="00E36605" w:rsidRPr="00643861" w:rsidRDefault="00E36605" w:rsidP="00E36605">
      <w:pPr>
        <w:spacing w:before="60"/>
        <w:rPr>
          <w:b/>
          <w:bCs/>
          <w:sz w:val="36"/>
          <w:szCs w:val="36"/>
        </w:rPr>
      </w:pPr>
    </w:p>
    <w:p w14:paraId="7305CAEB" w14:textId="48918826" w:rsidR="00E36605" w:rsidRPr="00643861" w:rsidRDefault="00E36605" w:rsidP="00E36605">
      <w:pPr>
        <w:spacing w:before="60"/>
        <w:jc w:val="center"/>
      </w:pPr>
      <w:r w:rsidRPr="00643861">
        <w:rPr>
          <w:lang w:eastAsia="en-US"/>
        </w:rPr>
        <w:t xml:space="preserve">k návrhu nariadenia Európskeho parlamentu a Rady, </w:t>
      </w:r>
      <w:r w:rsidR="009B4E84" w:rsidRPr="00643861">
        <w:rPr>
          <w:lang w:eastAsia="en-US"/>
        </w:rPr>
        <w:t>ktorým sa mení nariadenie (ES) č. 1073/2009 o spoločných pravidlách prístupu na medzinárodný trh autokarovej a autobusovej dopravy</w:t>
      </w:r>
    </w:p>
    <w:p w14:paraId="40469035" w14:textId="77777777" w:rsidR="00E36605" w:rsidRPr="00643861" w:rsidRDefault="00E36605" w:rsidP="00E36605">
      <w:pPr>
        <w:spacing w:before="480"/>
        <w:jc w:val="center"/>
        <w:rPr>
          <w:b/>
          <w:bCs/>
        </w:rPr>
      </w:pPr>
    </w:p>
    <w:p w14:paraId="6E171E3D" w14:textId="77777777" w:rsidR="00E36605" w:rsidRPr="00643861" w:rsidRDefault="00E36605" w:rsidP="00E36605">
      <w:pPr>
        <w:jc w:val="center"/>
      </w:pPr>
    </w:p>
    <w:p w14:paraId="0918AB97" w14:textId="77777777" w:rsidR="00E36605" w:rsidRPr="00643861" w:rsidRDefault="00E36605" w:rsidP="00E36605"/>
    <w:p w14:paraId="127B6ACB" w14:textId="77777777" w:rsidR="00E36605" w:rsidRPr="00643861" w:rsidRDefault="00E36605" w:rsidP="00E36605"/>
    <w:p w14:paraId="23BCA44C" w14:textId="77777777" w:rsidR="00E36605" w:rsidRPr="00643861" w:rsidRDefault="00E36605" w:rsidP="00E36605"/>
    <w:p w14:paraId="16F7B414" w14:textId="77777777" w:rsidR="00E36605" w:rsidRPr="00643861" w:rsidRDefault="00E36605" w:rsidP="00E36605"/>
    <w:p w14:paraId="37C42D25" w14:textId="77777777" w:rsidR="00E36605" w:rsidRPr="00643861" w:rsidRDefault="00E36605" w:rsidP="00E36605"/>
    <w:p w14:paraId="7C04C206" w14:textId="77777777" w:rsidR="00E36605" w:rsidRPr="00643861" w:rsidRDefault="00E36605" w:rsidP="00E36605"/>
    <w:p w14:paraId="5D945B5C" w14:textId="77777777" w:rsidR="00E36605" w:rsidRPr="00643861" w:rsidRDefault="00E36605" w:rsidP="00E36605"/>
    <w:p w14:paraId="2FC66A9F" w14:textId="77777777" w:rsidR="00E36605" w:rsidRPr="00643861" w:rsidRDefault="00E36605" w:rsidP="00E36605"/>
    <w:p w14:paraId="512CDD25" w14:textId="77777777" w:rsidR="00E36605" w:rsidRPr="00643861" w:rsidRDefault="00E36605" w:rsidP="00E36605"/>
    <w:p w14:paraId="412CAFEE" w14:textId="77777777" w:rsidR="00E36605" w:rsidRPr="00643861" w:rsidRDefault="00E36605" w:rsidP="00E36605"/>
    <w:p w14:paraId="6A660EFB" w14:textId="77777777" w:rsidR="00E36605" w:rsidRPr="00643861" w:rsidRDefault="00E36605" w:rsidP="00E36605"/>
    <w:p w14:paraId="6859A4FF" w14:textId="77777777" w:rsidR="00E36605" w:rsidRPr="00643861" w:rsidRDefault="00E36605" w:rsidP="00E36605"/>
    <w:p w14:paraId="521BC777" w14:textId="77777777" w:rsidR="00E36605" w:rsidRPr="00643861" w:rsidRDefault="00E36605" w:rsidP="00E36605"/>
    <w:p w14:paraId="796FED99" w14:textId="77777777" w:rsidR="00E36605" w:rsidRPr="00643861" w:rsidRDefault="00E36605" w:rsidP="00E36605"/>
    <w:p w14:paraId="55FB10AD" w14:textId="77777777" w:rsidR="00E36605" w:rsidRPr="00643861" w:rsidRDefault="00E36605" w:rsidP="00E36605"/>
    <w:p w14:paraId="1BBB8DB3" w14:textId="77777777" w:rsidR="00E36605" w:rsidRPr="00643861" w:rsidRDefault="00E36605" w:rsidP="00E36605"/>
    <w:p w14:paraId="0537BF22" w14:textId="77777777" w:rsidR="00E36605" w:rsidRPr="00643861" w:rsidRDefault="00E36605" w:rsidP="00E36605"/>
    <w:p w14:paraId="46AC2A2F" w14:textId="77777777" w:rsidR="00E36605" w:rsidRPr="00643861" w:rsidRDefault="00E36605" w:rsidP="00E36605"/>
    <w:p w14:paraId="55DB14B4" w14:textId="76C50D99" w:rsidR="00E36605" w:rsidRPr="00643861" w:rsidRDefault="002A298F" w:rsidP="00E36605">
      <w:pPr>
        <w:jc w:val="center"/>
        <w:rPr>
          <w:b/>
        </w:rPr>
      </w:pPr>
      <w:r>
        <w:rPr>
          <w:b/>
        </w:rPr>
        <w:t>Febr</w:t>
      </w:r>
      <w:r w:rsidR="00162F4D">
        <w:rPr>
          <w:b/>
        </w:rPr>
        <w:t>uár 2018</w:t>
      </w:r>
    </w:p>
    <w:p w14:paraId="5BD2DA34" w14:textId="221B495A" w:rsidR="00E36605" w:rsidRPr="00643861" w:rsidRDefault="00E36605" w:rsidP="00E36605">
      <w:pPr>
        <w:pStyle w:val="Nadpis3"/>
        <w:pBdr>
          <w:top w:val="single" w:sz="4" w:space="1" w:color="auto"/>
          <w:left w:val="single" w:sz="4" w:space="4" w:color="auto"/>
          <w:bottom w:val="single" w:sz="4" w:space="1" w:color="auto"/>
          <w:right w:val="single" w:sz="4" w:space="4" w:color="auto"/>
        </w:pBdr>
        <w:shd w:val="clear" w:color="auto" w:fill="D9D9D9"/>
        <w:spacing w:line="276" w:lineRule="auto"/>
        <w:jc w:val="center"/>
        <w:rPr>
          <w:b w:val="0"/>
          <w:lang w:val="sk-SK"/>
        </w:rPr>
      </w:pPr>
      <w:r w:rsidRPr="00643861">
        <w:rPr>
          <w:sz w:val="26"/>
          <w:szCs w:val="26"/>
          <w:lang w:val="sk-SK"/>
        </w:rPr>
        <w:lastRenderedPageBreak/>
        <w:t xml:space="preserve">Riadne predbežné </w:t>
      </w:r>
      <w:r w:rsidR="008140FB" w:rsidRPr="00643861">
        <w:rPr>
          <w:sz w:val="26"/>
          <w:szCs w:val="26"/>
          <w:lang w:val="sk-SK"/>
        </w:rPr>
        <w:t>stanovisk</w:t>
      </w:r>
      <w:r w:rsidR="00EF5251" w:rsidRPr="00643861">
        <w:rPr>
          <w:sz w:val="26"/>
          <w:szCs w:val="26"/>
          <w:lang w:val="sk-SK"/>
        </w:rPr>
        <w:t>o</w:t>
      </w:r>
      <w:r w:rsidRPr="00643861">
        <w:rPr>
          <w:sz w:val="26"/>
          <w:szCs w:val="26"/>
          <w:lang w:val="sk-SK"/>
        </w:rPr>
        <w:t xml:space="preserve"> k návrhu nariadenia Európskeho parlamentu a Rady, </w:t>
      </w:r>
      <w:r w:rsidR="009B4E84" w:rsidRPr="00643861">
        <w:rPr>
          <w:sz w:val="26"/>
          <w:szCs w:val="26"/>
          <w:lang w:val="sk-SK"/>
        </w:rPr>
        <w:t>ktorým sa mení nariadenie (ES) č. 1073/2009 o spoločných pravidlách prístupu na medzinárodný trh autokarovej a autobusovej dopravy</w:t>
      </w:r>
    </w:p>
    <w:p w14:paraId="198343F5" w14:textId="77777777" w:rsidR="00E36605" w:rsidRPr="00643861" w:rsidRDefault="00E36605" w:rsidP="00E36605"/>
    <w:p w14:paraId="51517992" w14:textId="77777777" w:rsidR="007807A2" w:rsidRPr="00643861" w:rsidRDefault="007807A2" w:rsidP="007807A2"/>
    <w:p w14:paraId="3DB1AFBB" w14:textId="77777777" w:rsidR="007807A2" w:rsidRPr="00643861" w:rsidRDefault="007807A2" w:rsidP="007807A2">
      <w:pPr>
        <w:rPr>
          <w:b/>
          <w:u w:val="single"/>
        </w:rPr>
      </w:pPr>
      <w:r w:rsidRPr="00643861">
        <w:rPr>
          <w:b/>
        </w:rPr>
        <w:t xml:space="preserve">I.  </w:t>
      </w:r>
      <w:r w:rsidRPr="00643861">
        <w:rPr>
          <w:b/>
          <w:u w:val="single"/>
        </w:rPr>
        <w:t>VŠEOBECNÁ ČASŤ</w:t>
      </w:r>
    </w:p>
    <w:p w14:paraId="64AF5CAB" w14:textId="77777777" w:rsidR="007807A2" w:rsidRPr="00643861" w:rsidRDefault="007807A2" w:rsidP="007807A2">
      <w:pPr>
        <w:jc w:val="both"/>
        <w:rPr>
          <w:b/>
        </w:rPr>
      </w:pPr>
    </w:p>
    <w:p w14:paraId="3682EDC1" w14:textId="77777777" w:rsidR="007807A2" w:rsidRPr="00643861" w:rsidRDefault="007807A2" w:rsidP="007807A2">
      <w:pPr>
        <w:jc w:val="both"/>
        <w:rPr>
          <w:b/>
        </w:rPr>
      </w:pPr>
      <w:r w:rsidRPr="00643861">
        <w:rPr>
          <w:b/>
        </w:rPr>
        <w:t>1. Názov</w:t>
      </w:r>
    </w:p>
    <w:p w14:paraId="57E7D297" w14:textId="559793C9" w:rsidR="007807A2" w:rsidRPr="00643861" w:rsidRDefault="000E54E0" w:rsidP="00DB4EEA">
      <w:pPr>
        <w:spacing w:before="120"/>
        <w:jc w:val="both"/>
        <w:rPr>
          <w:u w:color="000000"/>
          <w:lang w:bidi="sk-SK"/>
        </w:rPr>
      </w:pPr>
      <w:r w:rsidRPr="00643861">
        <w:rPr>
          <w:u w:color="000000"/>
          <w:lang w:bidi="sk-SK"/>
        </w:rPr>
        <w:t xml:space="preserve">Návrh </w:t>
      </w:r>
      <w:r w:rsidR="009B4E84" w:rsidRPr="00643861">
        <w:rPr>
          <w:u w:color="000000"/>
          <w:lang w:bidi="sk-SK"/>
        </w:rPr>
        <w:t>nariadenia Európskeho parlamentu a Rady, ktorým sa mení nariadenie (ES) č. 1073/2009 o spoločných pravidlách prístupu na medzinárodný trh autokarovej a autobusovej dopravy</w:t>
      </w:r>
      <w:r w:rsidR="002257E7" w:rsidRPr="00643861">
        <w:rPr>
          <w:u w:color="000000"/>
          <w:lang w:bidi="sk-SK"/>
        </w:rPr>
        <w:t xml:space="preserve"> </w:t>
      </w:r>
      <w:r w:rsidR="00573643" w:rsidRPr="00643861">
        <w:rPr>
          <w:u w:color="000000"/>
          <w:lang w:bidi="sk-SK"/>
        </w:rPr>
        <w:t>(ďalej len „návrh“)</w:t>
      </w:r>
    </w:p>
    <w:p w14:paraId="7386BDA6" w14:textId="77777777" w:rsidR="007807A2" w:rsidRPr="00643861" w:rsidRDefault="007807A2" w:rsidP="007807A2">
      <w:pPr>
        <w:jc w:val="both"/>
      </w:pPr>
    </w:p>
    <w:p w14:paraId="13267E7F" w14:textId="77777777" w:rsidR="007807A2" w:rsidRPr="00643861" w:rsidRDefault="007807A2" w:rsidP="007807A2">
      <w:pPr>
        <w:jc w:val="both"/>
        <w:rPr>
          <w:b/>
        </w:rPr>
      </w:pPr>
      <w:r w:rsidRPr="00643861">
        <w:rPr>
          <w:b/>
        </w:rPr>
        <w:t>2. Číslo a dátum zverejnenia dokumentu EK</w:t>
      </w:r>
    </w:p>
    <w:p w14:paraId="46CF84E9" w14:textId="762BF07F" w:rsidR="007807A2" w:rsidRPr="00643861" w:rsidRDefault="00AD161D" w:rsidP="00DB4EEA">
      <w:pPr>
        <w:spacing w:before="120"/>
      </w:pPr>
      <w:r w:rsidRPr="00643861">
        <w:t>COM (2017</w:t>
      </w:r>
      <w:r w:rsidR="007807A2" w:rsidRPr="00643861">
        <w:t xml:space="preserve">) </w:t>
      </w:r>
      <w:r w:rsidR="009B4E84" w:rsidRPr="00643861">
        <w:t>647</w:t>
      </w:r>
      <w:r w:rsidR="007807A2" w:rsidRPr="00643861">
        <w:t xml:space="preserve"> </w:t>
      </w:r>
      <w:r w:rsidR="002257E7" w:rsidRPr="00643861">
        <w:t>final</w:t>
      </w:r>
      <w:r w:rsidR="007807A2" w:rsidRPr="00643861">
        <w:t xml:space="preserve"> </w:t>
      </w:r>
      <w:r w:rsidR="002257E7" w:rsidRPr="00643861">
        <w:t>–</w:t>
      </w:r>
      <w:r w:rsidR="007807A2" w:rsidRPr="00643861">
        <w:t xml:space="preserve"> </w:t>
      </w:r>
      <w:r w:rsidRPr="00643861">
        <w:rPr>
          <w:bCs/>
        </w:rPr>
        <w:t>2017</w:t>
      </w:r>
      <w:r w:rsidR="007807A2" w:rsidRPr="00643861">
        <w:rPr>
          <w:bCs/>
        </w:rPr>
        <w:t>/</w:t>
      </w:r>
      <w:r w:rsidR="009B4E84" w:rsidRPr="00643861">
        <w:rPr>
          <w:bCs/>
        </w:rPr>
        <w:t>0288</w:t>
      </w:r>
      <w:r w:rsidR="007807A2" w:rsidRPr="00643861">
        <w:rPr>
          <w:bCs/>
        </w:rPr>
        <w:t xml:space="preserve"> (COD) </w:t>
      </w:r>
      <w:r w:rsidR="009B4E84" w:rsidRPr="00643861">
        <w:rPr>
          <w:bCs/>
        </w:rPr>
        <w:t>10</w:t>
      </w:r>
      <w:r w:rsidR="009B4E84" w:rsidRPr="00643861">
        <w:t>.11</w:t>
      </w:r>
      <w:r w:rsidRPr="00643861">
        <w:t>.2017</w:t>
      </w:r>
      <w:r w:rsidR="007807A2" w:rsidRPr="00643861">
        <w:t xml:space="preserve"> </w:t>
      </w:r>
    </w:p>
    <w:p w14:paraId="222AB005" w14:textId="77777777" w:rsidR="007807A2" w:rsidRPr="00643861" w:rsidRDefault="007807A2" w:rsidP="007807A2">
      <w:pPr>
        <w:jc w:val="both"/>
      </w:pPr>
    </w:p>
    <w:p w14:paraId="5AAF6D55" w14:textId="77777777" w:rsidR="007807A2" w:rsidRPr="00643861" w:rsidRDefault="007807A2" w:rsidP="007807A2">
      <w:pPr>
        <w:spacing w:after="120"/>
        <w:jc w:val="both"/>
        <w:rPr>
          <w:b/>
        </w:rPr>
      </w:pPr>
      <w:r w:rsidRPr="00643861">
        <w:rPr>
          <w:b/>
        </w:rPr>
        <w:t>3. Označenie výboru alebo pracovnej skupiny</w:t>
      </w:r>
    </w:p>
    <w:p w14:paraId="17023497" w14:textId="406BF979" w:rsidR="005B29C2" w:rsidRPr="00643861" w:rsidRDefault="00215A34" w:rsidP="00DB4EEA">
      <w:pPr>
        <w:spacing w:before="120"/>
        <w:jc w:val="both"/>
      </w:pPr>
      <w:r w:rsidRPr="00643861">
        <w:t>Pracovná skupina Rady</w:t>
      </w:r>
      <w:r w:rsidR="005B29C2" w:rsidRPr="00643861">
        <w:t xml:space="preserve"> pre</w:t>
      </w:r>
      <w:r w:rsidRPr="00643861">
        <w:t xml:space="preserve"> pozemnú</w:t>
      </w:r>
      <w:r w:rsidR="005B29C2" w:rsidRPr="00643861">
        <w:t xml:space="preserve"> dopravu</w:t>
      </w:r>
    </w:p>
    <w:p w14:paraId="4AA84F1C" w14:textId="77777777" w:rsidR="007807A2" w:rsidRPr="00643861" w:rsidRDefault="007807A2" w:rsidP="007807A2">
      <w:pPr>
        <w:jc w:val="both"/>
      </w:pPr>
    </w:p>
    <w:p w14:paraId="35EFBF3D" w14:textId="77777777" w:rsidR="007807A2" w:rsidRPr="00643861" w:rsidRDefault="007807A2" w:rsidP="007807A2">
      <w:pPr>
        <w:spacing w:after="120"/>
        <w:jc w:val="both"/>
        <w:rPr>
          <w:b/>
        </w:rPr>
      </w:pPr>
      <w:r w:rsidRPr="00643861">
        <w:rPr>
          <w:b/>
        </w:rPr>
        <w:t>4. Gestorský ústredný orgán štátnej správy</w:t>
      </w:r>
    </w:p>
    <w:p w14:paraId="49884760" w14:textId="77777777" w:rsidR="007807A2" w:rsidRPr="00643861" w:rsidRDefault="008D296F" w:rsidP="007807A2">
      <w:pPr>
        <w:jc w:val="both"/>
      </w:pPr>
      <w:r w:rsidRPr="00643861">
        <w:t>Ministerstvo dopravy a </w:t>
      </w:r>
      <w:r w:rsidR="007807A2" w:rsidRPr="00643861">
        <w:t>výstavby</w:t>
      </w:r>
      <w:r w:rsidRPr="00643861">
        <w:t xml:space="preserve"> </w:t>
      </w:r>
      <w:r w:rsidR="007807A2" w:rsidRPr="00643861">
        <w:t>Slovenskej republiky</w:t>
      </w:r>
    </w:p>
    <w:p w14:paraId="0C26FAE8" w14:textId="77777777" w:rsidR="007807A2" w:rsidRPr="00643861" w:rsidRDefault="007807A2" w:rsidP="007807A2">
      <w:pPr>
        <w:jc w:val="both"/>
      </w:pPr>
    </w:p>
    <w:p w14:paraId="4E743F44" w14:textId="77777777" w:rsidR="00C50BF2" w:rsidRPr="00643861" w:rsidRDefault="00C50BF2" w:rsidP="00C50BF2">
      <w:pPr>
        <w:tabs>
          <w:tab w:val="left" w:pos="3300"/>
        </w:tabs>
        <w:jc w:val="both"/>
      </w:pPr>
      <w:r w:rsidRPr="00643861">
        <w:t xml:space="preserve">Sekcia cestnej </w:t>
      </w:r>
      <w:r w:rsidR="00215A34" w:rsidRPr="00643861">
        <w:t>dopravy a pozemných komunikácií</w:t>
      </w:r>
    </w:p>
    <w:p w14:paraId="5CABFB41" w14:textId="77777777" w:rsidR="00C50BF2" w:rsidRPr="00643861" w:rsidRDefault="00215A34" w:rsidP="00C50BF2">
      <w:pPr>
        <w:tabs>
          <w:tab w:val="left" w:pos="3300"/>
        </w:tabs>
        <w:jc w:val="both"/>
      </w:pPr>
      <w:r w:rsidRPr="00643861">
        <w:t>Štátny dopravný úrad</w:t>
      </w:r>
    </w:p>
    <w:p w14:paraId="4CD2C780" w14:textId="77777777" w:rsidR="005B29C2" w:rsidRPr="00643861" w:rsidRDefault="00C50BF2" w:rsidP="00C50BF2">
      <w:pPr>
        <w:tabs>
          <w:tab w:val="left" w:pos="3300"/>
        </w:tabs>
        <w:jc w:val="both"/>
      </w:pPr>
      <w:r w:rsidRPr="00643861">
        <w:t xml:space="preserve">Ing. </w:t>
      </w:r>
      <w:r w:rsidR="0083276A" w:rsidRPr="00643861">
        <w:t>Marek Hudec</w:t>
      </w:r>
      <w:r w:rsidRPr="00643861">
        <w:t>, vedúci oddelen</w:t>
      </w:r>
      <w:r w:rsidR="005B29C2" w:rsidRPr="00643861">
        <w:t xml:space="preserve">ia, </w:t>
      </w:r>
      <w:hyperlink r:id="rId9" w:history="1">
        <w:r w:rsidR="0083276A" w:rsidRPr="00643861">
          <w:rPr>
            <w:rStyle w:val="Hypertextovprepojenie"/>
          </w:rPr>
          <w:t>marek.hudec@mindop.sk</w:t>
        </w:r>
      </w:hyperlink>
      <w:r w:rsidR="005B29C2" w:rsidRPr="00643861">
        <w:t>,</w:t>
      </w:r>
    </w:p>
    <w:p w14:paraId="4D3C6000" w14:textId="77777777" w:rsidR="007807A2" w:rsidRPr="00643861" w:rsidRDefault="00C50BF2" w:rsidP="00C50BF2">
      <w:pPr>
        <w:tabs>
          <w:tab w:val="left" w:pos="3300"/>
        </w:tabs>
        <w:jc w:val="both"/>
      </w:pPr>
      <w:r w:rsidRPr="00643861">
        <w:t xml:space="preserve">Ing. </w:t>
      </w:r>
      <w:r w:rsidR="0083276A" w:rsidRPr="00643861">
        <w:t>Hana Jurkovičová, PhD.</w:t>
      </w:r>
      <w:r w:rsidR="005B29C2" w:rsidRPr="00643861">
        <w:t xml:space="preserve">, </w:t>
      </w:r>
      <w:hyperlink r:id="rId10" w:history="1">
        <w:r w:rsidR="0083276A" w:rsidRPr="00643861">
          <w:rPr>
            <w:rStyle w:val="Hypertextovprepojenie"/>
          </w:rPr>
          <w:t>hana.jurkovicova@mindop.sk</w:t>
        </w:r>
      </w:hyperlink>
      <w:r w:rsidR="005B29C2" w:rsidRPr="00643861">
        <w:t xml:space="preserve"> </w:t>
      </w:r>
    </w:p>
    <w:p w14:paraId="203BCC6C" w14:textId="77777777" w:rsidR="00C50BF2" w:rsidRPr="00643861" w:rsidRDefault="00C50BF2" w:rsidP="00C50BF2">
      <w:pPr>
        <w:tabs>
          <w:tab w:val="left" w:pos="3300"/>
        </w:tabs>
        <w:jc w:val="both"/>
      </w:pPr>
    </w:p>
    <w:p w14:paraId="311E1EB5" w14:textId="77777777" w:rsidR="00946F16" w:rsidRPr="00643861" w:rsidRDefault="007807A2" w:rsidP="00946F16">
      <w:pPr>
        <w:spacing w:after="120"/>
        <w:jc w:val="both"/>
        <w:rPr>
          <w:b/>
        </w:rPr>
      </w:pPr>
      <w:r w:rsidRPr="00643861">
        <w:rPr>
          <w:b/>
        </w:rPr>
        <w:t>5. Charakteristika prijímaného aktu</w:t>
      </w:r>
    </w:p>
    <w:p w14:paraId="6B8CC691" w14:textId="77777777" w:rsidR="00417D0C" w:rsidRPr="00643861" w:rsidRDefault="00677601" w:rsidP="00677601">
      <w:pPr>
        <w:overflowPunct w:val="0"/>
        <w:autoSpaceDE w:val="0"/>
        <w:autoSpaceDN w:val="0"/>
        <w:adjustRightInd w:val="0"/>
        <w:jc w:val="both"/>
        <w:textAlignment w:val="baseline"/>
        <w:rPr>
          <w:bCs/>
        </w:rPr>
      </w:pPr>
      <w:r w:rsidRPr="00643861">
        <w:rPr>
          <w:bCs/>
        </w:rPr>
        <w:t xml:space="preserve">Legislatívny akt – </w:t>
      </w:r>
      <w:r w:rsidR="0083276A" w:rsidRPr="00643861">
        <w:rPr>
          <w:bCs/>
        </w:rPr>
        <w:t xml:space="preserve">nariadenie </w:t>
      </w:r>
      <w:r w:rsidRPr="00643861">
        <w:rPr>
          <w:bCs/>
        </w:rPr>
        <w:t>Európskeho parlamentu a</w:t>
      </w:r>
      <w:r w:rsidR="00F56F35" w:rsidRPr="00643861">
        <w:rPr>
          <w:bCs/>
        </w:rPr>
        <w:t> </w:t>
      </w:r>
      <w:r w:rsidRPr="00643861">
        <w:rPr>
          <w:bCs/>
        </w:rPr>
        <w:t>Rady</w:t>
      </w:r>
    </w:p>
    <w:p w14:paraId="12AA8717" w14:textId="77777777" w:rsidR="007807A2" w:rsidRPr="00643861" w:rsidRDefault="007807A2" w:rsidP="007807A2">
      <w:pPr>
        <w:jc w:val="both"/>
      </w:pPr>
    </w:p>
    <w:p w14:paraId="330D2BBD" w14:textId="77777777" w:rsidR="007807A2" w:rsidRPr="00643861" w:rsidRDefault="007807A2" w:rsidP="007807A2">
      <w:pPr>
        <w:spacing w:after="120"/>
        <w:jc w:val="both"/>
        <w:rPr>
          <w:b/>
        </w:rPr>
      </w:pPr>
      <w:r w:rsidRPr="00643861">
        <w:rPr>
          <w:b/>
        </w:rPr>
        <w:t>6. Metóda schvaľovania</w:t>
      </w:r>
    </w:p>
    <w:p w14:paraId="1B53B5D9" w14:textId="77777777" w:rsidR="007807A2" w:rsidRPr="00643861" w:rsidRDefault="007807A2" w:rsidP="007807A2">
      <w:r w:rsidRPr="00643861">
        <w:t>Rozhodovanie kvalifikovanou väčšin</w:t>
      </w:r>
      <w:r w:rsidR="0083276A" w:rsidRPr="00643861">
        <w:t xml:space="preserve">ou </w:t>
      </w:r>
      <w:r w:rsidR="00E23AA6" w:rsidRPr="00643861">
        <w:t>–</w:t>
      </w:r>
      <w:r w:rsidR="0083276A" w:rsidRPr="00643861">
        <w:t xml:space="preserve"> riadny legislatívny postup</w:t>
      </w:r>
    </w:p>
    <w:p w14:paraId="7574048B" w14:textId="77777777" w:rsidR="00946F16" w:rsidRPr="00643861" w:rsidRDefault="00946F16" w:rsidP="007807A2">
      <w:pPr>
        <w:jc w:val="both"/>
      </w:pPr>
    </w:p>
    <w:p w14:paraId="7EDF49F8" w14:textId="77777777" w:rsidR="007807A2" w:rsidRPr="00643861" w:rsidRDefault="007807A2" w:rsidP="007807A2">
      <w:pPr>
        <w:spacing w:after="120"/>
        <w:jc w:val="both"/>
        <w:rPr>
          <w:b/>
        </w:rPr>
      </w:pPr>
      <w:r w:rsidRPr="00643861">
        <w:rPr>
          <w:b/>
        </w:rPr>
        <w:t>7. Zhrnutie obsahu a cieľa návrhu</w:t>
      </w:r>
    </w:p>
    <w:p w14:paraId="7F7FFE25" w14:textId="6496F64F" w:rsidR="009B4E84" w:rsidRPr="00643861" w:rsidRDefault="009B4E84" w:rsidP="009B4E84">
      <w:pPr>
        <w:spacing w:before="120"/>
        <w:jc w:val="both"/>
        <w:rPr>
          <w:color w:val="000000"/>
          <w:u w:color="000000"/>
          <w:bdr w:val="nil"/>
        </w:rPr>
      </w:pPr>
      <w:r w:rsidRPr="00643861">
        <w:rPr>
          <w:color w:val="000000"/>
          <w:u w:color="000000"/>
          <w:bdr w:val="nil"/>
        </w:rPr>
        <w:t>Tento návrh je súčasťou druhého balíka mobility</w:t>
      </w:r>
      <w:r w:rsidR="00796AB5">
        <w:rPr>
          <w:color w:val="000000"/>
          <w:u w:color="000000"/>
          <w:bdr w:val="nil"/>
        </w:rPr>
        <w:t xml:space="preserve"> Európskej komisie</w:t>
      </w:r>
      <w:r w:rsidRPr="00643861">
        <w:rPr>
          <w:color w:val="000000"/>
          <w:u w:color="000000"/>
          <w:bdr w:val="nil"/>
        </w:rPr>
        <w:t xml:space="preserve">, ktorého zámerom je posilniť európsky priemysel a zvýšiť jeho konkurencieschopnosť, ako aj zlepšiť kvalitu života občanov a ich možnosť výberu v rámci každodennej mobility. Sloboda voľne sa pohybovať po území Európskej únie je jej zásadným úspechom. Vďaka tomu môžu občania bezproblémovo cestovať z jedného členského štátu do druhého, či už je to za prácou, alebo na dovolenku. Týmto návrhom </w:t>
      </w:r>
      <w:r w:rsidR="00453CB5" w:rsidRPr="00643861">
        <w:rPr>
          <w:color w:val="000000"/>
          <w:u w:color="000000"/>
          <w:bdr w:val="nil"/>
        </w:rPr>
        <w:t xml:space="preserve">by sa podľa zámeru Európskej komisie mohla </w:t>
      </w:r>
      <w:r w:rsidRPr="00643861">
        <w:rPr>
          <w:color w:val="000000"/>
          <w:u w:color="000000"/>
          <w:bdr w:val="nil"/>
        </w:rPr>
        <w:t>zlepš</w:t>
      </w:r>
      <w:r w:rsidR="00453CB5" w:rsidRPr="00643861">
        <w:rPr>
          <w:color w:val="000000"/>
          <w:u w:color="000000"/>
          <w:bdr w:val="nil"/>
        </w:rPr>
        <w:t>iť</w:t>
      </w:r>
      <w:r w:rsidRPr="00643861">
        <w:rPr>
          <w:color w:val="000000"/>
          <w:u w:color="000000"/>
          <w:bdr w:val="nil"/>
        </w:rPr>
        <w:t xml:space="preserve"> mobilita občanov na dlhé vzdialenosti a zvýši</w:t>
      </w:r>
      <w:r w:rsidR="00453CB5" w:rsidRPr="00643861">
        <w:rPr>
          <w:color w:val="000000"/>
          <w:u w:color="000000"/>
          <w:bdr w:val="nil"/>
        </w:rPr>
        <w:t>ť</w:t>
      </w:r>
      <w:r w:rsidRPr="00643861">
        <w:rPr>
          <w:color w:val="000000"/>
          <w:u w:color="000000"/>
          <w:bdr w:val="nil"/>
        </w:rPr>
        <w:t xml:space="preserve"> využívanie udržateľných druhov dopravy. </w:t>
      </w:r>
    </w:p>
    <w:p w14:paraId="6C45CA73" w14:textId="41308876" w:rsidR="009B4E84" w:rsidRPr="00643861" w:rsidRDefault="009B4E84" w:rsidP="009B4E84">
      <w:pPr>
        <w:spacing w:before="120"/>
        <w:jc w:val="both"/>
        <w:rPr>
          <w:color w:val="000000"/>
          <w:u w:color="000000"/>
          <w:bdr w:val="nil"/>
        </w:rPr>
      </w:pPr>
      <w:r w:rsidRPr="00643861">
        <w:rPr>
          <w:color w:val="000000"/>
          <w:u w:color="000000"/>
          <w:bdr w:val="nil"/>
        </w:rPr>
        <w:t xml:space="preserve">Nariadenie (ES) č. 1073/2009 o spoločných pravidlách prístupu na medzinárodný trh autokarovej a autobusovej dopravy a o zmene a doplnení nariadenia (ES) č. 561/2006  bolo prijaté v rámci legislatívneho balíka s nariadením č. 1071/2009 o prístupe k povolaniu prevádzkovateľa cestnej dopravy. Týmito dvomi nariadeniami sa spoločne regulujú podmienky prístupu k povolaniam a na trh v oblasti osobnej cestnej dopravy. Obe nariadenia prispievajú k </w:t>
      </w:r>
      <w:r w:rsidRPr="00643861">
        <w:rPr>
          <w:color w:val="000000"/>
          <w:u w:color="000000"/>
          <w:bdr w:val="nil"/>
        </w:rPr>
        <w:lastRenderedPageBreak/>
        <w:t>dobrému fungovaniu jednotného trhu cestnej dopravy, jeho efektívnosti a konkurencieschopnosti.</w:t>
      </w:r>
    </w:p>
    <w:p w14:paraId="4C74851A" w14:textId="10EF3F31" w:rsidR="009B4E84" w:rsidRPr="00643861" w:rsidRDefault="009B4E84" w:rsidP="009B4E84">
      <w:pPr>
        <w:spacing w:before="120"/>
        <w:jc w:val="both"/>
        <w:rPr>
          <w:color w:val="000000"/>
          <w:u w:color="000000"/>
          <w:bdr w:val="nil"/>
        </w:rPr>
      </w:pPr>
      <w:r w:rsidRPr="00643861">
        <w:rPr>
          <w:color w:val="000000"/>
          <w:u w:color="000000"/>
          <w:bdr w:val="nil"/>
        </w:rPr>
        <w:t>V nariadení (ES) č. 1073/2009 sa vymedzujú ustanovenia, ktoré musia dodržiavať podniky, ktoré chcú pôsobiť na medzinárodnom trhu osobnej cestnej dopravy a na ďalších národných trhoch okrem trhu vlastného členského štátu usadenia (čo je známe ako kabotáž). Obsahuje ustanovenia o dokumentoch, ktoré má týmto podnikom vydať členský štát registrácie (licencia Spoločenstva) a povoľujúci orgán (povolenie na vykonávanie pravidelnej dopravy). Ďalej obsahuje ustanovenia o sankciách za porušenie týchto povinností, ako aj ustanovenia o spolupráci medzi členskými štátmi.</w:t>
      </w:r>
    </w:p>
    <w:p w14:paraId="2A4C6797" w14:textId="2B6427A5" w:rsidR="0083276A" w:rsidRPr="00643861" w:rsidRDefault="009B4E84" w:rsidP="009B4E84">
      <w:pPr>
        <w:spacing w:before="120"/>
        <w:jc w:val="both"/>
        <w:rPr>
          <w:color w:val="000000"/>
          <w:u w:color="000000"/>
          <w:bdr w:val="nil"/>
        </w:rPr>
      </w:pPr>
      <w:r w:rsidRPr="00643861">
        <w:rPr>
          <w:color w:val="000000"/>
          <w:u w:color="000000"/>
          <w:bdr w:val="nil"/>
        </w:rPr>
        <w:t>V rokoch 2015 až 2017 sa vykonalo hodnotenie ex post nariadenia, pričom sa dospelo k záveru, že nariadením sa len čiastočne dosiahol pôvodný cieľ, ktorým bolo podporiť autobusovú a autokarovú dopravu ako udržateľnú alternatívu individuálnej automobilovej dopravy. Ako hlavné problémy boli určené prekážky na národných trhoch brzdiace rozvoj medzimestskej autokarovej a autobusovej dopravy a nízky podiel udržateľných druhov osobnej dopravy. Zámerom tohto návrhu, ktorý je iniciatívou regulačnej vhodnosti a efektívnosti (REFIT), je tieto nedostatky napraviť.</w:t>
      </w:r>
    </w:p>
    <w:p w14:paraId="502EC720" w14:textId="77777777" w:rsidR="00B72BB8" w:rsidRPr="00643861" w:rsidRDefault="00B72BB8" w:rsidP="00B72BB8">
      <w:pPr>
        <w:jc w:val="both"/>
      </w:pPr>
    </w:p>
    <w:p w14:paraId="2D99E41A" w14:textId="77777777" w:rsidR="007807A2" w:rsidRPr="00643861" w:rsidRDefault="007807A2" w:rsidP="007807A2">
      <w:pPr>
        <w:spacing w:after="120"/>
        <w:jc w:val="both"/>
        <w:rPr>
          <w:b/>
        </w:rPr>
      </w:pPr>
      <w:r w:rsidRPr="00643861">
        <w:rPr>
          <w:b/>
        </w:rPr>
        <w:t xml:space="preserve">8. Navrhovaný dátum implementácie </w:t>
      </w:r>
    </w:p>
    <w:p w14:paraId="03D08C3F" w14:textId="5D31B8C3" w:rsidR="00750548" w:rsidRPr="00643861" w:rsidRDefault="00522CAE" w:rsidP="00D86972">
      <w:pPr>
        <w:jc w:val="both"/>
        <w:rPr>
          <w:color w:val="000000"/>
          <w:u w:color="000000"/>
          <w:bdr w:val="nil"/>
        </w:rPr>
      </w:pPr>
      <w:r w:rsidRPr="00643861">
        <w:rPr>
          <w:color w:val="000000"/>
          <w:u w:color="000000"/>
          <w:bdr w:val="nil"/>
        </w:rPr>
        <w:t>Nariadenie</w:t>
      </w:r>
      <w:r w:rsidR="00D86972" w:rsidRPr="00643861">
        <w:rPr>
          <w:color w:val="000000"/>
          <w:u w:color="000000"/>
          <w:bdr w:val="nil"/>
        </w:rPr>
        <w:t xml:space="preserve"> nadobudne </w:t>
      </w:r>
      <w:r w:rsidRPr="00643861">
        <w:rPr>
          <w:color w:val="000000"/>
          <w:u w:color="000000"/>
          <w:bdr w:val="nil"/>
        </w:rPr>
        <w:t>účinnosť dvadsiatym dňom po jeho uverejnení v Úradnom vestníku Európskej únie</w:t>
      </w:r>
      <w:r w:rsidR="00215A34" w:rsidRPr="00643861">
        <w:rPr>
          <w:color w:val="000000"/>
          <w:u w:color="000000"/>
          <w:bdr w:val="nil"/>
        </w:rPr>
        <w:t>.</w:t>
      </w:r>
      <w:r w:rsidR="006B2199" w:rsidRPr="00643861">
        <w:rPr>
          <w:color w:val="000000"/>
          <w:u w:color="000000"/>
          <w:bdr w:val="nil"/>
        </w:rPr>
        <w:t xml:space="preserve"> Očakávame, že vzhľadom na spolurozhodovací proces nariadenie nado</w:t>
      </w:r>
      <w:r w:rsidR="000B0D1A" w:rsidRPr="00643861">
        <w:rPr>
          <w:color w:val="000000"/>
          <w:u w:color="000000"/>
          <w:bdr w:val="nil"/>
        </w:rPr>
        <w:t xml:space="preserve">budne účinnosť cca v roku 2019 – </w:t>
      </w:r>
      <w:r w:rsidR="006B2199" w:rsidRPr="00643861">
        <w:rPr>
          <w:color w:val="000000"/>
          <w:u w:color="000000"/>
          <w:bdr w:val="nil"/>
        </w:rPr>
        <w:t>2020.</w:t>
      </w:r>
    </w:p>
    <w:p w14:paraId="72A0F558" w14:textId="77777777" w:rsidR="007807A2" w:rsidRPr="00643861" w:rsidRDefault="007807A2" w:rsidP="007807A2">
      <w:pPr>
        <w:jc w:val="both"/>
        <w:rPr>
          <w:b/>
        </w:rPr>
      </w:pPr>
    </w:p>
    <w:p w14:paraId="23F13478" w14:textId="77777777" w:rsidR="007807A2" w:rsidRPr="00643861" w:rsidRDefault="007807A2" w:rsidP="007807A2">
      <w:pPr>
        <w:spacing w:after="120"/>
        <w:jc w:val="both"/>
        <w:rPr>
          <w:b/>
        </w:rPr>
      </w:pPr>
      <w:r w:rsidRPr="00643861">
        <w:rPr>
          <w:b/>
        </w:rPr>
        <w:t xml:space="preserve">9. Metóda transpozície do práva SR a predpokladaný dátum transpozície </w:t>
      </w:r>
    </w:p>
    <w:p w14:paraId="3620BD1E" w14:textId="77777777" w:rsidR="00E36605" w:rsidRPr="00643861" w:rsidRDefault="00522CAE" w:rsidP="007807A2">
      <w:pPr>
        <w:jc w:val="both"/>
      </w:pPr>
      <w:r w:rsidRPr="00643861">
        <w:t>Toto nariadenie je záväzné v celom rozsahu a priamo uplatniteľné vo všetkých členských štátoch.</w:t>
      </w:r>
      <w:r w:rsidR="00D93605" w:rsidRPr="00643861">
        <w:t xml:space="preserve"> Podľa finálneho znenia sa zváži potreba vykonať príslušné legislatívne opatrenia.</w:t>
      </w:r>
    </w:p>
    <w:p w14:paraId="7776B10A" w14:textId="2103FA79" w:rsidR="00522CAE" w:rsidRPr="00643861" w:rsidRDefault="00D93605" w:rsidP="007807A2">
      <w:pPr>
        <w:jc w:val="both"/>
      </w:pPr>
      <w:r w:rsidRPr="00643861" w:rsidDel="00D93605">
        <w:t xml:space="preserve"> </w:t>
      </w:r>
    </w:p>
    <w:p w14:paraId="1F72B77C" w14:textId="6B25528C" w:rsidR="007807A2" w:rsidRPr="00643861" w:rsidRDefault="007807A2" w:rsidP="007807A2">
      <w:pPr>
        <w:jc w:val="both"/>
        <w:rPr>
          <w:u w:val="single"/>
        </w:rPr>
      </w:pPr>
      <w:r w:rsidRPr="00643861">
        <w:rPr>
          <w:b/>
        </w:rPr>
        <w:t xml:space="preserve">II.  </w:t>
      </w:r>
      <w:r w:rsidR="00AB7F8B" w:rsidRPr="00643861">
        <w:rPr>
          <w:b/>
          <w:u w:val="single"/>
        </w:rPr>
        <w:t>STANOVISKO</w:t>
      </w:r>
      <w:r w:rsidRPr="00643861">
        <w:rPr>
          <w:b/>
          <w:u w:val="single"/>
        </w:rPr>
        <w:t xml:space="preserve"> SLOVENSKEJ REPUBLIKY</w:t>
      </w:r>
    </w:p>
    <w:p w14:paraId="0EF5C46D" w14:textId="77777777" w:rsidR="007807A2" w:rsidRPr="00643861" w:rsidRDefault="007807A2" w:rsidP="007807A2"/>
    <w:p w14:paraId="057D3BCE" w14:textId="77777777" w:rsidR="007807A2" w:rsidRPr="00643861" w:rsidRDefault="007807A2" w:rsidP="007807A2">
      <w:pPr>
        <w:spacing w:after="120"/>
        <w:jc w:val="both"/>
        <w:rPr>
          <w:b/>
        </w:rPr>
      </w:pPr>
      <w:r w:rsidRPr="00643861">
        <w:rPr>
          <w:b/>
        </w:rPr>
        <w:t>10. Vecná analýza návrhu</w:t>
      </w:r>
    </w:p>
    <w:p w14:paraId="306BF5C6" w14:textId="62A09400" w:rsidR="00CF5A20" w:rsidRPr="00162F4D" w:rsidRDefault="002C1D4A" w:rsidP="00D40020">
      <w:pPr>
        <w:jc w:val="both"/>
      </w:pPr>
      <w:r w:rsidRPr="00162F4D">
        <w:t>Hlavné zistenia zo strany Európskej komisie sú, že pravidlá, ktoré boli prijaté</w:t>
      </w:r>
      <w:r w:rsidR="00F16697" w:rsidRPr="00162F4D">
        <w:t>,</w:t>
      </w:r>
      <w:r w:rsidRPr="00162F4D">
        <w:t xml:space="preserve"> nie sú  jednotne a účinne presadzované. Tieto problémy majú vplyv najmä na dopravcov a ich zamestnancov, ale aj na iné subjekty podieľajúce sa na dopravnom reťazci, ako sú napríklad odosielatelia, zasielatelia a koncoví používatelia. Z tohto dôvodu bol predložený návrh nariadenia</w:t>
      </w:r>
      <w:r w:rsidR="00F16697" w:rsidRPr="00162F4D">
        <w:t>,</w:t>
      </w:r>
      <w:r w:rsidRPr="00162F4D">
        <w:t xml:space="preserve"> </w:t>
      </w:r>
      <w:r w:rsidR="00F16697" w:rsidRPr="00162F4D">
        <w:t>k</w:t>
      </w:r>
      <w:r w:rsidRPr="00162F4D">
        <w:t>tor</w:t>
      </w:r>
      <w:r w:rsidR="00F16697" w:rsidRPr="00162F4D">
        <w:t>ý</w:t>
      </w:r>
      <w:r w:rsidRPr="00162F4D">
        <w:t xml:space="preserve"> by mal pomôcť dosiahnuť vyvážené podmienky hospodárskej súťaže medzi dopravcami usadenými v určitom členskom štáte a dopravcami, ktorí v tomt</w:t>
      </w:r>
      <w:r w:rsidR="00AC1B53" w:rsidRPr="00162F4D">
        <w:t xml:space="preserve">o členskom štáte nie sú usadení. Cieľom návrhu je </w:t>
      </w:r>
      <w:r w:rsidRPr="00162F4D">
        <w:t>zabezpečiť koherentné a konzistentné monitorovanie a</w:t>
      </w:r>
      <w:r w:rsidR="000B0D1A" w:rsidRPr="00162F4D">
        <w:t> </w:t>
      </w:r>
      <w:r w:rsidRPr="00162F4D">
        <w:t>presadzovanie existujúcich pravidiel v</w:t>
      </w:r>
      <w:r w:rsidR="00AC1B53" w:rsidRPr="00162F4D">
        <w:t xml:space="preserve"> jednotlivých členských štátoch, </w:t>
      </w:r>
      <w:r w:rsidRPr="00162F4D">
        <w:t>lepšie špecifikovať pravidlá a</w:t>
      </w:r>
      <w:r w:rsidR="00AC1B53" w:rsidRPr="00162F4D">
        <w:t xml:space="preserve"> eliminovať odlišnosti prístupov jednotlivých </w:t>
      </w:r>
      <w:r w:rsidRPr="00162F4D">
        <w:t>člensk</w:t>
      </w:r>
      <w:r w:rsidR="00AC1B53" w:rsidRPr="00162F4D">
        <w:t>ých</w:t>
      </w:r>
      <w:r w:rsidRPr="00162F4D">
        <w:t xml:space="preserve"> štát</w:t>
      </w:r>
      <w:r w:rsidR="00AC1B53" w:rsidRPr="00162F4D">
        <w:t>ov</w:t>
      </w:r>
      <w:r w:rsidRPr="00162F4D">
        <w:t xml:space="preserve">. </w:t>
      </w:r>
    </w:p>
    <w:p w14:paraId="30ACB958" w14:textId="77777777" w:rsidR="00E36605" w:rsidRPr="00643861" w:rsidRDefault="00E36605" w:rsidP="00D40020">
      <w:pPr>
        <w:jc w:val="both"/>
      </w:pPr>
    </w:p>
    <w:p w14:paraId="38C07FA7" w14:textId="77777777" w:rsidR="007807A2" w:rsidRPr="00643861" w:rsidRDefault="007807A2" w:rsidP="00263146">
      <w:pPr>
        <w:spacing w:after="160" w:line="256" w:lineRule="auto"/>
      </w:pPr>
      <w:r w:rsidRPr="00643861">
        <w:rPr>
          <w:b/>
        </w:rPr>
        <w:t>11. Právna analýza</w:t>
      </w:r>
    </w:p>
    <w:p w14:paraId="4BEDF186" w14:textId="77777777" w:rsidR="007807A2" w:rsidRPr="00643861" w:rsidRDefault="007807A2" w:rsidP="007807A2">
      <w:pPr>
        <w:jc w:val="both"/>
      </w:pPr>
      <w:r w:rsidRPr="00643861">
        <w:t xml:space="preserve">a) Právny základ predkladaného návrhu </w:t>
      </w:r>
    </w:p>
    <w:p w14:paraId="7247022F" w14:textId="40F2FDA7" w:rsidR="007807A2" w:rsidRPr="00643861" w:rsidRDefault="009B4E84" w:rsidP="009B4E84">
      <w:pPr>
        <w:spacing w:before="120"/>
        <w:ind w:left="284"/>
        <w:jc w:val="both"/>
      </w:pPr>
      <w:r w:rsidRPr="00643861">
        <w:t>Právny základ nariadenia a navrhovanej zmeny vychádza z hlavy VI (Doprava) Zmluvy o</w:t>
      </w:r>
      <w:r w:rsidR="00D734B9" w:rsidRPr="00643861">
        <w:t> </w:t>
      </w:r>
      <w:r w:rsidRPr="00643861">
        <w:t>fungovaní Európskej únie (ZFEÚ), najmä z článku 91, v ktorom sa okrem iného stanovuje, že Európsky parlament a Rada stanovia spoločné pravidlá platné pre medzinárodnú dopravu do členského štátu alebo z členského štátu, alebo pri prechode cez územie jedného alebo viacerých členských štátov, ako aj podmienky, za ktorých môže prepravca, ktorý nemá sídlo na území členského štátu, v tomto členskom štáte uskutočňovať dopravu.</w:t>
      </w:r>
    </w:p>
    <w:p w14:paraId="4C087A80" w14:textId="77777777" w:rsidR="00DB5807" w:rsidRPr="00643861" w:rsidRDefault="00DB5807" w:rsidP="007807A2">
      <w:pPr>
        <w:jc w:val="both"/>
      </w:pPr>
    </w:p>
    <w:p w14:paraId="292BAC7B" w14:textId="77777777" w:rsidR="00FB722A" w:rsidRPr="00643861" w:rsidRDefault="007807A2" w:rsidP="00FB722A">
      <w:r w:rsidRPr="00643861">
        <w:t>b) Zá</w:t>
      </w:r>
      <w:r w:rsidR="00376C1E" w:rsidRPr="00643861">
        <w:t>sada subsidiarity</w:t>
      </w:r>
      <w:r w:rsidR="00FB722A" w:rsidRPr="00643861">
        <w:t xml:space="preserve"> a proporcionality</w:t>
      </w:r>
    </w:p>
    <w:p w14:paraId="0B84A85A" w14:textId="77777777" w:rsidR="00FB722A" w:rsidRPr="00643861" w:rsidRDefault="00FB722A" w:rsidP="00FB722A"/>
    <w:p w14:paraId="7B3B4AFA" w14:textId="77777777" w:rsidR="007807A2" w:rsidRPr="00643861" w:rsidRDefault="00FB722A" w:rsidP="001B2089">
      <w:pPr>
        <w:pStyle w:val="Odsekzoznamu"/>
        <w:numPr>
          <w:ilvl w:val="0"/>
          <w:numId w:val="11"/>
        </w:numPr>
      </w:pPr>
      <w:r w:rsidRPr="00643861">
        <w:t>k zásade subsidiarity</w:t>
      </w:r>
      <w:r w:rsidR="000F5796" w:rsidRPr="00643861">
        <w:t>:</w:t>
      </w:r>
    </w:p>
    <w:p w14:paraId="40EA8C0F" w14:textId="4EE8D801" w:rsidR="00D734B9" w:rsidRPr="00643861" w:rsidRDefault="00D734B9" w:rsidP="00D734B9">
      <w:pPr>
        <w:spacing w:before="120"/>
        <w:ind w:left="709"/>
        <w:jc w:val="both"/>
      </w:pPr>
      <w:r w:rsidRPr="00643861">
        <w:t>Podľa článku 4 ods. 2 písm. g) ZFEÚ má EÚ s členskými štátmi spoločné právomoci v oblasti dopravy. Zmeny existujúcich pravidiel však môže vykonať iba samotný zákonodarca EÚ.</w:t>
      </w:r>
    </w:p>
    <w:p w14:paraId="1A51373A" w14:textId="2B262689" w:rsidR="00522CAE" w:rsidRPr="00643861" w:rsidRDefault="00D734B9" w:rsidP="00D734B9">
      <w:pPr>
        <w:spacing w:before="120"/>
        <w:ind w:left="709"/>
        <w:jc w:val="both"/>
      </w:pPr>
      <w:r w:rsidRPr="00643861">
        <w:t>Množstvo rôznych pravidiel prístupu na národné trhy autobusovej a autokarovej dopravy navyše obmedzuje možnosť dopravcov rozšíriť vykonávanie dopravy v celoeurópskych sieťach autokarovej dopravy a znemožňuje im integrovať svoje dopravné služby s inými službami autokarovej dopravy alebo druhmi dopravy. Členské štáty samostatne nedokážu zaviesť ani zaistiť súdržnosť a koordináciu jednotných pravidiel prístupu na trh, ktoré sú potrebné na vytvorenie skutočného vnútorného trhu osobnej cestnej dopravy. Pravidlá je preto nutné zabezpečiť na úrovni EÚ.</w:t>
      </w:r>
    </w:p>
    <w:p w14:paraId="455AA987" w14:textId="77777777" w:rsidR="000B0D1A" w:rsidRPr="00643861" w:rsidRDefault="000B0D1A" w:rsidP="00B72BB8">
      <w:pPr>
        <w:ind w:left="709"/>
        <w:jc w:val="both"/>
      </w:pPr>
    </w:p>
    <w:p w14:paraId="38C07221" w14:textId="77777777" w:rsidR="00FB722A" w:rsidRPr="00643861" w:rsidRDefault="00FB722A" w:rsidP="001B2089">
      <w:pPr>
        <w:pStyle w:val="Odsekzoznamu"/>
        <w:numPr>
          <w:ilvl w:val="0"/>
          <w:numId w:val="11"/>
        </w:numPr>
      </w:pPr>
      <w:r w:rsidRPr="00643861">
        <w:t xml:space="preserve">k zásade </w:t>
      </w:r>
      <w:r w:rsidR="00921C6A" w:rsidRPr="00643861">
        <w:t xml:space="preserve"> proporcionality</w:t>
      </w:r>
      <w:r w:rsidR="000F5796" w:rsidRPr="00643861">
        <w:t>:</w:t>
      </w:r>
    </w:p>
    <w:p w14:paraId="451482AE" w14:textId="54F7DF85" w:rsidR="00B72BB8" w:rsidRPr="00643861" w:rsidRDefault="00D734B9" w:rsidP="00D734B9">
      <w:pPr>
        <w:ind w:left="709"/>
        <w:jc w:val="both"/>
      </w:pPr>
      <w:r w:rsidRPr="00643861">
        <w:t>Ako sa uvádza v oddiele 7.3 správy o posúdení vplyvu, návrh politiky je vo vzťahu k identifikovaným problémom primeraný a neprekračuje rámec toho, čo je potrebné na ich riešenie. Návrh obsahuje len niekoľko cielených zmien nariadenia. Tie pomôžu zlepšiť existujúci regulačný rámec, v ktorom sektor osobnej cestnej dopravy v EÚ pôsobí, pričom pre zainteresované strany sa nevytvárajú žiadne ďalšie regulačné požiadavky, ktoré by vzhľadom na zistené problémy neboli primerané.</w:t>
      </w:r>
    </w:p>
    <w:p w14:paraId="15BF7845" w14:textId="77777777" w:rsidR="00D734B9" w:rsidRPr="00643861" w:rsidRDefault="00D734B9" w:rsidP="001266AD">
      <w:pPr>
        <w:rPr>
          <w:b/>
        </w:rPr>
      </w:pPr>
    </w:p>
    <w:p w14:paraId="3EE62B9F" w14:textId="77777777" w:rsidR="007807A2" w:rsidRPr="00643861" w:rsidRDefault="007807A2" w:rsidP="001266AD">
      <w:pPr>
        <w:spacing w:after="120"/>
        <w:rPr>
          <w:b/>
        </w:rPr>
      </w:pPr>
      <w:r w:rsidRPr="00643861">
        <w:rPr>
          <w:b/>
        </w:rPr>
        <w:t>12. Analýza jednotlivých ustanovení predkladaného návrhu</w:t>
      </w:r>
    </w:p>
    <w:p w14:paraId="1F244782" w14:textId="77777777" w:rsidR="001C1D36" w:rsidRPr="00643861" w:rsidRDefault="001C1D36" w:rsidP="001266AD">
      <w:pPr>
        <w:pBdr>
          <w:top w:val="nil"/>
          <w:left w:val="nil"/>
          <w:bottom w:val="nil"/>
          <w:right w:val="nil"/>
          <w:between w:val="nil"/>
          <w:bar w:val="nil"/>
        </w:pBdr>
        <w:jc w:val="both"/>
        <w:rPr>
          <w:i/>
        </w:rPr>
      </w:pPr>
    </w:p>
    <w:p w14:paraId="4DD80A69" w14:textId="77777777" w:rsidR="00CF5A20" w:rsidRPr="00643861" w:rsidRDefault="00CF5A20" w:rsidP="001266AD">
      <w:pPr>
        <w:pBdr>
          <w:top w:val="nil"/>
          <w:left w:val="nil"/>
          <w:bottom w:val="nil"/>
          <w:right w:val="nil"/>
          <w:between w:val="nil"/>
          <w:bar w:val="nil"/>
        </w:pBdr>
        <w:jc w:val="both"/>
        <w:rPr>
          <w:i/>
        </w:rPr>
      </w:pPr>
      <w:r w:rsidRPr="00643861">
        <w:rPr>
          <w:i/>
        </w:rPr>
        <w:t>Článok 1</w:t>
      </w:r>
    </w:p>
    <w:p w14:paraId="74144338" w14:textId="77777777" w:rsidR="001C1D36" w:rsidRPr="00643861" w:rsidRDefault="001C1D36" w:rsidP="001266AD">
      <w:pPr>
        <w:pBdr>
          <w:top w:val="nil"/>
          <w:left w:val="nil"/>
          <w:bottom w:val="nil"/>
          <w:right w:val="nil"/>
          <w:between w:val="nil"/>
          <w:bar w:val="nil"/>
        </w:pBdr>
        <w:jc w:val="both"/>
        <w:rPr>
          <w:u w:val="single"/>
        </w:rPr>
      </w:pPr>
    </w:p>
    <w:p w14:paraId="4863BCD2" w14:textId="57BAFBA6" w:rsidR="00511233" w:rsidRPr="00643861" w:rsidRDefault="00511233" w:rsidP="001266AD">
      <w:pPr>
        <w:pBdr>
          <w:top w:val="nil"/>
          <w:left w:val="nil"/>
          <w:bottom w:val="nil"/>
          <w:right w:val="nil"/>
          <w:between w:val="nil"/>
          <w:bar w:val="nil"/>
        </w:pBdr>
        <w:jc w:val="both"/>
        <w:rPr>
          <w:u w:val="single"/>
        </w:rPr>
      </w:pPr>
      <w:r w:rsidRPr="00643861">
        <w:rPr>
          <w:u w:val="single"/>
        </w:rPr>
        <w:t xml:space="preserve">Novelizačný bod 1 </w:t>
      </w:r>
      <w:r w:rsidR="009F218A" w:rsidRPr="00643861">
        <w:rPr>
          <w:u w:val="single"/>
        </w:rPr>
        <w:t xml:space="preserve">– </w:t>
      </w:r>
      <w:r w:rsidR="00522CAE" w:rsidRPr="00643861">
        <w:rPr>
          <w:u w:val="single"/>
        </w:rPr>
        <w:t xml:space="preserve">Článok </w:t>
      </w:r>
      <w:r w:rsidR="00B72BB8" w:rsidRPr="00643861">
        <w:rPr>
          <w:u w:val="single"/>
        </w:rPr>
        <w:t>1</w:t>
      </w:r>
      <w:r w:rsidR="009F218A" w:rsidRPr="00643861">
        <w:rPr>
          <w:u w:val="single"/>
        </w:rPr>
        <w:t xml:space="preserve"> </w:t>
      </w:r>
      <w:r w:rsidR="00522CAE" w:rsidRPr="00643861">
        <w:rPr>
          <w:u w:val="single"/>
        </w:rPr>
        <w:t xml:space="preserve">nariadenia (ES) č. </w:t>
      </w:r>
      <w:r w:rsidR="00466D86" w:rsidRPr="00643861">
        <w:rPr>
          <w:u w:val="single"/>
        </w:rPr>
        <w:t>1073</w:t>
      </w:r>
      <w:r w:rsidR="00B72BB8" w:rsidRPr="00643861">
        <w:rPr>
          <w:u w:val="single"/>
        </w:rPr>
        <w:t>/2009</w:t>
      </w:r>
    </w:p>
    <w:p w14:paraId="49BA31F0" w14:textId="44F80B67" w:rsidR="002E6687" w:rsidRPr="00643861" w:rsidRDefault="00466D86" w:rsidP="00E61212">
      <w:pPr>
        <w:pBdr>
          <w:top w:val="nil"/>
          <w:left w:val="nil"/>
          <w:bottom w:val="nil"/>
          <w:right w:val="nil"/>
          <w:between w:val="nil"/>
          <w:bar w:val="nil"/>
        </w:pBdr>
        <w:spacing w:after="240"/>
        <w:jc w:val="both"/>
      </w:pPr>
      <w:r w:rsidRPr="00643861">
        <w:t xml:space="preserve">Článok 1 ods. 4 v súčasnosti zahŕňa vnútroštátnu osobnú cestnú dopravu v prenájme alebo za úhradu, ktorú dočasne vykonáva dopravca, ktorý nie je usadený v danom členskom štáte, v rozsahu pôsobnosti nariadenia. Navrhuje sa zmeniť toto ustanovenie tak, aby sa do rozsahu pôsobnosti nariadenia začlenila </w:t>
      </w:r>
      <w:r w:rsidR="002478AD" w:rsidRPr="00643861">
        <w:t>celá</w:t>
      </w:r>
      <w:r w:rsidRPr="00643861">
        <w:t xml:space="preserve"> pravidelná doprava v prenájme alebo za úhradu vykonávaná dopravcom, ktorý nie je usadený v danom členskom štáte.</w:t>
      </w:r>
      <w:r w:rsidR="002E6687" w:rsidRPr="00643861">
        <w:t xml:space="preserve"> </w:t>
      </w:r>
    </w:p>
    <w:p w14:paraId="1FF3D9D9" w14:textId="1A444B5B" w:rsidR="00AB7F8B" w:rsidRPr="00643861" w:rsidRDefault="00AB7F8B" w:rsidP="00AB7F8B">
      <w:pPr>
        <w:pBdr>
          <w:top w:val="nil"/>
          <w:left w:val="nil"/>
          <w:bottom w:val="nil"/>
          <w:right w:val="nil"/>
          <w:between w:val="nil"/>
          <w:bar w:val="nil"/>
        </w:pBdr>
        <w:jc w:val="both"/>
      </w:pPr>
      <w:r w:rsidRPr="00643861">
        <w:rPr>
          <w:b/>
        </w:rPr>
        <w:t>Stanovisko</w:t>
      </w:r>
      <w:r w:rsidR="00937989" w:rsidRPr="00643861">
        <w:rPr>
          <w:b/>
        </w:rPr>
        <w:t>:</w:t>
      </w:r>
      <w:r w:rsidR="00937989" w:rsidRPr="00643861">
        <w:t xml:space="preserve"> </w:t>
      </w:r>
      <w:r w:rsidR="00CC54AE" w:rsidRPr="00643861">
        <w:t>K uvedenému ustanoveniu navrhujeme zosúladiť rozsah nariadenia. V preambule nariadenia sa uvádza: „</w:t>
      </w:r>
      <w:r w:rsidR="00CC54AE" w:rsidRPr="00643861">
        <w:rPr>
          <w:i/>
        </w:rPr>
        <w:t xml:space="preserve">Na zabezpečenie jednotného rámca pre medzimestskú prepravu cestujúcich pravidelnou autokarovou a autobusovou dopravou v celej Únii by sa nariadenie (ES) č. 1073/2009 malo vzťahovať </w:t>
      </w:r>
      <w:r w:rsidR="00CC54AE" w:rsidRPr="00643861">
        <w:rPr>
          <w:i/>
          <w:u w:val="single"/>
        </w:rPr>
        <w:t>na všetku pravidelnú medzimestskú prepravu</w:t>
      </w:r>
      <w:r w:rsidR="00EA1458" w:rsidRPr="00643861">
        <w:rPr>
          <w:i/>
        </w:rPr>
        <w:t xml:space="preserve">. </w:t>
      </w:r>
      <w:r w:rsidR="00CC54AE" w:rsidRPr="00643861">
        <w:rPr>
          <w:i/>
        </w:rPr>
        <w:t>Rozsah pôsobnosti uvedeného nariadenia by sa teda mal rozšíriť.</w:t>
      </w:r>
      <w:r w:rsidR="00CC54AE" w:rsidRPr="00643861">
        <w:t>“, a zároveň „</w:t>
      </w:r>
      <w:r w:rsidR="00CC54AE" w:rsidRPr="00643861">
        <w:rPr>
          <w:i/>
        </w:rPr>
        <w:t>Dopravcovia, ktorí nie sú usadení v danom členskom štáte, by mali mať možnosť prevádzkovať vnútroštátnu pravidelnú dopravu za rovnakých podmienok ako dopravcovia, ktorí sú usadení v tomto členskom štáte.</w:t>
      </w:r>
      <w:r w:rsidR="00CC54AE" w:rsidRPr="00643861">
        <w:t>“</w:t>
      </w:r>
    </w:p>
    <w:p w14:paraId="3CDFFAB2" w14:textId="738DDC3F" w:rsidR="00CC54AE" w:rsidRPr="00643861" w:rsidRDefault="00CC54AE" w:rsidP="00AB7F8B">
      <w:pPr>
        <w:pBdr>
          <w:top w:val="nil"/>
          <w:left w:val="nil"/>
          <w:bottom w:val="nil"/>
          <w:right w:val="nil"/>
          <w:between w:val="nil"/>
          <w:bar w:val="nil"/>
        </w:pBdr>
        <w:jc w:val="both"/>
      </w:pPr>
      <w:r w:rsidRPr="00643861">
        <w:t xml:space="preserve">Z uvedeného vyplýva, že cieľom Komisie je jednotne upraviť aj podmienky vo vnútroštátnej pravidelnej doprave bez ohľadu na to, či bude vnútroštátnu dopravu vykonávať dopravca usadený v danom členskom štáte alebo dopravca, ktorý nie je usadený v danom členskom štáte (čiže </w:t>
      </w:r>
      <w:r w:rsidR="00EA1458" w:rsidRPr="00643861">
        <w:t>v danom prípade pôjde o</w:t>
      </w:r>
      <w:r w:rsidRPr="00643861">
        <w:t xml:space="preserve"> kabotáž).</w:t>
      </w:r>
    </w:p>
    <w:p w14:paraId="7082D6CB" w14:textId="027ECAFE" w:rsidR="00CC54AE" w:rsidRPr="00643861" w:rsidRDefault="00CC54AE" w:rsidP="00AB7F8B">
      <w:pPr>
        <w:pBdr>
          <w:top w:val="nil"/>
          <w:left w:val="nil"/>
          <w:bottom w:val="nil"/>
          <w:right w:val="nil"/>
          <w:between w:val="nil"/>
          <w:bar w:val="nil"/>
        </w:pBdr>
        <w:jc w:val="both"/>
      </w:pPr>
      <w:r w:rsidRPr="00643861">
        <w:lastRenderedPageBreak/>
        <w:t xml:space="preserve">Z pôvodného znenia článku 1 ods. 4 sa vypúšťa len slovo „dočasne“, čo však ešte neznamená, že sa nariadenie bude vzťahovať aj na vnútroštátnu dopravu vykonávanú dopravcom usadeným v danom členskom štáte. </w:t>
      </w:r>
    </w:p>
    <w:p w14:paraId="44B22D40" w14:textId="4EF5DFD7" w:rsidR="00CC54AE" w:rsidRPr="00637BE5" w:rsidRDefault="00CC54AE" w:rsidP="00AB7F8B">
      <w:pPr>
        <w:pBdr>
          <w:top w:val="nil"/>
          <w:left w:val="nil"/>
          <w:bottom w:val="nil"/>
          <w:right w:val="nil"/>
          <w:between w:val="nil"/>
          <w:bar w:val="nil"/>
        </w:pBdr>
        <w:jc w:val="both"/>
      </w:pPr>
      <w:r w:rsidRPr="00643861">
        <w:t xml:space="preserve">Ak bude regulačný orgán, je potrebné, </w:t>
      </w:r>
      <w:r w:rsidR="00EA1458" w:rsidRPr="00643861">
        <w:t xml:space="preserve">aby </w:t>
      </w:r>
      <w:r w:rsidRPr="00643861">
        <w:t>sa komplexne posudzovala vnútroštátna doprava bez ohľadu na to, aký dopravca ju bude robiť, čiže či pôjde o kabotáž alebo nie.</w:t>
      </w:r>
      <w:r w:rsidR="00EF5251" w:rsidRPr="00643861">
        <w:t xml:space="preserve"> Z uvedeného dôvodu navrhujeme prehodnotiť úpravu článku 1 ods. 4 a nedefinovať dopravcu, ktorý nie je usadený v danom členskom štáte.</w:t>
      </w:r>
      <w:r w:rsidR="00EA1458" w:rsidRPr="00643861">
        <w:t xml:space="preserve"> V článku 8b je všeobecne upravené povoľovacie konanie pre vnútroštátnu pravidelnú dopravu.</w:t>
      </w:r>
    </w:p>
    <w:p w14:paraId="071A98C9" w14:textId="2989A10B" w:rsidR="00937989" w:rsidRPr="00643861" w:rsidRDefault="00937989" w:rsidP="00D40020">
      <w:pPr>
        <w:jc w:val="both"/>
      </w:pPr>
    </w:p>
    <w:p w14:paraId="22640D45" w14:textId="2A5FB388" w:rsidR="009F218A" w:rsidRPr="00643861" w:rsidRDefault="009F218A" w:rsidP="001266AD">
      <w:pPr>
        <w:pBdr>
          <w:top w:val="nil"/>
          <w:left w:val="nil"/>
          <w:bottom w:val="nil"/>
          <w:right w:val="nil"/>
          <w:between w:val="nil"/>
          <w:bar w:val="nil"/>
        </w:pBdr>
        <w:jc w:val="both"/>
        <w:rPr>
          <w:u w:val="single"/>
        </w:rPr>
      </w:pPr>
      <w:r w:rsidRPr="00643861">
        <w:rPr>
          <w:u w:val="single"/>
        </w:rPr>
        <w:t xml:space="preserve">Novelizačný bod 2 – </w:t>
      </w:r>
      <w:r w:rsidR="00B72BB8" w:rsidRPr="00643861">
        <w:rPr>
          <w:u w:val="single"/>
        </w:rPr>
        <w:t>Článok 2 nariadenia (ES) č. 107</w:t>
      </w:r>
      <w:r w:rsidR="00466D86" w:rsidRPr="00643861">
        <w:rPr>
          <w:u w:val="single"/>
        </w:rPr>
        <w:t>3</w:t>
      </w:r>
      <w:r w:rsidR="00B72BB8" w:rsidRPr="00643861">
        <w:rPr>
          <w:u w:val="single"/>
        </w:rPr>
        <w:t>/2009</w:t>
      </w:r>
    </w:p>
    <w:p w14:paraId="5747773E" w14:textId="77777777" w:rsidR="00466D86" w:rsidRPr="00643861" w:rsidRDefault="00466D86" w:rsidP="00466D86">
      <w:pPr>
        <w:pBdr>
          <w:top w:val="nil"/>
          <w:left w:val="nil"/>
          <w:bottom w:val="nil"/>
          <w:right w:val="nil"/>
          <w:between w:val="nil"/>
          <w:bar w:val="nil"/>
        </w:pBdr>
        <w:spacing w:after="120"/>
        <w:jc w:val="both"/>
      </w:pPr>
      <w:r w:rsidRPr="00643861">
        <w:t xml:space="preserve">Navrhuje sa zmeniť bod 2 s cieľom objasniť, že expresná doprava by sa mala považovať za pravidelnú dopravu. </w:t>
      </w:r>
    </w:p>
    <w:p w14:paraId="6BB66B33" w14:textId="77777777" w:rsidR="00466D86" w:rsidRPr="00643861" w:rsidRDefault="00466D86" w:rsidP="00466D86">
      <w:pPr>
        <w:pBdr>
          <w:top w:val="nil"/>
          <w:left w:val="nil"/>
          <w:bottom w:val="nil"/>
          <w:right w:val="nil"/>
          <w:between w:val="nil"/>
          <w:bar w:val="nil"/>
        </w:pBdr>
        <w:spacing w:after="120"/>
        <w:jc w:val="both"/>
      </w:pPr>
      <w:r w:rsidRPr="00643861">
        <w:t>Navrhuje sa zmeniť bod 7 s cieľom aktualizovať vymedzenie pojmu v nadväznosti na liberalizáciu vnútroštátnej pravidelnej dopravy.</w:t>
      </w:r>
    </w:p>
    <w:p w14:paraId="503B7006" w14:textId="77777777" w:rsidR="00466D86" w:rsidRPr="00643861" w:rsidRDefault="00466D86" w:rsidP="00466D86">
      <w:pPr>
        <w:pBdr>
          <w:top w:val="nil"/>
          <w:left w:val="nil"/>
          <w:bottom w:val="nil"/>
          <w:right w:val="nil"/>
          <w:between w:val="nil"/>
          <w:bar w:val="nil"/>
        </w:pBdr>
        <w:spacing w:after="120"/>
        <w:jc w:val="both"/>
      </w:pPr>
      <w:r w:rsidRPr="00643861">
        <w:t>Navrhuje sa doplniť nové vymedzenie pojmov stanica a prevádzkovateľ stanice. Vymedzenie týchto pojmov je nevyhnutnou podmienkou úpravy prístupu k staniciam.</w:t>
      </w:r>
    </w:p>
    <w:p w14:paraId="3A549BCC" w14:textId="1345709F" w:rsidR="00AB7F8B" w:rsidRPr="00643861" w:rsidRDefault="00466D86" w:rsidP="00466D86">
      <w:pPr>
        <w:spacing w:after="120"/>
        <w:jc w:val="both"/>
      </w:pPr>
      <w:r w:rsidRPr="00643861">
        <w:t>Navrhuje sa doplniť nové vymedzenie realizovateľnej alternatívy s cieľom objasniť, ktoré ďalšie stanice má prevádzkovateľ stanice oznámiť dopravcovi v prípade, že mu zamietne prístup k svojej vlastnej stanici.</w:t>
      </w:r>
    </w:p>
    <w:p w14:paraId="69FE4074" w14:textId="77777777" w:rsidR="00466D86" w:rsidRPr="00643861" w:rsidRDefault="00466D86" w:rsidP="00466D86">
      <w:pPr>
        <w:jc w:val="both"/>
      </w:pPr>
    </w:p>
    <w:p w14:paraId="720EDB8A" w14:textId="0B968D27" w:rsidR="00937989" w:rsidRPr="00643861" w:rsidRDefault="00AB7F8B" w:rsidP="00E61212">
      <w:pPr>
        <w:jc w:val="both"/>
      </w:pPr>
      <w:r w:rsidRPr="00643861">
        <w:rPr>
          <w:b/>
        </w:rPr>
        <w:t>Stanovisko</w:t>
      </w:r>
      <w:r w:rsidR="00937989" w:rsidRPr="00643861">
        <w:rPr>
          <w:b/>
        </w:rPr>
        <w:t>:</w:t>
      </w:r>
      <w:r w:rsidR="00937989" w:rsidRPr="00643861">
        <w:t xml:space="preserve"> </w:t>
      </w:r>
      <w:r w:rsidR="00BD33DB" w:rsidRPr="00643861">
        <w:t>SR nemá k uvedenému bodu výhrady ani pripomienky.</w:t>
      </w:r>
    </w:p>
    <w:p w14:paraId="3F093FBC" w14:textId="77777777" w:rsidR="00E61212" w:rsidRPr="00643861" w:rsidRDefault="00E61212" w:rsidP="00466D86">
      <w:pPr>
        <w:pBdr>
          <w:top w:val="nil"/>
          <w:left w:val="nil"/>
          <w:bottom w:val="nil"/>
          <w:right w:val="nil"/>
          <w:between w:val="nil"/>
          <w:bar w:val="nil"/>
        </w:pBdr>
        <w:contextualSpacing/>
        <w:jc w:val="both"/>
        <w:rPr>
          <w:u w:val="single"/>
        </w:rPr>
      </w:pPr>
    </w:p>
    <w:p w14:paraId="60DED9D9" w14:textId="20BD5831" w:rsidR="00B72BB8" w:rsidRPr="00643861" w:rsidRDefault="009F218A" w:rsidP="00466D86">
      <w:pPr>
        <w:pBdr>
          <w:top w:val="nil"/>
          <w:left w:val="nil"/>
          <w:bottom w:val="nil"/>
          <w:right w:val="nil"/>
          <w:between w:val="nil"/>
          <w:bar w:val="nil"/>
        </w:pBdr>
        <w:contextualSpacing/>
        <w:jc w:val="both"/>
        <w:rPr>
          <w:u w:val="single"/>
        </w:rPr>
      </w:pPr>
      <w:r w:rsidRPr="00643861">
        <w:rPr>
          <w:u w:val="single"/>
        </w:rPr>
        <w:t xml:space="preserve">Novelizačný bod 3 – </w:t>
      </w:r>
      <w:r w:rsidR="00B72BB8" w:rsidRPr="00643861">
        <w:rPr>
          <w:u w:val="single"/>
        </w:rPr>
        <w:t xml:space="preserve">Článok </w:t>
      </w:r>
      <w:r w:rsidR="00466D86" w:rsidRPr="00643861">
        <w:rPr>
          <w:u w:val="single"/>
        </w:rPr>
        <w:t>3a nariadenia (ES) č. 1073</w:t>
      </w:r>
      <w:r w:rsidR="00B72BB8" w:rsidRPr="00643861">
        <w:rPr>
          <w:u w:val="single"/>
        </w:rPr>
        <w:t>/2009</w:t>
      </w:r>
    </w:p>
    <w:p w14:paraId="36F90EA9" w14:textId="6D206690" w:rsidR="00280CF0" w:rsidRPr="00643861" w:rsidRDefault="00466D86" w:rsidP="00466D86">
      <w:pPr>
        <w:pBdr>
          <w:top w:val="nil"/>
          <w:left w:val="nil"/>
          <w:bottom w:val="nil"/>
          <w:right w:val="nil"/>
          <w:between w:val="nil"/>
          <w:bar w:val="nil"/>
        </w:pBdr>
        <w:jc w:val="both"/>
      </w:pPr>
      <w:r w:rsidRPr="00643861">
        <w:t>Navrhuje sa doplniť nový článok, v ktorom sa od členských štátov bude vyžadovať, aby vymenovali regulačný orgán nezávislý od akéhokoľvek iného subjektu verejného sektora. Cieľom tejto požiadavky je zabrániť prípadným konfliktom záujmov v prípade, že regulačný orgán uskutočňuje hospodársku analýzu, ktorej zámerom je určiť, či je ohrozená hospodárska rovnováha zmluvy o službách vo verejnom záujme, alebo keď koná ako odvolací orgán pre prístup k staniciam. Týmto vymenovaným orgánom môže byť nový alebo existujúci orgán. K tejto nezávislosti by mali prispievať aj stanovené postupy vymenúvania zamestnancov. Daný orgán by mal byť schopný získavať požadované informácie a presadzovať svoje rozhodnutia primeranými sankciami. A napokon, veľkosť regulačného orgánu v jednotlivých členských štátoch by mala zodpovedať objemu činností v oblasti osobnej cestnej dopravy v danom členskom štáte.</w:t>
      </w:r>
    </w:p>
    <w:p w14:paraId="33838BD7" w14:textId="77777777" w:rsidR="00466D86" w:rsidRPr="00643861" w:rsidRDefault="00466D86" w:rsidP="00466D86">
      <w:pPr>
        <w:pBdr>
          <w:top w:val="nil"/>
          <w:left w:val="nil"/>
          <w:bottom w:val="nil"/>
          <w:right w:val="nil"/>
          <w:between w:val="nil"/>
          <w:bar w:val="nil"/>
        </w:pBdr>
        <w:jc w:val="both"/>
      </w:pPr>
    </w:p>
    <w:p w14:paraId="70A20279" w14:textId="490B9190" w:rsidR="00167D34" w:rsidRPr="00643861" w:rsidRDefault="00AB7F8B" w:rsidP="00466D86">
      <w:pPr>
        <w:pBdr>
          <w:top w:val="nil"/>
          <w:left w:val="nil"/>
          <w:bottom w:val="nil"/>
          <w:right w:val="nil"/>
          <w:between w:val="nil"/>
          <w:bar w:val="nil"/>
        </w:pBdr>
        <w:jc w:val="both"/>
      </w:pPr>
      <w:r w:rsidRPr="00643861">
        <w:rPr>
          <w:b/>
        </w:rPr>
        <w:t>Stanovisko</w:t>
      </w:r>
      <w:r w:rsidR="00280CF0" w:rsidRPr="00643861">
        <w:rPr>
          <w:b/>
        </w:rPr>
        <w:t>:</w:t>
      </w:r>
      <w:r w:rsidR="00280CF0" w:rsidRPr="00643861">
        <w:t xml:space="preserve"> </w:t>
      </w:r>
      <w:r w:rsidR="00E57A94" w:rsidRPr="00643861">
        <w:t xml:space="preserve">V súčasnosti </w:t>
      </w:r>
      <w:r w:rsidR="00FE2DC4" w:rsidRPr="00643861">
        <w:t xml:space="preserve">v podmienkach Slovenskej republiky </w:t>
      </w:r>
      <w:r w:rsidR="00D9166E" w:rsidRPr="00643861">
        <w:t xml:space="preserve">sú tri orgány, ktoré majú kompetenciu pri povoľovaní dopravy – ministerstvo v medzinárodnej pravidelnej doprave, samosprávny kraj vo vnútroštátnej pravidelnej doprave s výnimkou mestskej dopravy a obec v mestskej doprave. </w:t>
      </w:r>
      <w:r w:rsidR="00CC54AE" w:rsidRPr="00643861">
        <w:t xml:space="preserve">Rozsah nariadenia by sa mal rozšíriť, avšak podľa úvodných ustanovení len na </w:t>
      </w:r>
      <w:r w:rsidR="00167D34" w:rsidRPr="00643861">
        <w:t>pravidelnú medzimestskú prepravu. Z </w:t>
      </w:r>
      <w:r w:rsidR="00FE0EE1" w:rsidRPr="00643861">
        <w:t>uveden</w:t>
      </w:r>
      <w:r w:rsidR="00167D34" w:rsidRPr="00643861">
        <w:t>ého bude vyplývať, že medzinárodná pravidelná doprava a </w:t>
      </w:r>
      <w:r w:rsidR="00FE0EE1" w:rsidRPr="00643861">
        <w:t>medzimests</w:t>
      </w:r>
      <w:r w:rsidR="00167D34" w:rsidRPr="00643861">
        <w:t xml:space="preserve">ká pravidelná doprava bude patriť do kompetencií regulačného úradu, mestská doprava bude naďalej </w:t>
      </w:r>
      <w:r w:rsidR="00EF5251" w:rsidRPr="00643861">
        <w:t>v kompetencii obce</w:t>
      </w:r>
      <w:r w:rsidR="00167D34" w:rsidRPr="00643861">
        <w:t xml:space="preserve">. </w:t>
      </w:r>
    </w:p>
    <w:p w14:paraId="0BB437EC" w14:textId="3C51B378" w:rsidR="00280CF0" w:rsidRPr="00643861" w:rsidRDefault="00E57A94" w:rsidP="00466D86">
      <w:pPr>
        <w:pBdr>
          <w:top w:val="nil"/>
          <w:left w:val="nil"/>
          <w:bottom w:val="nil"/>
          <w:right w:val="nil"/>
          <w:between w:val="nil"/>
          <w:bar w:val="nil"/>
        </w:pBdr>
        <w:jc w:val="both"/>
      </w:pPr>
      <w:r w:rsidRPr="00643861">
        <w:t xml:space="preserve">Po prijatí takéhoto návrhu </w:t>
      </w:r>
      <w:r w:rsidR="00167D34" w:rsidRPr="00643861">
        <w:t xml:space="preserve">bude </w:t>
      </w:r>
      <w:r w:rsidRPr="00643861">
        <w:t xml:space="preserve">potrebné vykonať reorganizáciu súčasných kompetencií. </w:t>
      </w:r>
      <w:r w:rsidR="00167D34" w:rsidRPr="00643861">
        <w:t>Rizikom navrhovaného riešenia j</w:t>
      </w:r>
      <w:r w:rsidR="00C80D33">
        <w:t>e</w:t>
      </w:r>
      <w:r w:rsidR="00167D34" w:rsidRPr="00643861">
        <w:t xml:space="preserve"> c</w:t>
      </w:r>
      <w:r w:rsidRPr="00643861">
        <w:t>entralizáci</w:t>
      </w:r>
      <w:r w:rsidR="00167D34" w:rsidRPr="00643861">
        <w:t>a</w:t>
      </w:r>
      <w:r w:rsidRPr="00643861">
        <w:t xml:space="preserve">, </w:t>
      </w:r>
      <w:r w:rsidR="00167D34" w:rsidRPr="00643861">
        <w:t>čo môže mať za dôsledok, že</w:t>
      </w:r>
      <w:r w:rsidRPr="00643861">
        <w:t xml:space="preserve"> regionálne potreby nebudú dostatočným spôsobom pokryté</w:t>
      </w:r>
      <w:r w:rsidR="00167D34" w:rsidRPr="00643861">
        <w:t xml:space="preserve"> a operatívne riešené</w:t>
      </w:r>
      <w:r w:rsidRPr="00643861">
        <w:t xml:space="preserve">. Výhody by mohli byť v systematickom riadení trhu. </w:t>
      </w:r>
    </w:p>
    <w:p w14:paraId="1BD21A00" w14:textId="77777777" w:rsidR="00E61212" w:rsidRPr="00643861" w:rsidRDefault="00E61212" w:rsidP="00466D86">
      <w:pPr>
        <w:pBdr>
          <w:top w:val="nil"/>
          <w:left w:val="nil"/>
          <w:bottom w:val="nil"/>
          <w:right w:val="nil"/>
          <w:between w:val="nil"/>
          <w:bar w:val="nil"/>
        </w:pBdr>
        <w:jc w:val="both"/>
      </w:pPr>
    </w:p>
    <w:p w14:paraId="18CEEFB4" w14:textId="0B04E49A" w:rsidR="00FE2DC4" w:rsidRPr="00643861" w:rsidRDefault="00FE2DC4" w:rsidP="00FE2DC4">
      <w:pPr>
        <w:pBdr>
          <w:top w:val="nil"/>
          <w:left w:val="nil"/>
          <w:bottom w:val="nil"/>
          <w:right w:val="nil"/>
          <w:between w:val="nil"/>
          <w:bar w:val="nil"/>
        </w:pBdr>
        <w:jc w:val="both"/>
        <w:rPr>
          <w:u w:val="single"/>
        </w:rPr>
      </w:pPr>
      <w:r w:rsidRPr="00643861">
        <w:rPr>
          <w:u w:val="single"/>
        </w:rPr>
        <w:t>Novelizačný bod 4 – Článok 4 nariadenia (ES) č. 1073/2009</w:t>
      </w:r>
    </w:p>
    <w:p w14:paraId="3751F0FB" w14:textId="15205159" w:rsidR="00FE0EE1" w:rsidRPr="00643861" w:rsidRDefault="00DA7C21" w:rsidP="00FE0EE1">
      <w:pPr>
        <w:pBdr>
          <w:top w:val="nil"/>
          <w:left w:val="nil"/>
          <w:bottom w:val="nil"/>
          <w:right w:val="nil"/>
          <w:between w:val="nil"/>
          <w:bar w:val="nil"/>
        </w:pBdr>
        <w:jc w:val="both"/>
      </w:pPr>
      <w:r w:rsidRPr="00643861">
        <w:lastRenderedPageBreak/>
        <w:t>Navrhuje sa, aby sa okrem medzinárodnej prepravy osôb aj kabotáž vykonávala na zák</w:t>
      </w:r>
      <w:r w:rsidR="00FE0EE1" w:rsidRPr="00643861">
        <w:t xml:space="preserve">lade držby licencie Spoločenstva. V ďalšej časti sa zároveň navrhuje, aby sa jazdné listy už nevyžadovali pre kabotážnu dopravu. Zároveň sa Komisia splnomocňuje na prijímanie delegovaných aktov s cieľom meniť bezpečnostné prvky licencie Spoločenstva a vzor licencie Spoločenstva. </w:t>
      </w:r>
    </w:p>
    <w:p w14:paraId="6DAA7DB7" w14:textId="77777777" w:rsidR="00FE2DC4" w:rsidRPr="00643861" w:rsidRDefault="00FE2DC4" w:rsidP="00FE2DC4">
      <w:pPr>
        <w:pBdr>
          <w:top w:val="nil"/>
          <w:left w:val="nil"/>
          <w:bottom w:val="nil"/>
          <w:right w:val="nil"/>
          <w:between w:val="nil"/>
          <w:bar w:val="nil"/>
        </w:pBdr>
        <w:jc w:val="both"/>
        <w:rPr>
          <w:b/>
        </w:rPr>
      </w:pPr>
    </w:p>
    <w:p w14:paraId="40A5C7E5" w14:textId="77777777" w:rsidR="00FE2DC4" w:rsidRPr="00643861" w:rsidRDefault="00FE2DC4" w:rsidP="00FE2DC4">
      <w:pPr>
        <w:pBdr>
          <w:top w:val="nil"/>
          <w:left w:val="nil"/>
          <w:bottom w:val="nil"/>
          <w:right w:val="nil"/>
          <w:between w:val="nil"/>
          <w:bar w:val="nil"/>
        </w:pBdr>
        <w:jc w:val="both"/>
      </w:pPr>
      <w:r w:rsidRPr="00643861">
        <w:rPr>
          <w:b/>
        </w:rPr>
        <w:t>Stanovisko:</w:t>
      </w:r>
      <w:r w:rsidRPr="00643861">
        <w:t xml:space="preserve"> SR nemá k uvedenému bodu výhrady ani pripomienky.</w:t>
      </w:r>
    </w:p>
    <w:p w14:paraId="3F436D8F" w14:textId="77777777" w:rsidR="00FE2DC4" w:rsidRPr="00643861" w:rsidRDefault="00FE2DC4" w:rsidP="00466D86">
      <w:pPr>
        <w:pBdr>
          <w:top w:val="nil"/>
          <w:left w:val="nil"/>
          <w:bottom w:val="nil"/>
          <w:right w:val="nil"/>
          <w:between w:val="nil"/>
          <w:bar w:val="nil"/>
        </w:pBdr>
        <w:jc w:val="both"/>
        <w:rPr>
          <w:u w:val="single"/>
        </w:rPr>
      </w:pPr>
    </w:p>
    <w:p w14:paraId="663C2D7E" w14:textId="65BBD93E" w:rsidR="002A671D" w:rsidRPr="00643861" w:rsidRDefault="002A671D" w:rsidP="00466D86">
      <w:pPr>
        <w:pBdr>
          <w:top w:val="nil"/>
          <w:left w:val="nil"/>
          <w:bottom w:val="nil"/>
          <w:right w:val="nil"/>
          <w:between w:val="nil"/>
          <w:bar w:val="nil"/>
        </w:pBdr>
        <w:jc w:val="both"/>
        <w:rPr>
          <w:u w:val="single"/>
        </w:rPr>
      </w:pPr>
      <w:r w:rsidRPr="00643861">
        <w:rPr>
          <w:u w:val="single"/>
        </w:rPr>
        <w:t xml:space="preserve">Novelizačný bod </w:t>
      </w:r>
      <w:r w:rsidR="005740E8" w:rsidRPr="00643861">
        <w:rPr>
          <w:u w:val="single"/>
        </w:rPr>
        <w:t>5</w:t>
      </w:r>
      <w:r w:rsidRPr="00643861">
        <w:rPr>
          <w:u w:val="single"/>
        </w:rPr>
        <w:t xml:space="preserve"> – </w:t>
      </w:r>
      <w:r w:rsidR="00B72BB8" w:rsidRPr="00643861">
        <w:rPr>
          <w:u w:val="single"/>
        </w:rPr>
        <w:t xml:space="preserve">Článok </w:t>
      </w:r>
      <w:r w:rsidR="00466D86" w:rsidRPr="00643861">
        <w:rPr>
          <w:u w:val="single"/>
        </w:rPr>
        <w:t>5 nariadenia (ES) č. 1073</w:t>
      </w:r>
      <w:r w:rsidR="00B72BB8" w:rsidRPr="00643861">
        <w:rPr>
          <w:u w:val="single"/>
        </w:rPr>
        <w:t>/2009</w:t>
      </w:r>
    </w:p>
    <w:p w14:paraId="30E9C7F0" w14:textId="2EFD979B" w:rsidR="005740E8" w:rsidRPr="00643861" w:rsidRDefault="00466D86" w:rsidP="005740E8">
      <w:pPr>
        <w:pBdr>
          <w:top w:val="nil"/>
          <w:left w:val="nil"/>
          <w:bottom w:val="nil"/>
          <w:right w:val="nil"/>
          <w:between w:val="nil"/>
          <w:bar w:val="nil"/>
        </w:pBdr>
        <w:jc w:val="both"/>
      </w:pPr>
      <w:r w:rsidRPr="00643861">
        <w:t>Z článku 5 ods. 3 sa navrhuje vypustiť piaty pododsek, keďže sa vychádza z toho, že</w:t>
      </w:r>
      <w:r w:rsidR="00FE0EE1" w:rsidRPr="00643861">
        <w:t> </w:t>
      </w:r>
      <w:r w:rsidRPr="00643861">
        <w:t>požiadavka na oznámenie mien/obchodných názvov dopravcov a prípojov na trase príslušným orgánom už nemá význam a spôsobuje zbytočnú administratívnu záťaž.</w:t>
      </w:r>
      <w:r w:rsidR="00E61212" w:rsidRPr="00643861">
        <w:t xml:space="preserve"> </w:t>
      </w:r>
      <w:r w:rsidR="00FE0EE1" w:rsidRPr="00643861">
        <w:t xml:space="preserve"> Zároveň sa Komisia splnomocňuje na prijímanie delegovaných aktov s cieľom meniť formát osvedčení </w:t>
      </w:r>
      <w:r w:rsidR="006C01B5" w:rsidRPr="00643861">
        <w:t>pre dopravu na vlastnú potrebu.</w:t>
      </w:r>
    </w:p>
    <w:p w14:paraId="2DAA1D28" w14:textId="62301179" w:rsidR="00E61212" w:rsidRPr="00643861" w:rsidRDefault="00E61212" w:rsidP="00466D86">
      <w:pPr>
        <w:pBdr>
          <w:top w:val="nil"/>
          <w:left w:val="nil"/>
          <w:bottom w:val="nil"/>
          <w:right w:val="nil"/>
          <w:between w:val="nil"/>
          <w:bar w:val="nil"/>
        </w:pBdr>
        <w:jc w:val="both"/>
      </w:pPr>
    </w:p>
    <w:p w14:paraId="58E8FDAB" w14:textId="110CE802" w:rsidR="00BA4CCB" w:rsidRPr="00643861" w:rsidRDefault="00AB7F8B" w:rsidP="00466D86">
      <w:pPr>
        <w:pBdr>
          <w:top w:val="nil"/>
          <w:left w:val="nil"/>
          <w:bottom w:val="nil"/>
          <w:right w:val="nil"/>
          <w:between w:val="nil"/>
          <w:bar w:val="nil"/>
        </w:pBdr>
        <w:jc w:val="both"/>
      </w:pPr>
      <w:r w:rsidRPr="00643861">
        <w:rPr>
          <w:b/>
        </w:rPr>
        <w:t>Stanovisko:</w:t>
      </w:r>
      <w:r w:rsidR="006242A6" w:rsidRPr="00643861">
        <w:t xml:space="preserve"> </w:t>
      </w:r>
      <w:r w:rsidR="00E57A94" w:rsidRPr="00643861">
        <w:t>SR nemá k uvedenému bodu výhrady ani pripomienky.</w:t>
      </w:r>
    </w:p>
    <w:p w14:paraId="7D586B80" w14:textId="77777777" w:rsidR="006242A6" w:rsidRPr="00643861" w:rsidRDefault="006242A6" w:rsidP="00466D86">
      <w:pPr>
        <w:pBdr>
          <w:top w:val="nil"/>
          <w:left w:val="nil"/>
          <w:bottom w:val="nil"/>
          <w:right w:val="nil"/>
          <w:between w:val="nil"/>
          <w:bar w:val="nil"/>
        </w:pBdr>
        <w:jc w:val="both"/>
        <w:rPr>
          <w:u w:val="single"/>
        </w:rPr>
      </w:pPr>
    </w:p>
    <w:p w14:paraId="4420FA4C" w14:textId="6750729B" w:rsidR="002A671D" w:rsidRPr="00643861" w:rsidRDefault="002A671D" w:rsidP="00466D86">
      <w:pPr>
        <w:pBdr>
          <w:top w:val="nil"/>
          <w:left w:val="nil"/>
          <w:bottom w:val="nil"/>
          <w:right w:val="nil"/>
          <w:between w:val="nil"/>
          <w:bar w:val="nil"/>
        </w:pBdr>
        <w:jc w:val="both"/>
        <w:rPr>
          <w:u w:val="single"/>
        </w:rPr>
      </w:pPr>
      <w:r w:rsidRPr="00643861">
        <w:rPr>
          <w:u w:val="single"/>
        </w:rPr>
        <w:t xml:space="preserve">Novelizačný bod </w:t>
      </w:r>
      <w:r w:rsidR="00596772" w:rsidRPr="00643861">
        <w:rPr>
          <w:u w:val="single"/>
        </w:rPr>
        <w:t>6</w:t>
      </w:r>
      <w:r w:rsidRPr="00643861">
        <w:rPr>
          <w:u w:val="single"/>
        </w:rPr>
        <w:t xml:space="preserve"> – </w:t>
      </w:r>
      <w:r w:rsidR="00B72BB8" w:rsidRPr="00643861">
        <w:rPr>
          <w:u w:val="single"/>
        </w:rPr>
        <w:t xml:space="preserve">Článok </w:t>
      </w:r>
      <w:r w:rsidR="00466D86" w:rsidRPr="00643861">
        <w:rPr>
          <w:u w:val="single"/>
        </w:rPr>
        <w:t>5a nariadenia (ES) č. 1073</w:t>
      </w:r>
      <w:r w:rsidR="00B72BB8" w:rsidRPr="00643861">
        <w:rPr>
          <w:u w:val="single"/>
        </w:rPr>
        <w:t>/2009</w:t>
      </w:r>
    </w:p>
    <w:p w14:paraId="66F51185" w14:textId="2317565C" w:rsidR="00686C2F" w:rsidRPr="00643861" w:rsidRDefault="00466D86" w:rsidP="00466D86">
      <w:pPr>
        <w:pBdr>
          <w:top w:val="nil"/>
          <w:left w:val="nil"/>
          <w:bottom w:val="nil"/>
          <w:right w:val="nil"/>
          <w:between w:val="nil"/>
          <w:bar w:val="nil"/>
        </w:pBdr>
        <w:jc w:val="both"/>
      </w:pPr>
      <w:r w:rsidRPr="00643861">
        <w:t>Navrhuje sa doplniť nový článok, v ktorom sa bude vyžadovať, aby bol dopravcom udelený prístup k staniciam za spravodlivých, rovnocenných, nediskriminačných a transparentných podmienok na účely prevádzkovania pravidelnej dopravy. Podmienky prístupu k staniciam by sa mali zverejniť.</w:t>
      </w:r>
    </w:p>
    <w:p w14:paraId="5158D0C7" w14:textId="77777777" w:rsidR="00466D86" w:rsidRPr="00643861" w:rsidRDefault="00466D86" w:rsidP="00466D86">
      <w:pPr>
        <w:pBdr>
          <w:top w:val="nil"/>
          <w:left w:val="nil"/>
          <w:bottom w:val="nil"/>
          <w:right w:val="nil"/>
          <w:between w:val="nil"/>
          <w:bar w:val="nil"/>
        </w:pBdr>
        <w:jc w:val="both"/>
      </w:pPr>
    </w:p>
    <w:p w14:paraId="1FA58E06" w14:textId="21391F95" w:rsidR="00CD7CE9" w:rsidRPr="00643861" w:rsidRDefault="00AB7F8B" w:rsidP="00466D86">
      <w:pPr>
        <w:pBdr>
          <w:top w:val="nil"/>
          <w:left w:val="nil"/>
          <w:bottom w:val="nil"/>
          <w:right w:val="nil"/>
          <w:between w:val="nil"/>
          <w:bar w:val="nil"/>
        </w:pBdr>
        <w:jc w:val="both"/>
      </w:pPr>
      <w:r w:rsidRPr="00643861">
        <w:rPr>
          <w:b/>
        </w:rPr>
        <w:t>Stanovisko</w:t>
      </w:r>
      <w:r w:rsidR="006242A6" w:rsidRPr="00643861">
        <w:t xml:space="preserve">: </w:t>
      </w:r>
      <w:r w:rsidR="00E57A94" w:rsidRPr="00643861">
        <w:t xml:space="preserve">V podmienkach Slovenskej republiky čiastočne tento prístup zavedený je. </w:t>
      </w:r>
      <w:r w:rsidR="00B904F2" w:rsidRPr="00643861">
        <w:t xml:space="preserve">V aplikačnej </w:t>
      </w:r>
      <w:r w:rsidR="0079338E" w:rsidRPr="00643861">
        <w:t xml:space="preserve"> praxi</w:t>
      </w:r>
      <w:r w:rsidR="00B904F2" w:rsidRPr="00643861">
        <w:t xml:space="preserve"> sú však</w:t>
      </w:r>
      <w:r w:rsidR="0079338E" w:rsidRPr="00643861">
        <w:t xml:space="preserve"> určité nedostatky vzhľadom na to, že </w:t>
      </w:r>
      <w:r w:rsidR="00B904F2" w:rsidRPr="00643861">
        <w:t>ide</w:t>
      </w:r>
      <w:r w:rsidR="0079338E" w:rsidRPr="00643861">
        <w:t xml:space="preserve"> o súkromných prevádzkovateľov staníc. Čo sa týka povinnosti prevádzkovateľa stanice poskytovať informácie o realizovateľných alternatívach, tu vidíme problém v aplikovateľnosti návrhu</w:t>
      </w:r>
      <w:r w:rsidR="00B904F2" w:rsidRPr="00643861">
        <w:t>,</w:t>
      </w:r>
      <w:r w:rsidR="0079338E" w:rsidRPr="00643861">
        <w:t xml:space="preserve"> ak daný prevádzkovateľ stan</w:t>
      </w:r>
      <w:r w:rsidR="00B904F2" w:rsidRPr="00643861">
        <w:t>i</w:t>
      </w:r>
      <w:r w:rsidR="0079338E" w:rsidRPr="00643861">
        <w:t>ce nemá dosah a</w:t>
      </w:r>
      <w:r w:rsidR="00B904F2" w:rsidRPr="00643861">
        <w:t xml:space="preserve"> ani</w:t>
      </w:r>
      <w:r w:rsidR="0079338E" w:rsidRPr="00643861">
        <w:t> vplyv na iné stanice.</w:t>
      </w:r>
      <w:r w:rsidR="00855111" w:rsidRPr="00643861">
        <w:t xml:space="preserve"> V prípade prístupu k staniciam a zároveň aj pri postupe získavania prístupu k staniciam navrhujeme presne stanoviť, že povinnosti dopravcu sa v tomto prípade vzťahujú aj na subdodávateľa.</w:t>
      </w:r>
    </w:p>
    <w:p w14:paraId="22D34FB5" w14:textId="77777777" w:rsidR="00CD7CE9" w:rsidRPr="00643861" w:rsidRDefault="00CD7CE9" w:rsidP="00466D86">
      <w:pPr>
        <w:pBdr>
          <w:top w:val="nil"/>
          <w:left w:val="nil"/>
          <w:bottom w:val="nil"/>
          <w:right w:val="nil"/>
          <w:between w:val="nil"/>
          <w:bar w:val="nil"/>
        </w:pBdr>
        <w:jc w:val="both"/>
        <w:rPr>
          <w:b/>
        </w:rPr>
      </w:pPr>
    </w:p>
    <w:p w14:paraId="1CF9B1B6" w14:textId="4867D087" w:rsidR="00EF5251" w:rsidRPr="00643861" w:rsidRDefault="00522CAE" w:rsidP="00466D86">
      <w:pPr>
        <w:pBdr>
          <w:top w:val="nil"/>
          <w:left w:val="nil"/>
          <w:bottom w:val="nil"/>
          <w:right w:val="nil"/>
          <w:between w:val="nil"/>
          <w:bar w:val="nil"/>
        </w:pBdr>
        <w:jc w:val="both"/>
        <w:rPr>
          <w:u w:val="single"/>
        </w:rPr>
      </w:pPr>
      <w:r w:rsidRPr="00643861">
        <w:rPr>
          <w:u w:val="single"/>
        </w:rPr>
        <w:t xml:space="preserve">Novelizačný bod </w:t>
      </w:r>
      <w:r w:rsidR="00596772" w:rsidRPr="00643861">
        <w:rPr>
          <w:u w:val="single"/>
        </w:rPr>
        <w:t>7</w:t>
      </w:r>
    </w:p>
    <w:p w14:paraId="36B536D2" w14:textId="32234625" w:rsidR="00522CAE" w:rsidRPr="00643861" w:rsidRDefault="00466D86" w:rsidP="00466D86">
      <w:pPr>
        <w:pBdr>
          <w:top w:val="nil"/>
          <w:left w:val="nil"/>
          <w:bottom w:val="nil"/>
          <w:right w:val="nil"/>
          <w:between w:val="nil"/>
          <w:bar w:val="nil"/>
        </w:pBdr>
        <w:jc w:val="both"/>
        <w:rPr>
          <w:u w:val="single"/>
        </w:rPr>
      </w:pPr>
      <w:r w:rsidRPr="00643861">
        <w:rPr>
          <w:u w:val="single"/>
        </w:rPr>
        <w:t>Článok 5b</w:t>
      </w:r>
      <w:r w:rsidR="00B72BB8" w:rsidRPr="00643861">
        <w:rPr>
          <w:u w:val="single"/>
        </w:rPr>
        <w:t xml:space="preserve"> </w:t>
      </w:r>
      <w:r w:rsidRPr="00643861">
        <w:rPr>
          <w:u w:val="single"/>
        </w:rPr>
        <w:t>nariadenia (ES) č. 1073</w:t>
      </w:r>
      <w:r w:rsidR="00B72BB8" w:rsidRPr="00643861">
        <w:rPr>
          <w:u w:val="single"/>
        </w:rPr>
        <w:t>/2009</w:t>
      </w:r>
    </w:p>
    <w:p w14:paraId="6104E63C" w14:textId="7F9019BC" w:rsidR="002E6687" w:rsidRPr="00643861" w:rsidRDefault="00466D86" w:rsidP="00466D86">
      <w:pPr>
        <w:pBdr>
          <w:top w:val="nil"/>
          <w:left w:val="nil"/>
          <w:bottom w:val="nil"/>
          <w:right w:val="nil"/>
          <w:between w:val="nil"/>
          <w:bar w:val="nil"/>
        </w:pBdr>
        <w:jc w:val="both"/>
      </w:pPr>
      <w:r w:rsidRPr="00643861">
        <w:t>Navrhuje sa doplniť nový článok, v ktorom sa stanoví postup získavania prístupu k staniciam. Žiadosti o prístup by sa mali zamietnuť len v prípade, že stanica nemá dostatočnú kapacitu. Rozhodnutia o žiadostiach o prístup by mali byť prijaté do dvoch mesiacov a mali by obsahovať primerané odôvodnenie. Dopravcovia by mali mať možnosť podať regulačnému orgánu odvolanie proti rozhodnutiam. Rozhodnutie regulačného orgánu by malo byť záväzné.</w:t>
      </w:r>
    </w:p>
    <w:p w14:paraId="0B4CA72D" w14:textId="77777777" w:rsidR="00790048" w:rsidRPr="00643861" w:rsidRDefault="00790048" w:rsidP="00466D86">
      <w:pPr>
        <w:pBdr>
          <w:top w:val="nil"/>
          <w:left w:val="nil"/>
          <w:bottom w:val="nil"/>
          <w:right w:val="nil"/>
          <w:between w:val="nil"/>
          <w:bar w:val="nil"/>
        </w:pBdr>
        <w:jc w:val="both"/>
        <w:rPr>
          <w:b/>
        </w:rPr>
      </w:pPr>
    </w:p>
    <w:p w14:paraId="140184BC" w14:textId="5FD64B1E" w:rsidR="00937989" w:rsidRPr="00643861" w:rsidRDefault="00AB7F8B" w:rsidP="00466D86">
      <w:pPr>
        <w:pBdr>
          <w:top w:val="nil"/>
          <w:left w:val="nil"/>
          <w:bottom w:val="nil"/>
          <w:right w:val="nil"/>
          <w:between w:val="nil"/>
          <w:bar w:val="nil"/>
        </w:pBdr>
        <w:jc w:val="both"/>
        <w:rPr>
          <w:u w:val="single"/>
        </w:rPr>
      </w:pPr>
      <w:r w:rsidRPr="00643861">
        <w:rPr>
          <w:b/>
        </w:rPr>
        <w:t>Stanovisko</w:t>
      </w:r>
      <w:r w:rsidR="00937989" w:rsidRPr="00643861">
        <w:t xml:space="preserve">: </w:t>
      </w:r>
      <w:r w:rsidR="0079338E" w:rsidRPr="00643861">
        <w:t>V ustanovení považujeme nejasn</w:t>
      </w:r>
      <w:r w:rsidR="00EF5251" w:rsidRPr="00643861">
        <w:t>ú</w:t>
      </w:r>
      <w:r w:rsidR="0079338E" w:rsidRPr="00643861">
        <w:t xml:space="preserve"> formulác</w:t>
      </w:r>
      <w:r w:rsidR="00EF5251" w:rsidRPr="00643861">
        <w:t>iu</w:t>
      </w:r>
      <w:r w:rsidR="0079338E" w:rsidRPr="00643861">
        <w:t>, kto sa považuje za zainteresovaného dopravcu.</w:t>
      </w:r>
    </w:p>
    <w:p w14:paraId="4C66B6E0" w14:textId="77777777" w:rsidR="00EF5251" w:rsidRPr="00643861" w:rsidRDefault="00EF5251" w:rsidP="00466D86">
      <w:pPr>
        <w:pBdr>
          <w:top w:val="nil"/>
          <w:left w:val="nil"/>
          <w:bottom w:val="nil"/>
          <w:right w:val="nil"/>
          <w:between w:val="nil"/>
          <w:bar w:val="nil"/>
        </w:pBdr>
        <w:jc w:val="both"/>
        <w:rPr>
          <w:u w:val="single"/>
        </w:rPr>
      </w:pPr>
    </w:p>
    <w:p w14:paraId="7B0B39A5" w14:textId="77C30C93" w:rsidR="00596772" w:rsidRPr="00643861" w:rsidRDefault="00EF5251" w:rsidP="00466D86">
      <w:pPr>
        <w:pBdr>
          <w:top w:val="nil"/>
          <w:left w:val="nil"/>
          <w:bottom w:val="nil"/>
          <w:right w:val="nil"/>
          <w:between w:val="nil"/>
          <w:bar w:val="nil"/>
        </w:pBdr>
        <w:jc w:val="both"/>
        <w:rPr>
          <w:u w:val="single"/>
        </w:rPr>
      </w:pPr>
      <w:r w:rsidRPr="00643861">
        <w:rPr>
          <w:u w:val="single"/>
        </w:rPr>
        <w:t>Č</w:t>
      </w:r>
      <w:r w:rsidR="00596772" w:rsidRPr="00643861">
        <w:rPr>
          <w:u w:val="single"/>
        </w:rPr>
        <w:t>lánok 6 nariadenia (ES) č. 1073/2009</w:t>
      </w:r>
    </w:p>
    <w:p w14:paraId="0CC26B3C" w14:textId="3B0CB7F5" w:rsidR="00596772" w:rsidRPr="00643861" w:rsidRDefault="00596772" w:rsidP="00466D86">
      <w:pPr>
        <w:pBdr>
          <w:top w:val="nil"/>
          <w:left w:val="nil"/>
          <w:bottom w:val="nil"/>
          <w:right w:val="nil"/>
          <w:between w:val="nil"/>
          <w:bar w:val="nil"/>
        </w:pBdr>
        <w:jc w:val="both"/>
      </w:pPr>
      <w:r w:rsidRPr="00643861">
        <w:t>Ustanovuje sa, že povolenia na pravidelnú dopravu by sa mohli vydávať aj v elektronickej forme, pričom Komisia je splnomocnená pr</w:t>
      </w:r>
      <w:r w:rsidR="000A5644" w:rsidRPr="00643861">
        <w:t>i</w:t>
      </w:r>
      <w:r w:rsidRPr="00643861">
        <w:t>j</w:t>
      </w:r>
      <w:r w:rsidR="000A5644" w:rsidRPr="00643861">
        <w:t>í</w:t>
      </w:r>
      <w:r w:rsidRPr="00643861">
        <w:t>mať delegované akty pre formát povolení.</w:t>
      </w:r>
    </w:p>
    <w:p w14:paraId="2C9FEBF9" w14:textId="77777777" w:rsidR="00596772" w:rsidRPr="00643861" w:rsidRDefault="00596772" w:rsidP="00466D86">
      <w:pPr>
        <w:pBdr>
          <w:top w:val="nil"/>
          <w:left w:val="nil"/>
          <w:bottom w:val="nil"/>
          <w:right w:val="nil"/>
          <w:between w:val="nil"/>
          <w:bar w:val="nil"/>
        </w:pBdr>
        <w:jc w:val="both"/>
        <w:rPr>
          <w:u w:val="single"/>
        </w:rPr>
      </w:pPr>
    </w:p>
    <w:p w14:paraId="6BA676A5" w14:textId="20071641" w:rsidR="009E2772" w:rsidRPr="00643861" w:rsidRDefault="00596772" w:rsidP="00596772">
      <w:pPr>
        <w:pBdr>
          <w:top w:val="nil"/>
          <w:left w:val="nil"/>
          <w:bottom w:val="nil"/>
          <w:right w:val="nil"/>
          <w:between w:val="nil"/>
          <w:bar w:val="nil"/>
        </w:pBdr>
        <w:jc w:val="both"/>
      </w:pPr>
      <w:r w:rsidRPr="00643861">
        <w:rPr>
          <w:b/>
        </w:rPr>
        <w:t>Stanovisko</w:t>
      </w:r>
      <w:r w:rsidRPr="00643861">
        <w:t xml:space="preserve">: Tu je potrebné brať </w:t>
      </w:r>
      <w:r w:rsidR="00441931" w:rsidRPr="00643861">
        <w:t>do úvahy skutočnosť, že</w:t>
      </w:r>
      <w:r w:rsidRPr="00643861">
        <w:t xml:space="preserve"> ak bude zavedená elektronická forma </w:t>
      </w:r>
      <w:r w:rsidR="009E2772" w:rsidRPr="00643861">
        <w:t>povolenia, bude potrebné zabezpečiť aj prístup pre kontrolné orgány.</w:t>
      </w:r>
    </w:p>
    <w:p w14:paraId="0322D893" w14:textId="77777777" w:rsidR="009E2772" w:rsidRPr="00643861" w:rsidRDefault="009E2772" w:rsidP="00596772">
      <w:pPr>
        <w:pBdr>
          <w:top w:val="nil"/>
          <w:left w:val="nil"/>
          <w:bottom w:val="nil"/>
          <w:right w:val="nil"/>
          <w:between w:val="nil"/>
          <w:bar w:val="nil"/>
        </w:pBdr>
        <w:jc w:val="both"/>
      </w:pPr>
    </w:p>
    <w:p w14:paraId="61D3858D" w14:textId="0A6B4864" w:rsidR="009E2772" w:rsidRPr="00643861" w:rsidRDefault="005740E8" w:rsidP="009E2772">
      <w:pPr>
        <w:pBdr>
          <w:top w:val="nil"/>
          <w:left w:val="nil"/>
          <w:bottom w:val="nil"/>
          <w:right w:val="nil"/>
          <w:between w:val="nil"/>
          <w:bar w:val="nil"/>
        </w:pBdr>
        <w:jc w:val="both"/>
        <w:rPr>
          <w:u w:val="single"/>
        </w:rPr>
      </w:pPr>
      <w:r w:rsidRPr="00643861">
        <w:rPr>
          <w:u w:val="single"/>
        </w:rPr>
        <w:t>Novelizačný bod 8</w:t>
      </w:r>
      <w:r w:rsidR="009E2772" w:rsidRPr="00643861">
        <w:rPr>
          <w:u w:val="single"/>
        </w:rPr>
        <w:t xml:space="preserve"> – článok 7 nariadenia (ES) č. 1073/2009</w:t>
      </w:r>
    </w:p>
    <w:p w14:paraId="0AB76BAF" w14:textId="4AED918E" w:rsidR="009E2772" w:rsidRPr="00643861" w:rsidRDefault="009E2772" w:rsidP="009E2772">
      <w:pPr>
        <w:pBdr>
          <w:top w:val="nil"/>
          <w:left w:val="nil"/>
          <w:bottom w:val="nil"/>
          <w:right w:val="nil"/>
          <w:between w:val="nil"/>
          <w:bar w:val="nil"/>
        </w:pBdr>
        <w:jc w:val="both"/>
      </w:pPr>
      <w:r w:rsidRPr="00643861">
        <w:lastRenderedPageBreak/>
        <w:t>Ustanovuje sa, že žiadosti o povolenia na pravidelnú dopravu sa môžu predkladať aj v elektronickej forme, pričom Komisia je splnomocnená pr</w:t>
      </w:r>
      <w:r w:rsidR="00441931" w:rsidRPr="00643861">
        <w:t>ijímať</w:t>
      </w:r>
      <w:r w:rsidRPr="00643861">
        <w:t xml:space="preserve"> delegované akty pre formát povolení.</w:t>
      </w:r>
    </w:p>
    <w:p w14:paraId="39AADCE9" w14:textId="77777777" w:rsidR="009E2772" w:rsidRPr="00643861" w:rsidRDefault="009E2772" w:rsidP="009E2772">
      <w:pPr>
        <w:pBdr>
          <w:top w:val="nil"/>
          <w:left w:val="nil"/>
          <w:bottom w:val="nil"/>
          <w:right w:val="nil"/>
          <w:between w:val="nil"/>
          <w:bar w:val="nil"/>
        </w:pBdr>
        <w:jc w:val="both"/>
        <w:rPr>
          <w:u w:val="single"/>
        </w:rPr>
      </w:pPr>
    </w:p>
    <w:p w14:paraId="6AE9A34B" w14:textId="37EDF746" w:rsidR="009E2772" w:rsidRPr="00643861" w:rsidRDefault="009E2772" w:rsidP="009E2772">
      <w:pPr>
        <w:pBdr>
          <w:top w:val="nil"/>
          <w:left w:val="nil"/>
          <w:bottom w:val="nil"/>
          <w:right w:val="nil"/>
          <w:between w:val="nil"/>
          <w:bar w:val="nil"/>
        </w:pBdr>
        <w:jc w:val="both"/>
      </w:pPr>
      <w:r w:rsidRPr="00643861">
        <w:rPr>
          <w:b/>
        </w:rPr>
        <w:t>Stanovisko</w:t>
      </w:r>
      <w:r w:rsidRPr="00643861">
        <w:t>: SR nemá k uvedenému bodu výhrady ani pripomienky.</w:t>
      </w:r>
    </w:p>
    <w:p w14:paraId="78AF5704" w14:textId="77777777" w:rsidR="00596772" w:rsidRPr="00643861" w:rsidRDefault="00596772" w:rsidP="00466D86">
      <w:pPr>
        <w:pBdr>
          <w:top w:val="nil"/>
          <w:left w:val="nil"/>
          <w:bottom w:val="nil"/>
          <w:right w:val="nil"/>
          <w:between w:val="nil"/>
          <w:bar w:val="nil"/>
        </w:pBdr>
        <w:jc w:val="both"/>
        <w:rPr>
          <w:u w:val="single"/>
        </w:rPr>
      </w:pPr>
    </w:p>
    <w:p w14:paraId="5AB9597A" w14:textId="66BD9855" w:rsidR="00522CAE" w:rsidRPr="00643861" w:rsidRDefault="00522CAE" w:rsidP="00466D86">
      <w:pPr>
        <w:pBdr>
          <w:top w:val="nil"/>
          <w:left w:val="nil"/>
          <w:bottom w:val="nil"/>
          <w:right w:val="nil"/>
          <w:between w:val="nil"/>
          <w:bar w:val="nil"/>
        </w:pBdr>
        <w:jc w:val="both"/>
        <w:rPr>
          <w:u w:val="single"/>
        </w:rPr>
      </w:pPr>
      <w:r w:rsidRPr="00643861">
        <w:rPr>
          <w:u w:val="single"/>
        </w:rPr>
        <w:t xml:space="preserve">Novelizačný bod </w:t>
      </w:r>
      <w:r w:rsidR="009E2772" w:rsidRPr="00643861">
        <w:rPr>
          <w:u w:val="single"/>
        </w:rPr>
        <w:t>9</w:t>
      </w:r>
      <w:r w:rsidRPr="00643861">
        <w:rPr>
          <w:u w:val="single"/>
        </w:rPr>
        <w:t xml:space="preserve"> – </w:t>
      </w:r>
      <w:r w:rsidR="00E61212" w:rsidRPr="00643861">
        <w:rPr>
          <w:u w:val="single"/>
        </w:rPr>
        <w:t xml:space="preserve">Článok </w:t>
      </w:r>
      <w:r w:rsidR="00466D86" w:rsidRPr="00643861">
        <w:rPr>
          <w:u w:val="single"/>
        </w:rPr>
        <w:t>8 nariadenia (ES) č. 1073</w:t>
      </w:r>
      <w:r w:rsidR="00E61212" w:rsidRPr="00643861">
        <w:rPr>
          <w:u w:val="single"/>
        </w:rPr>
        <w:t>/2009</w:t>
      </w:r>
    </w:p>
    <w:p w14:paraId="6406961D" w14:textId="0B10B518" w:rsidR="00790048" w:rsidRPr="00643861" w:rsidRDefault="00466D86" w:rsidP="00466D86">
      <w:pPr>
        <w:pBdr>
          <w:top w:val="nil"/>
          <w:left w:val="nil"/>
          <w:bottom w:val="nil"/>
          <w:right w:val="nil"/>
          <w:between w:val="nil"/>
          <w:bar w:val="nil"/>
        </w:pBdr>
        <w:jc w:val="both"/>
      </w:pPr>
      <w:r w:rsidRPr="00643861">
        <w:t>Článok 8 sa mení tak, aby sa v ňom stanovovalo povoľovacie konanie pre medzinárodnú pravidelnú dopravu cestujúcich na vzdialenosť menej než 100 kilometrov vzdušnou čiarou. Od povoľujúcich orgánov sa vyžaduje, aby sa usilovali o dohodu ostatných členských štátov, v ktorých cestujúci nastupujú, vystupujú a cez ktoré sa prepravujú na vzdialenosti menej než 100 kilometrov. Povolenia sa neudelia, iba ak je zamietnutie oprávnené na základe jasne vymedzených dôvodov. Ak príslušné orgány nedokážu dosiahnuť dohodu o povolení, záležitosť sa môže postúpiť Komisii. Komisia musí prijať rozhodnutie, ktoré bude platiť, až kým povoľujúci orgán neprijme svoje rozhodnutie.</w:t>
      </w:r>
    </w:p>
    <w:p w14:paraId="1B000195" w14:textId="77777777" w:rsidR="00466D86" w:rsidRPr="00643861" w:rsidRDefault="00466D86" w:rsidP="00466D86">
      <w:pPr>
        <w:pBdr>
          <w:top w:val="nil"/>
          <w:left w:val="nil"/>
          <w:bottom w:val="nil"/>
          <w:right w:val="nil"/>
          <w:between w:val="nil"/>
          <w:bar w:val="nil"/>
        </w:pBdr>
        <w:jc w:val="both"/>
        <w:rPr>
          <w:b/>
        </w:rPr>
      </w:pPr>
    </w:p>
    <w:p w14:paraId="3D34D9B0" w14:textId="53413F36" w:rsidR="00765A7C" w:rsidRPr="00643861" w:rsidRDefault="00AB7F8B" w:rsidP="00765A7C">
      <w:pPr>
        <w:pStyle w:val="Odsekzoznamu"/>
        <w:numPr>
          <w:ilvl w:val="0"/>
          <w:numId w:val="0"/>
        </w:numPr>
        <w:ind w:left="567"/>
      </w:pPr>
      <w:r w:rsidRPr="00643861">
        <w:rPr>
          <w:b/>
        </w:rPr>
        <w:t>Stanovisko</w:t>
      </w:r>
      <w:r w:rsidR="00937989" w:rsidRPr="00643861">
        <w:t xml:space="preserve">: </w:t>
      </w:r>
      <w:r w:rsidR="00441931" w:rsidRPr="00643861">
        <w:t>Navrhujeme neuvádzať vzdialenosť</w:t>
      </w:r>
      <w:r w:rsidR="009E2772" w:rsidRPr="00643861">
        <w:t xml:space="preserve"> „100 km vzdušnou čiarou“</w:t>
      </w:r>
      <w:r w:rsidR="00441931" w:rsidRPr="00643861">
        <w:t>, pretože vidíme problém v uvádzaní vzdialenosti „vzdušnou čiarou“. Navrhujeme prehodnotiť uvádzanie vzdialenosti podľa dĺžky autobusovej linky. Zároveň navrhujeme prehodnotiť aj časové lehoty potrebné na rozhodnutie pri danej linke.</w:t>
      </w:r>
      <w:r w:rsidR="00765A7C" w:rsidRPr="00643861">
        <w:t xml:space="preserve"> Zároveň navrhujeme prehodnotiť lehoty, pretože ak povoľujúci orgán zašle na iné príslušné orgány žiadosť o ich súhlas do 2 týždňov od prijatia žiadosti od dopravcu a ak príslušné orgány majú lehotu na vyjadrenie 3 mesiace od dátumu doručenia žiadosti o súhlas, tak konečná lehota na rozhodnutie pre povoľujúci orgán 4 mesiace je pomerne krátka (konečné stanoviská môže dostať cca po 3,5 týždňoch, čiže bude mať na rozhodovanie 1 až 2 týždne). Z uvedeného dôvodu navrhujeme prehodnotiť, prípadne skrátiť lehotu pre príslušné orgány, ktorá je 3 mesiace od doručenia žiadosti o súhlas, napríklad na 2 mesiace, aby povoľujúci orgán mohol do 4 mesiacov od doručenia žiadosti od dopravcu rozhodnúť.</w:t>
      </w:r>
    </w:p>
    <w:p w14:paraId="3EDB3715" w14:textId="77777777" w:rsidR="00937989" w:rsidRPr="00643861" w:rsidRDefault="00937989" w:rsidP="00466D86">
      <w:pPr>
        <w:pBdr>
          <w:top w:val="nil"/>
          <w:left w:val="nil"/>
          <w:bottom w:val="nil"/>
          <w:right w:val="nil"/>
          <w:between w:val="nil"/>
          <w:bar w:val="nil"/>
        </w:pBdr>
        <w:jc w:val="both"/>
        <w:rPr>
          <w:u w:val="single"/>
        </w:rPr>
      </w:pPr>
    </w:p>
    <w:p w14:paraId="45F96B87" w14:textId="77777777" w:rsidR="005740E8" w:rsidRPr="00643861" w:rsidRDefault="00C46005" w:rsidP="00466D86">
      <w:pPr>
        <w:pBdr>
          <w:top w:val="nil"/>
          <w:left w:val="nil"/>
          <w:bottom w:val="nil"/>
          <w:right w:val="nil"/>
          <w:between w:val="nil"/>
          <w:bar w:val="nil"/>
        </w:pBdr>
        <w:jc w:val="both"/>
        <w:rPr>
          <w:u w:val="single"/>
        </w:rPr>
      </w:pPr>
      <w:r w:rsidRPr="00643861">
        <w:rPr>
          <w:u w:val="single"/>
        </w:rPr>
        <w:t xml:space="preserve">Novelizačný bod </w:t>
      </w:r>
      <w:r w:rsidR="009E2772" w:rsidRPr="00643861">
        <w:rPr>
          <w:u w:val="single"/>
        </w:rPr>
        <w:t>10</w:t>
      </w:r>
    </w:p>
    <w:p w14:paraId="467F2A4C" w14:textId="77777777" w:rsidR="00441931" w:rsidRPr="00643861" w:rsidRDefault="00466D86" w:rsidP="00441931">
      <w:pPr>
        <w:pStyle w:val="Odsekzoznamu"/>
      </w:pPr>
      <w:r w:rsidRPr="00643861">
        <w:t>Dopĺňa sa článok 8a s cieľom stanoviť postup udeľovania povolení pre medzinárodnú pravidelnú dopravu cestujúcich na vzdialenosť 100 kilometrov a viac vzdušnou čiarou. Odmietnutie novej dopravy nemožno odôvodniť tým, že ohrozuje hospodársku rovnováhu zmluvy o službách vo verejnom záujme.</w:t>
      </w:r>
    </w:p>
    <w:p w14:paraId="0359ED3D" w14:textId="0922EA44" w:rsidR="00762BC9" w:rsidRPr="00643861" w:rsidRDefault="00441931" w:rsidP="00483AF4">
      <w:pPr>
        <w:pStyle w:val="Odsekzoznamu"/>
        <w:numPr>
          <w:ilvl w:val="0"/>
          <w:numId w:val="0"/>
        </w:numPr>
        <w:ind w:left="567"/>
      </w:pPr>
      <w:r w:rsidRPr="00643861">
        <w:rPr>
          <w:b/>
        </w:rPr>
        <w:t>Stanovisko</w:t>
      </w:r>
      <w:r w:rsidRPr="00643861">
        <w:t>: Navrhujeme neuvádzať vzdialenosť „100 km vzdušnou čiarou“, pretože vidíme problém v uvádzaní vzdialenosti „vzdušnou čiarou“. Navrhujeme prehodnotiť uvádzanie vzdialenosti podľa dĺžky autobusovej linky.</w:t>
      </w:r>
      <w:r w:rsidR="00762BC9" w:rsidRPr="00643861">
        <w:t xml:space="preserve"> </w:t>
      </w:r>
      <w:r w:rsidR="00765A7C" w:rsidRPr="00643861">
        <w:t xml:space="preserve">Zároveň navrhujeme prehodnotiť povinnosť povoľujúceho orgánu žiadať o súhlas príslušné orgány v iných štátoch. Môže nastať situácia, že dopravca požiada </w:t>
      </w:r>
      <w:r w:rsidR="00E62828" w:rsidRPr="00643861">
        <w:t>o medzinárodnú pravidelnú dopravu, v rámci ktorej bude aj</w:t>
      </w:r>
      <w:r w:rsidR="00765A7C" w:rsidRPr="00643861">
        <w:t> vykonávanie kabotáže v inom členskom štáte</w:t>
      </w:r>
      <w:r w:rsidR="00E62828" w:rsidRPr="00643861">
        <w:t xml:space="preserve">. V danom štáte však môže byť touto kabotážou ohrozená hospodárska rovnováha zmluvy o službách vo verejnom záujme. Navrhujeme v tomto prípade prehodnotiť ponechanie súčasného stavu v prípade povoľovania medzinárodnej pravidelnej dopravy, čo zodpovedá povoľovaniu medzinárodnej prepravy cestujúcich na vzdialenosť 100 kilometrov a viac. </w:t>
      </w:r>
    </w:p>
    <w:p w14:paraId="077C354E" w14:textId="77777777" w:rsidR="00441931" w:rsidRPr="00643861" w:rsidRDefault="00441931" w:rsidP="00441931">
      <w:pPr>
        <w:pStyle w:val="Odsekzoznamu"/>
        <w:numPr>
          <w:ilvl w:val="0"/>
          <w:numId w:val="0"/>
        </w:numPr>
        <w:ind w:left="567"/>
      </w:pPr>
    </w:p>
    <w:p w14:paraId="5278AD74" w14:textId="343F2DEB" w:rsidR="00790048" w:rsidRPr="00643861" w:rsidRDefault="00466D86" w:rsidP="001B2089">
      <w:pPr>
        <w:pStyle w:val="Odsekzoznamu"/>
      </w:pPr>
      <w:r w:rsidRPr="00643861">
        <w:t xml:space="preserve">Navrhuje sa doplniť článok 8b s cieľom stanoviť povoľovacie konanie pre vnútroštátnu pravidelnú dopravu. Povolenie pre novú dopravu cestujúcich na vzdialenosť menej než </w:t>
      </w:r>
      <w:r w:rsidRPr="00643861">
        <w:lastRenderedPageBreak/>
        <w:t>100 kilometrov vzdušnou čiarou možno zamietnuť, ak ohrozuje hospodársku rovnováhu zmluvy o službách vo verejnom záujme. Vzhľadom na rozdiely v spôsobe organizácie rôznych druhov verejnej dopravy členských štátov na ich území a odlišné geografické podmienky členských štátov možno túto vzdialenosť zvýšiť na 120 kilometrov, ak nová navrhovaná doprava má obsluhovať miesto odchodu a miesto určenia, na ktorých je už doprava zabezpečená jednou alebo viacerými zmluvami o službách vo verejnom záujme.</w:t>
      </w:r>
    </w:p>
    <w:p w14:paraId="6864F800" w14:textId="77777777" w:rsidR="00466D86" w:rsidRPr="00643861" w:rsidRDefault="00466D86" w:rsidP="00466D86">
      <w:pPr>
        <w:pBdr>
          <w:top w:val="nil"/>
          <w:left w:val="nil"/>
          <w:bottom w:val="nil"/>
          <w:right w:val="nil"/>
          <w:between w:val="nil"/>
          <w:bar w:val="nil"/>
        </w:pBdr>
        <w:jc w:val="both"/>
        <w:rPr>
          <w:b/>
        </w:rPr>
      </w:pPr>
    </w:p>
    <w:p w14:paraId="0BA18A34" w14:textId="5F5D1BEB" w:rsidR="00762BC9" w:rsidRPr="00643861" w:rsidRDefault="00AB7F8B" w:rsidP="001B2089">
      <w:pPr>
        <w:pBdr>
          <w:top w:val="nil"/>
          <w:left w:val="nil"/>
          <w:bottom w:val="nil"/>
          <w:right w:val="nil"/>
          <w:between w:val="nil"/>
          <w:bar w:val="nil"/>
        </w:pBdr>
        <w:ind w:left="567"/>
        <w:jc w:val="both"/>
      </w:pPr>
      <w:r w:rsidRPr="00643861">
        <w:rPr>
          <w:b/>
        </w:rPr>
        <w:t>Stanovisko</w:t>
      </w:r>
      <w:r w:rsidR="00937989" w:rsidRPr="00643861">
        <w:t xml:space="preserve">: </w:t>
      </w:r>
      <w:r w:rsidR="00441931" w:rsidRPr="00643861">
        <w:t>Navrhujeme neuvádzať vzdialenosť „100 km vzdušnou čiarou“, pretože vidíme problém v uvádzaní vzdialenosti „vzdušnou čiarou“. Navrhujeme prehodnotiť uvádzanie vzdialenosti podľa dĺžky autobusovej linky.</w:t>
      </w:r>
    </w:p>
    <w:p w14:paraId="6DF1699F" w14:textId="6333A598" w:rsidR="00D22C5A" w:rsidRPr="00643861" w:rsidRDefault="00D22C5A" w:rsidP="001B2089">
      <w:pPr>
        <w:pBdr>
          <w:top w:val="nil"/>
          <w:left w:val="nil"/>
          <w:bottom w:val="nil"/>
          <w:right w:val="nil"/>
          <w:between w:val="nil"/>
          <w:bar w:val="nil"/>
        </w:pBdr>
        <w:ind w:left="567"/>
        <w:jc w:val="both"/>
        <w:rPr>
          <w:u w:val="single"/>
        </w:rPr>
      </w:pPr>
    </w:p>
    <w:p w14:paraId="616DDAEB" w14:textId="77777777" w:rsidR="00937989" w:rsidRPr="00643861" w:rsidRDefault="00937989" w:rsidP="00466D86">
      <w:pPr>
        <w:pBdr>
          <w:top w:val="nil"/>
          <w:left w:val="nil"/>
          <w:bottom w:val="nil"/>
          <w:right w:val="nil"/>
          <w:between w:val="nil"/>
          <w:bar w:val="nil"/>
        </w:pBdr>
        <w:jc w:val="both"/>
        <w:rPr>
          <w:u w:val="single"/>
        </w:rPr>
      </w:pPr>
    </w:p>
    <w:p w14:paraId="7AA31DAB" w14:textId="725F72A8" w:rsidR="00790048" w:rsidRPr="00643861" w:rsidRDefault="00466D86" w:rsidP="001B2089">
      <w:pPr>
        <w:pStyle w:val="Odsekzoznamu"/>
      </w:pPr>
      <w:r w:rsidRPr="00643861">
        <w:t>Navrhuje sa doplniť článok 8c, v ktorom sa vymedzujú rozhodnutia povoľovacích orgánov. Povoľujúce orgány podľa neho môžu udeľovať povolenia, udeľovať obmedzené povolenia alebo zamietať povolenia. Vyžaduje sa, aby rozhodnutia o zamietnutí povolení alebo udelení obmedzených povolení boli odôvodnené. Stanovujú sa tu dôvody zamietnutia žiadosti.</w:t>
      </w:r>
    </w:p>
    <w:p w14:paraId="52BE90CA" w14:textId="77777777" w:rsidR="00466D86" w:rsidRPr="00643861" w:rsidRDefault="00466D86" w:rsidP="00466D86">
      <w:pPr>
        <w:pBdr>
          <w:top w:val="nil"/>
          <w:left w:val="nil"/>
          <w:bottom w:val="nil"/>
          <w:right w:val="nil"/>
          <w:between w:val="nil"/>
          <w:bar w:val="nil"/>
        </w:pBdr>
        <w:jc w:val="both"/>
        <w:rPr>
          <w:b/>
        </w:rPr>
      </w:pPr>
    </w:p>
    <w:p w14:paraId="216C42E6" w14:textId="6238449E" w:rsidR="00D22C5A" w:rsidRPr="00643861" w:rsidRDefault="00AB7F8B" w:rsidP="00762BC9">
      <w:pPr>
        <w:pBdr>
          <w:top w:val="nil"/>
          <w:left w:val="nil"/>
          <w:bottom w:val="nil"/>
          <w:right w:val="nil"/>
          <w:between w:val="nil"/>
          <w:bar w:val="nil"/>
        </w:pBdr>
        <w:ind w:left="567"/>
        <w:jc w:val="both"/>
      </w:pPr>
      <w:r w:rsidRPr="00643861">
        <w:rPr>
          <w:b/>
        </w:rPr>
        <w:t>Stanovisko</w:t>
      </w:r>
      <w:r w:rsidR="00937989" w:rsidRPr="00643861">
        <w:t xml:space="preserve">: </w:t>
      </w:r>
      <w:r w:rsidR="00762BC9" w:rsidRPr="00643861">
        <w:t xml:space="preserve">Navrhujeme, aby bolo presne v nariadení definované, čo má byť obsahom </w:t>
      </w:r>
      <w:r w:rsidR="00806A92" w:rsidRPr="00643861">
        <w:t xml:space="preserve">hospodárskej analýzy. </w:t>
      </w:r>
    </w:p>
    <w:p w14:paraId="514F36CA" w14:textId="77777777" w:rsidR="00937989" w:rsidRPr="00643861" w:rsidRDefault="00937989" w:rsidP="00466D86">
      <w:pPr>
        <w:pBdr>
          <w:top w:val="nil"/>
          <w:left w:val="nil"/>
          <w:bottom w:val="nil"/>
          <w:right w:val="nil"/>
          <w:between w:val="nil"/>
          <w:bar w:val="nil"/>
        </w:pBdr>
        <w:jc w:val="both"/>
      </w:pPr>
    </w:p>
    <w:p w14:paraId="6C8E6999" w14:textId="5C02A134" w:rsidR="00790048" w:rsidRPr="00643861" w:rsidRDefault="00466D86" w:rsidP="001B2089">
      <w:pPr>
        <w:pStyle w:val="Odsekzoznamu"/>
        <w:rPr>
          <w:u w:val="single"/>
        </w:rPr>
      </w:pPr>
      <w:r w:rsidRPr="00643861">
        <w:t>Navrhuje sa doplniť článok 8d s cieľom stanoviť postup ochrany zmlúv o službách vo verejnom záujme. Členské štáty môžu zamietnuť žiadosti o povolenia len vtedy, ak ohrozujú hospodársku rovnováhu zmluvy o službách vo verejnom záujme. Iba stanovené zainteresované strany môžu požiadať regulačný orgán o vykonanie hospodárskej analýzy. Regulačný orgán môže dospieť k záveru, že povolenie možno udeliť, možno udeliť povolenie za istých podmienok alebo možno povolenie zamietnuť. Závery regulačného orgánu by mali byť záväzné.</w:t>
      </w:r>
    </w:p>
    <w:p w14:paraId="675A1ACB" w14:textId="255EC3DC" w:rsidR="001B2089" w:rsidRPr="000A0140" w:rsidRDefault="00AB7F8B" w:rsidP="000A0140">
      <w:pPr>
        <w:pStyle w:val="Point0"/>
        <w:ind w:left="567" w:firstLine="0"/>
      </w:pPr>
      <w:r w:rsidRPr="00643861">
        <w:rPr>
          <w:b/>
        </w:rPr>
        <w:t>Stanovisko</w:t>
      </w:r>
      <w:r w:rsidR="001255B1" w:rsidRPr="00643861">
        <w:t xml:space="preserve">: </w:t>
      </w:r>
      <w:r w:rsidR="00762BC9" w:rsidRPr="00643861">
        <w:t>Navrhujeme, aby bolo presne v nariadení definované, čo má byť obsahom hospodárskej analýzy</w:t>
      </w:r>
      <w:r w:rsidR="00C80D33">
        <w:t xml:space="preserve">. </w:t>
      </w:r>
      <w:r w:rsidR="00C80D33" w:rsidRPr="000A0140">
        <w:t>Odporúčame v článku 8d (Obmedzenie práva na prístup) vymazať ods. 5, podľa ktorého je Komisia je splnomocnená prijímať delegované akty stanovujúce postup a kritériá pri uplatňovaní tohto článku, najmä vo vzťahu k vykonaniu analýzy hospodárskej rovnováhy. Navrhujeme, aby postup, obsah, kritériá hodnotenia pri vykonávaní hospodárskej analýzy na základe ktorej sa má zistiť, či dôjde k ohrozeniu hospodárskej rovnováhy zmluvy o službách vo verejnom záujme boli zadefinované v samotnom návrhu nariadenia, nie v budúcom delegovanom akte. Postup pri vykonávaní čl. 8 je podstatným prvkom návrhu, keďže ide možnosť obmedzovania hospodárskej súťaže dopravcov, a preto v súlade s čl. 290 Zmluvy o fungovaní EÚ nemôže byť riešený formou delegovaných aktov, nakoľko tieto môžu riešiť iba nepodstatné prvky legislatívneho aktu. Okrem toho, v súčasnosti podobná problematika vykonávania skúšky hospodárskej rovnováhy v železničnej doprave sa rieši formou nie delegovaného, ale iba vykonávacieho aktu (Vykonávacie nariadenie Komisie (EÚ) č. 869/2014 z 11. augusta 2014 o nových službách osobnej železničnej dopravy). Ani s týmto postupom nevládne spokojnosť a v minulosti viaceré členské štáty vyjadrili k nemu výhrady.</w:t>
      </w:r>
    </w:p>
    <w:p w14:paraId="663AA9EE" w14:textId="77777777" w:rsidR="00C80D33" w:rsidRPr="000A0140" w:rsidRDefault="00C80D33" w:rsidP="000A0140">
      <w:pPr>
        <w:rPr>
          <w:rFonts w:eastAsiaTheme="minorHAnsi"/>
          <w:szCs w:val="22"/>
          <w:lang w:bidi="sk-SK"/>
        </w:rPr>
      </w:pPr>
    </w:p>
    <w:p w14:paraId="2A79AC1B" w14:textId="497B512D" w:rsidR="00806A92" w:rsidRPr="00643861" w:rsidRDefault="00806A92" w:rsidP="00806A92">
      <w:pPr>
        <w:pBdr>
          <w:top w:val="nil"/>
          <w:left w:val="nil"/>
          <w:bottom w:val="nil"/>
          <w:right w:val="nil"/>
          <w:between w:val="nil"/>
          <w:bar w:val="nil"/>
        </w:pBdr>
        <w:jc w:val="both"/>
        <w:rPr>
          <w:u w:val="single"/>
        </w:rPr>
      </w:pPr>
      <w:r w:rsidRPr="00643861">
        <w:rPr>
          <w:u w:val="single"/>
        </w:rPr>
        <w:t xml:space="preserve">Novelizačný bod 11 </w:t>
      </w:r>
      <w:r w:rsidR="00762BC9" w:rsidRPr="00643861">
        <w:rPr>
          <w:u w:val="single"/>
        </w:rPr>
        <w:t>–</w:t>
      </w:r>
      <w:r w:rsidRPr="00643861">
        <w:rPr>
          <w:u w:val="single"/>
        </w:rPr>
        <w:t xml:space="preserve"> Článok 9 nariadenia (ES) č. 1073/2009</w:t>
      </w:r>
    </w:p>
    <w:p w14:paraId="310C0D41" w14:textId="5C22890A" w:rsidR="00806A92" w:rsidRPr="00643861" w:rsidRDefault="00806A92" w:rsidP="00806A92">
      <w:pPr>
        <w:pBdr>
          <w:top w:val="nil"/>
          <w:left w:val="nil"/>
          <w:bottom w:val="nil"/>
          <w:right w:val="nil"/>
          <w:between w:val="nil"/>
          <w:bar w:val="nil"/>
        </w:pBdr>
        <w:jc w:val="both"/>
      </w:pPr>
      <w:r w:rsidRPr="00643861">
        <w:lastRenderedPageBreak/>
        <w:t xml:space="preserve">Ustanovujú sa podmienky zmeny a obnovy povolenia. </w:t>
      </w:r>
    </w:p>
    <w:p w14:paraId="4586D0CC" w14:textId="77777777" w:rsidR="00762BC9" w:rsidRPr="00643861" w:rsidRDefault="00762BC9" w:rsidP="00806A92">
      <w:pPr>
        <w:pBdr>
          <w:top w:val="nil"/>
          <w:left w:val="nil"/>
          <w:bottom w:val="nil"/>
          <w:right w:val="nil"/>
          <w:between w:val="nil"/>
          <w:bar w:val="nil"/>
        </w:pBdr>
        <w:jc w:val="both"/>
        <w:rPr>
          <w:b/>
        </w:rPr>
      </w:pPr>
    </w:p>
    <w:p w14:paraId="20042027" w14:textId="77777777" w:rsidR="00806A92" w:rsidRPr="00643861" w:rsidRDefault="00806A92" w:rsidP="00806A92">
      <w:pPr>
        <w:pBdr>
          <w:top w:val="nil"/>
          <w:left w:val="nil"/>
          <w:bottom w:val="nil"/>
          <w:right w:val="nil"/>
          <w:between w:val="nil"/>
          <w:bar w:val="nil"/>
        </w:pBdr>
        <w:jc w:val="both"/>
      </w:pPr>
      <w:r w:rsidRPr="00643861">
        <w:rPr>
          <w:b/>
        </w:rPr>
        <w:t>Stanovisko</w:t>
      </w:r>
      <w:r w:rsidRPr="00643861">
        <w:t>: SR nemá k uvedenému bodu výhrady ani pripomienky.</w:t>
      </w:r>
    </w:p>
    <w:p w14:paraId="04183DEB" w14:textId="77777777" w:rsidR="00806A92" w:rsidRPr="00643861" w:rsidRDefault="00806A92" w:rsidP="001266AD">
      <w:pPr>
        <w:pBdr>
          <w:top w:val="nil"/>
          <w:left w:val="nil"/>
          <w:bottom w:val="nil"/>
          <w:right w:val="nil"/>
          <w:between w:val="nil"/>
          <w:bar w:val="nil"/>
        </w:pBdr>
        <w:jc w:val="both"/>
        <w:rPr>
          <w:u w:val="single"/>
        </w:rPr>
      </w:pPr>
    </w:p>
    <w:p w14:paraId="288648A2" w14:textId="5A72EED2" w:rsidR="00806A92" w:rsidRPr="00643861" w:rsidRDefault="00806A92" w:rsidP="00806A92">
      <w:pPr>
        <w:pBdr>
          <w:top w:val="nil"/>
          <w:left w:val="nil"/>
          <w:bottom w:val="nil"/>
          <w:right w:val="nil"/>
          <w:between w:val="nil"/>
          <w:bar w:val="nil"/>
        </w:pBdr>
        <w:jc w:val="both"/>
        <w:rPr>
          <w:u w:val="single"/>
        </w:rPr>
      </w:pPr>
      <w:r w:rsidRPr="00643861">
        <w:rPr>
          <w:u w:val="single"/>
        </w:rPr>
        <w:t xml:space="preserve">Novelizačný bod 12 </w:t>
      </w:r>
      <w:r w:rsidR="001B2089" w:rsidRPr="00643861">
        <w:rPr>
          <w:u w:val="single"/>
        </w:rPr>
        <w:t>– kapitola IV</w:t>
      </w:r>
      <w:r w:rsidRPr="00643861">
        <w:rPr>
          <w:u w:val="single"/>
        </w:rPr>
        <w:t xml:space="preserve"> nariadenia (ES) č. 1073/2009</w:t>
      </w:r>
    </w:p>
    <w:p w14:paraId="73EBFF42" w14:textId="6EF88397" w:rsidR="00790048" w:rsidRPr="00643861" w:rsidRDefault="00806A92" w:rsidP="001266AD">
      <w:pPr>
        <w:pBdr>
          <w:top w:val="nil"/>
          <w:left w:val="nil"/>
          <w:bottom w:val="nil"/>
          <w:right w:val="nil"/>
          <w:between w:val="nil"/>
          <w:bar w:val="nil"/>
        </w:pBdr>
        <w:jc w:val="both"/>
      </w:pPr>
      <w:r w:rsidRPr="00643861">
        <w:t>Upravuje sa názov kapitoly.</w:t>
      </w:r>
    </w:p>
    <w:p w14:paraId="6004FE58" w14:textId="77777777" w:rsidR="00762BC9" w:rsidRPr="00643861" w:rsidRDefault="00762BC9" w:rsidP="001B2089">
      <w:pPr>
        <w:pBdr>
          <w:top w:val="nil"/>
          <w:left w:val="nil"/>
          <w:bottom w:val="nil"/>
          <w:right w:val="nil"/>
          <w:between w:val="nil"/>
          <w:bar w:val="nil"/>
        </w:pBdr>
        <w:jc w:val="both"/>
        <w:rPr>
          <w:b/>
        </w:rPr>
      </w:pPr>
    </w:p>
    <w:p w14:paraId="7A81FF33" w14:textId="77777777" w:rsidR="001B2089" w:rsidRPr="00643861" w:rsidRDefault="001B2089" w:rsidP="001B2089">
      <w:pPr>
        <w:pBdr>
          <w:top w:val="nil"/>
          <w:left w:val="nil"/>
          <w:bottom w:val="nil"/>
          <w:right w:val="nil"/>
          <w:between w:val="nil"/>
          <w:bar w:val="nil"/>
        </w:pBdr>
        <w:jc w:val="both"/>
      </w:pPr>
      <w:r w:rsidRPr="00643861">
        <w:rPr>
          <w:b/>
        </w:rPr>
        <w:t>Stanovisko</w:t>
      </w:r>
      <w:r w:rsidRPr="00643861">
        <w:t>: SR nemá k uvedenému bodu výhrady ani pripomienky.</w:t>
      </w:r>
    </w:p>
    <w:p w14:paraId="21059A2D" w14:textId="77777777" w:rsidR="00806A92" w:rsidRPr="00643861" w:rsidRDefault="00806A92" w:rsidP="001266AD">
      <w:pPr>
        <w:pBdr>
          <w:top w:val="nil"/>
          <w:left w:val="nil"/>
          <w:bottom w:val="nil"/>
          <w:right w:val="nil"/>
          <w:between w:val="nil"/>
          <w:bar w:val="nil"/>
        </w:pBdr>
        <w:jc w:val="both"/>
        <w:rPr>
          <w:u w:val="single"/>
        </w:rPr>
      </w:pPr>
    </w:p>
    <w:p w14:paraId="5F00C414" w14:textId="692F51DC" w:rsidR="00806A92" w:rsidRPr="00643861" w:rsidRDefault="00806A92" w:rsidP="00806A92">
      <w:pPr>
        <w:pBdr>
          <w:top w:val="nil"/>
          <w:left w:val="nil"/>
          <w:bottom w:val="nil"/>
          <w:right w:val="nil"/>
          <w:between w:val="nil"/>
          <w:bar w:val="nil"/>
        </w:pBdr>
        <w:jc w:val="both"/>
        <w:rPr>
          <w:u w:val="single"/>
        </w:rPr>
      </w:pPr>
      <w:r w:rsidRPr="00643861">
        <w:rPr>
          <w:u w:val="single"/>
        </w:rPr>
        <w:t xml:space="preserve">Novelizačný bod 13 </w:t>
      </w:r>
      <w:r w:rsidR="001B2089" w:rsidRPr="00643861">
        <w:rPr>
          <w:u w:val="single"/>
        </w:rPr>
        <w:t xml:space="preserve">– </w:t>
      </w:r>
      <w:r w:rsidRPr="00643861">
        <w:rPr>
          <w:u w:val="single"/>
        </w:rPr>
        <w:t>Článok 12  nariadenia (ES) č. 1073/2009</w:t>
      </w:r>
    </w:p>
    <w:p w14:paraId="30CE1F8E" w14:textId="77777777" w:rsidR="00895BE8" w:rsidRPr="00643861" w:rsidRDefault="00895BE8" w:rsidP="00895BE8">
      <w:pPr>
        <w:pBdr>
          <w:top w:val="nil"/>
          <w:left w:val="nil"/>
          <w:bottom w:val="nil"/>
          <w:right w:val="nil"/>
          <w:between w:val="nil"/>
          <w:bar w:val="nil"/>
        </w:pBdr>
        <w:jc w:val="both"/>
      </w:pPr>
      <w:r w:rsidRPr="00643861">
        <w:t>Navrhuje sa vypustiť článok 12 ods. 1 až 5 s cieľom zrušiť jazdný list ako kontrolný dokument príležitostnej dopravy. Mala by sa tak odstrániť zbytočná administratívna záťaž.</w:t>
      </w:r>
    </w:p>
    <w:p w14:paraId="68283FDC" w14:textId="77777777" w:rsidR="001B2089" w:rsidRPr="00643861" w:rsidRDefault="001B2089" w:rsidP="00806A92">
      <w:pPr>
        <w:pBdr>
          <w:top w:val="nil"/>
          <w:left w:val="nil"/>
          <w:bottom w:val="nil"/>
          <w:right w:val="nil"/>
          <w:between w:val="nil"/>
          <w:bar w:val="nil"/>
        </w:pBdr>
        <w:jc w:val="both"/>
        <w:rPr>
          <w:u w:val="single"/>
        </w:rPr>
      </w:pPr>
    </w:p>
    <w:p w14:paraId="3DFC70EA" w14:textId="21371697" w:rsidR="00895BE8" w:rsidRPr="00643861" w:rsidRDefault="00895BE8" w:rsidP="00895BE8">
      <w:pPr>
        <w:pBdr>
          <w:top w:val="nil"/>
          <w:left w:val="nil"/>
          <w:bottom w:val="nil"/>
          <w:right w:val="nil"/>
          <w:between w:val="nil"/>
          <w:bar w:val="nil"/>
        </w:pBdr>
        <w:jc w:val="both"/>
      </w:pPr>
      <w:r w:rsidRPr="00643861">
        <w:rPr>
          <w:b/>
        </w:rPr>
        <w:t>Stanovisko</w:t>
      </w:r>
      <w:r w:rsidRPr="00643861">
        <w:t xml:space="preserve">: SR nemá k uvedenému bodu výhrady ani pripomienky. Dopravcom </w:t>
      </w:r>
      <w:r w:rsidR="00902BEC" w:rsidRPr="00643861">
        <w:t>sa tým zníži administratívna záťaž.</w:t>
      </w:r>
    </w:p>
    <w:p w14:paraId="1E26771F" w14:textId="77777777" w:rsidR="00342A44" w:rsidRPr="00643861" w:rsidRDefault="00342A44" w:rsidP="00E61212">
      <w:pPr>
        <w:pBdr>
          <w:top w:val="nil"/>
          <w:left w:val="nil"/>
          <w:bottom w:val="nil"/>
          <w:right w:val="nil"/>
          <w:between w:val="nil"/>
          <w:bar w:val="nil"/>
        </w:pBdr>
        <w:jc w:val="both"/>
      </w:pPr>
    </w:p>
    <w:p w14:paraId="44B49529" w14:textId="4905FE8F" w:rsidR="00E61212" w:rsidRPr="00643861" w:rsidRDefault="00E61212" w:rsidP="00E61212">
      <w:pPr>
        <w:pBdr>
          <w:top w:val="nil"/>
          <w:left w:val="nil"/>
          <w:bottom w:val="nil"/>
          <w:right w:val="nil"/>
          <w:between w:val="nil"/>
          <w:bar w:val="nil"/>
        </w:pBdr>
        <w:jc w:val="both"/>
        <w:rPr>
          <w:u w:val="single"/>
        </w:rPr>
      </w:pPr>
      <w:r w:rsidRPr="00643861">
        <w:rPr>
          <w:u w:val="single"/>
        </w:rPr>
        <w:t>Novelizačný bod 1</w:t>
      </w:r>
      <w:r w:rsidR="00895BE8" w:rsidRPr="00643861">
        <w:rPr>
          <w:u w:val="single"/>
        </w:rPr>
        <w:t>4</w:t>
      </w:r>
      <w:r w:rsidRPr="00643861">
        <w:rPr>
          <w:u w:val="single"/>
        </w:rPr>
        <w:t xml:space="preserve"> – </w:t>
      </w:r>
      <w:r w:rsidR="00C72D81" w:rsidRPr="00643861">
        <w:rPr>
          <w:u w:val="single"/>
        </w:rPr>
        <w:t>Článok 13 nariadenia (ES) č. 1073</w:t>
      </w:r>
      <w:r w:rsidRPr="00643861">
        <w:rPr>
          <w:u w:val="single"/>
        </w:rPr>
        <w:t>/2009</w:t>
      </w:r>
    </w:p>
    <w:p w14:paraId="634056C7" w14:textId="117FD80F" w:rsidR="00790048" w:rsidRPr="00643861" w:rsidRDefault="00C72D81" w:rsidP="00E61212">
      <w:pPr>
        <w:pBdr>
          <w:top w:val="nil"/>
          <w:left w:val="nil"/>
          <w:bottom w:val="nil"/>
          <w:right w:val="nil"/>
          <w:between w:val="nil"/>
          <w:bar w:val="nil"/>
        </w:pBdr>
        <w:jc w:val="both"/>
      </w:pPr>
      <w:r w:rsidRPr="00643861">
        <w:t>Navrhuje sa vypustiť článok 13, keďže miestne zájazdy sú podľa článku 15 liberalizované, a</w:t>
      </w:r>
      <w:r w:rsidR="00902BEC" w:rsidRPr="00643861">
        <w:t> </w:t>
      </w:r>
      <w:r w:rsidRPr="00643861">
        <w:t>tento článok je teda zbytočný.</w:t>
      </w:r>
    </w:p>
    <w:p w14:paraId="29B360AA" w14:textId="77777777" w:rsidR="00DA4F4E" w:rsidRPr="00643861" w:rsidRDefault="00DA4F4E" w:rsidP="00E61212">
      <w:pPr>
        <w:pBdr>
          <w:top w:val="nil"/>
          <w:left w:val="nil"/>
          <w:bottom w:val="nil"/>
          <w:right w:val="nil"/>
          <w:between w:val="nil"/>
          <w:bar w:val="nil"/>
        </w:pBdr>
        <w:jc w:val="both"/>
        <w:rPr>
          <w:b/>
        </w:rPr>
      </w:pPr>
    </w:p>
    <w:p w14:paraId="32EBF131" w14:textId="7F48ABAD" w:rsidR="00937989" w:rsidRPr="00643861" w:rsidRDefault="00AB7F8B" w:rsidP="00E61212">
      <w:pPr>
        <w:pBdr>
          <w:top w:val="nil"/>
          <w:left w:val="nil"/>
          <w:bottom w:val="nil"/>
          <w:right w:val="nil"/>
          <w:between w:val="nil"/>
          <w:bar w:val="nil"/>
        </w:pBdr>
        <w:jc w:val="both"/>
      </w:pPr>
      <w:r w:rsidRPr="00643861">
        <w:rPr>
          <w:b/>
        </w:rPr>
        <w:t>Stanovisko</w:t>
      </w:r>
      <w:r w:rsidR="00937989" w:rsidRPr="00643861">
        <w:t xml:space="preserve">: </w:t>
      </w:r>
      <w:r w:rsidR="00895BE8" w:rsidRPr="00643861">
        <w:t>SR nemá k uvedenému bodu výhrady ani pripomienky.</w:t>
      </w:r>
    </w:p>
    <w:p w14:paraId="2090BA25" w14:textId="77777777" w:rsidR="00937989" w:rsidRPr="00643861" w:rsidRDefault="00937989" w:rsidP="00E61212">
      <w:pPr>
        <w:pBdr>
          <w:top w:val="nil"/>
          <w:left w:val="nil"/>
          <w:bottom w:val="nil"/>
          <w:right w:val="nil"/>
          <w:between w:val="nil"/>
          <w:bar w:val="nil"/>
        </w:pBdr>
        <w:jc w:val="both"/>
        <w:rPr>
          <w:u w:val="single"/>
        </w:rPr>
      </w:pPr>
    </w:p>
    <w:p w14:paraId="6B41F302" w14:textId="060396C9" w:rsidR="00E61212" w:rsidRPr="00643861" w:rsidRDefault="00E61212" w:rsidP="00E61212">
      <w:pPr>
        <w:pBdr>
          <w:top w:val="nil"/>
          <w:left w:val="nil"/>
          <w:bottom w:val="nil"/>
          <w:right w:val="nil"/>
          <w:between w:val="nil"/>
          <w:bar w:val="nil"/>
        </w:pBdr>
        <w:jc w:val="both"/>
        <w:rPr>
          <w:u w:val="single"/>
        </w:rPr>
      </w:pPr>
      <w:r w:rsidRPr="00643861">
        <w:rPr>
          <w:u w:val="single"/>
        </w:rPr>
        <w:t>Novelizačný bod 1</w:t>
      </w:r>
      <w:r w:rsidR="00895BE8" w:rsidRPr="00643861">
        <w:rPr>
          <w:u w:val="single"/>
        </w:rPr>
        <w:t>5</w:t>
      </w:r>
      <w:r w:rsidRPr="00643861">
        <w:rPr>
          <w:u w:val="single"/>
        </w:rPr>
        <w:t xml:space="preserve"> – Článok </w:t>
      </w:r>
      <w:r w:rsidR="00DA4F4E" w:rsidRPr="00643861">
        <w:rPr>
          <w:u w:val="single"/>
        </w:rPr>
        <w:t>15 nariadenia (ES) č. 1073</w:t>
      </w:r>
      <w:r w:rsidRPr="00643861">
        <w:rPr>
          <w:u w:val="single"/>
        </w:rPr>
        <w:t>/2009</w:t>
      </w:r>
    </w:p>
    <w:p w14:paraId="6A354232" w14:textId="77777777" w:rsidR="00DA4F4E" w:rsidRPr="00643861" w:rsidRDefault="00DA4F4E" w:rsidP="00DA4F4E">
      <w:pPr>
        <w:pBdr>
          <w:top w:val="nil"/>
          <w:left w:val="nil"/>
          <w:bottom w:val="nil"/>
          <w:right w:val="nil"/>
          <w:between w:val="nil"/>
          <w:bar w:val="nil"/>
        </w:pBdr>
        <w:jc w:val="both"/>
        <w:rPr>
          <w:lang w:bidi="sk-SK"/>
        </w:rPr>
      </w:pPr>
      <w:r w:rsidRPr="00643861">
        <w:rPr>
          <w:lang w:bidi="sk-SK"/>
        </w:rPr>
        <w:t xml:space="preserve">Navrhuje sa zmeniť tento článok tak, aby sa v ňom stanovovalo, že sa vypúšťa požiadavka, aby sa pravidelná doprava vykonávala ako súčasť medzinárodnej pravidelnej dopravy, ako aj zákaz kabotážnej dopravy v podobe pravidelnej dopravy vykonávanej nezávisle od pravidelnej dopravy. Miestne zájazdy sú povolenou kabotážnou dopravou a vzťahuje sa na ne pododsek b). </w:t>
      </w:r>
    </w:p>
    <w:p w14:paraId="364E0076" w14:textId="77777777" w:rsidR="00790048" w:rsidRPr="00643861" w:rsidRDefault="00790048" w:rsidP="00E61212">
      <w:pPr>
        <w:pBdr>
          <w:top w:val="nil"/>
          <w:left w:val="nil"/>
          <w:bottom w:val="nil"/>
          <w:right w:val="nil"/>
          <w:between w:val="nil"/>
          <w:bar w:val="nil"/>
        </w:pBdr>
        <w:jc w:val="both"/>
        <w:rPr>
          <w:b/>
        </w:rPr>
      </w:pPr>
    </w:p>
    <w:p w14:paraId="193A48B7" w14:textId="313C88B9" w:rsidR="00937989" w:rsidRPr="00643861" w:rsidRDefault="00AB7F8B" w:rsidP="00E61212">
      <w:pPr>
        <w:pBdr>
          <w:top w:val="nil"/>
          <w:left w:val="nil"/>
          <w:bottom w:val="nil"/>
          <w:right w:val="nil"/>
          <w:between w:val="nil"/>
          <w:bar w:val="nil"/>
        </w:pBdr>
        <w:jc w:val="both"/>
      </w:pPr>
      <w:r w:rsidRPr="00643861">
        <w:rPr>
          <w:b/>
        </w:rPr>
        <w:t>Stanovisko</w:t>
      </w:r>
      <w:r w:rsidR="00937989" w:rsidRPr="00643861">
        <w:t xml:space="preserve">: </w:t>
      </w:r>
      <w:r w:rsidR="00902BEC" w:rsidRPr="00643861">
        <w:t>Navrhujeme definovať v nariadení pojem</w:t>
      </w:r>
      <w:r w:rsidR="00895BE8" w:rsidRPr="00643861">
        <w:t xml:space="preserve"> „dočasne“ pri povolenej kabotáži</w:t>
      </w:r>
      <w:r w:rsidR="00902BEC" w:rsidRPr="00643861">
        <w:t xml:space="preserve"> z dôvodu, aby bol zabezpečený jednotný výklad nariadenia. </w:t>
      </w:r>
    </w:p>
    <w:p w14:paraId="1D108AB3" w14:textId="77777777" w:rsidR="00895BE8" w:rsidRPr="00643861" w:rsidRDefault="00895BE8" w:rsidP="00E61212">
      <w:pPr>
        <w:pBdr>
          <w:top w:val="nil"/>
          <w:left w:val="nil"/>
          <w:bottom w:val="nil"/>
          <w:right w:val="nil"/>
          <w:between w:val="nil"/>
          <w:bar w:val="nil"/>
        </w:pBdr>
        <w:jc w:val="both"/>
      </w:pPr>
    </w:p>
    <w:p w14:paraId="6C045451" w14:textId="77777777" w:rsidR="00937989" w:rsidRPr="00643861" w:rsidRDefault="00937989" w:rsidP="00E61212">
      <w:pPr>
        <w:pBdr>
          <w:top w:val="nil"/>
          <w:left w:val="nil"/>
          <w:bottom w:val="nil"/>
          <w:right w:val="nil"/>
          <w:between w:val="nil"/>
          <w:bar w:val="nil"/>
        </w:pBdr>
        <w:jc w:val="both"/>
        <w:rPr>
          <w:u w:val="single"/>
        </w:rPr>
      </w:pPr>
    </w:p>
    <w:p w14:paraId="7D239E55" w14:textId="52BC4089" w:rsidR="00E61212" w:rsidRPr="00643861" w:rsidRDefault="00E61212" w:rsidP="00E61212">
      <w:pPr>
        <w:pBdr>
          <w:top w:val="nil"/>
          <w:left w:val="nil"/>
          <w:bottom w:val="nil"/>
          <w:right w:val="nil"/>
          <w:between w:val="nil"/>
          <w:bar w:val="nil"/>
        </w:pBdr>
        <w:jc w:val="both"/>
        <w:rPr>
          <w:u w:val="single"/>
        </w:rPr>
      </w:pPr>
      <w:r w:rsidRPr="00643861">
        <w:rPr>
          <w:u w:val="single"/>
        </w:rPr>
        <w:t>Novelizačný bod 1</w:t>
      </w:r>
      <w:r w:rsidR="00895BE8" w:rsidRPr="00643861">
        <w:rPr>
          <w:u w:val="single"/>
        </w:rPr>
        <w:t>6</w:t>
      </w:r>
      <w:r w:rsidRPr="00643861">
        <w:rPr>
          <w:u w:val="single"/>
        </w:rPr>
        <w:t xml:space="preserve"> – Článok </w:t>
      </w:r>
      <w:r w:rsidR="00DA4F4E" w:rsidRPr="00643861">
        <w:rPr>
          <w:u w:val="single"/>
        </w:rPr>
        <w:t>17</w:t>
      </w:r>
      <w:r w:rsidRPr="00643861">
        <w:rPr>
          <w:u w:val="single"/>
        </w:rPr>
        <w:t xml:space="preserve"> nariadenia (ES) č</w:t>
      </w:r>
      <w:r w:rsidR="00DA4F4E" w:rsidRPr="00643861">
        <w:rPr>
          <w:u w:val="single"/>
        </w:rPr>
        <w:t>. 1073/</w:t>
      </w:r>
      <w:r w:rsidRPr="00643861">
        <w:rPr>
          <w:u w:val="single"/>
        </w:rPr>
        <w:t>2009</w:t>
      </w:r>
    </w:p>
    <w:p w14:paraId="7FE8CDBB" w14:textId="77777777" w:rsidR="00DA4F4E" w:rsidRPr="00643861" w:rsidRDefault="00DA4F4E" w:rsidP="00DA4F4E">
      <w:pPr>
        <w:pBdr>
          <w:top w:val="nil"/>
          <w:left w:val="nil"/>
          <w:bottom w:val="nil"/>
          <w:right w:val="nil"/>
          <w:between w:val="nil"/>
          <w:bar w:val="nil"/>
        </w:pBdr>
        <w:jc w:val="both"/>
        <w:rPr>
          <w:lang w:bidi="sk-SK"/>
        </w:rPr>
      </w:pPr>
      <w:r w:rsidRPr="00643861">
        <w:rPr>
          <w:lang w:bidi="sk-SK"/>
        </w:rPr>
        <w:t>Navrhuje sa vypustiť článok 17, aby sa jazdné listy už nevyžadovali pre kabotážnu dopravu vo forme príležitostnej dopravy. Kontrolné dokumenty pre osobitnú pravidelnú dopravu sú uvedené v článku 12 ods. 6.</w:t>
      </w:r>
    </w:p>
    <w:p w14:paraId="6974857B" w14:textId="77777777" w:rsidR="00790048" w:rsidRPr="00643861" w:rsidRDefault="00790048" w:rsidP="00342A44">
      <w:pPr>
        <w:pBdr>
          <w:top w:val="nil"/>
          <w:left w:val="nil"/>
          <w:bottom w:val="nil"/>
          <w:right w:val="nil"/>
          <w:between w:val="nil"/>
          <w:bar w:val="nil"/>
        </w:pBdr>
        <w:jc w:val="both"/>
        <w:rPr>
          <w:b/>
        </w:rPr>
      </w:pPr>
    </w:p>
    <w:p w14:paraId="359B9CCA" w14:textId="0B95ABAC" w:rsidR="00937989" w:rsidRPr="00643861" w:rsidRDefault="00AB7F8B" w:rsidP="00342A44">
      <w:pPr>
        <w:pBdr>
          <w:top w:val="nil"/>
          <w:left w:val="nil"/>
          <w:bottom w:val="nil"/>
          <w:right w:val="nil"/>
          <w:between w:val="nil"/>
          <w:bar w:val="nil"/>
        </w:pBdr>
        <w:jc w:val="both"/>
        <w:rPr>
          <w:u w:val="single"/>
        </w:rPr>
      </w:pPr>
      <w:r w:rsidRPr="00643861">
        <w:rPr>
          <w:b/>
        </w:rPr>
        <w:t>Stanovisko</w:t>
      </w:r>
      <w:r w:rsidR="00937989" w:rsidRPr="00643861">
        <w:t xml:space="preserve">: </w:t>
      </w:r>
      <w:r w:rsidR="003D1A28" w:rsidRPr="00643861">
        <w:t>SR nemá k uvedenému bodu výhrady ani pripomienky.</w:t>
      </w:r>
    </w:p>
    <w:p w14:paraId="2DDABA5D" w14:textId="77777777" w:rsidR="00D22C5A" w:rsidRPr="00643861" w:rsidRDefault="00D22C5A" w:rsidP="00E61212">
      <w:pPr>
        <w:pBdr>
          <w:top w:val="nil"/>
          <w:left w:val="nil"/>
          <w:bottom w:val="nil"/>
          <w:right w:val="nil"/>
          <w:between w:val="nil"/>
          <w:bar w:val="nil"/>
        </w:pBdr>
        <w:jc w:val="both"/>
        <w:rPr>
          <w:u w:val="single"/>
        </w:rPr>
      </w:pPr>
    </w:p>
    <w:p w14:paraId="3B2C587A" w14:textId="1B04A55C" w:rsidR="00E61212" w:rsidRPr="00643861" w:rsidRDefault="00E61212" w:rsidP="00E61212">
      <w:pPr>
        <w:pBdr>
          <w:top w:val="nil"/>
          <w:left w:val="nil"/>
          <w:bottom w:val="nil"/>
          <w:right w:val="nil"/>
          <w:between w:val="nil"/>
          <w:bar w:val="nil"/>
        </w:pBdr>
        <w:jc w:val="both"/>
        <w:rPr>
          <w:u w:val="single"/>
        </w:rPr>
      </w:pPr>
      <w:r w:rsidRPr="00643861">
        <w:rPr>
          <w:u w:val="single"/>
        </w:rPr>
        <w:t>Novelizačný bod 1</w:t>
      </w:r>
      <w:r w:rsidR="00895BE8" w:rsidRPr="00643861">
        <w:rPr>
          <w:u w:val="single"/>
        </w:rPr>
        <w:t>7</w:t>
      </w:r>
      <w:r w:rsidRPr="00643861">
        <w:rPr>
          <w:u w:val="single"/>
        </w:rPr>
        <w:t xml:space="preserve"> – Článok </w:t>
      </w:r>
      <w:r w:rsidR="00DA4F4E" w:rsidRPr="00643861">
        <w:rPr>
          <w:u w:val="single"/>
        </w:rPr>
        <w:t>19 nariadenia (ES) č. 1073</w:t>
      </w:r>
      <w:r w:rsidRPr="00643861">
        <w:rPr>
          <w:u w:val="single"/>
        </w:rPr>
        <w:t>/2009</w:t>
      </w:r>
    </w:p>
    <w:p w14:paraId="497B4689" w14:textId="77777777" w:rsidR="00DA4F4E" w:rsidRPr="00643861" w:rsidRDefault="00DA4F4E" w:rsidP="00DA4F4E">
      <w:pPr>
        <w:pBdr>
          <w:top w:val="nil"/>
          <w:left w:val="nil"/>
          <w:bottom w:val="nil"/>
          <w:right w:val="nil"/>
          <w:between w:val="nil"/>
          <w:bar w:val="nil"/>
        </w:pBdr>
        <w:jc w:val="both"/>
        <w:rPr>
          <w:lang w:bidi="sk-SK"/>
        </w:rPr>
      </w:pPr>
      <w:r w:rsidRPr="00643861">
        <w:rPr>
          <w:lang w:bidi="sk-SK"/>
        </w:rPr>
        <w:t>Navrhuje sa vymedziť v článku 19 ods. 2, že dopravcovia vykonávajúci kabotážnu prepravu v podobe pravidelnej dopravy musia povoliť vykonanie kontroly, keďže vykonávanie takejto dopravy bude povolené nezávisle od vykonávania medzinárodnej prepravy cestujúcich.</w:t>
      </w:r>
    </w:p>
    <w:p w14:paraId="3631BEFD" w14:textId="77777777" w:rsidR="00790048" w:rsidRPr="00643861" w:rsidRDefault="00790048" w:rsidP="00E61212">
      <w:pPr>
        <w:pBdr>
          <w:top w:val="nil"/>
          <w:left w:val="nil"/>
          <w:bottom w:val="nil"/>
          <w:right w:val="nil"/>
          <w:between w:val="nil"/>
          <w:bar w:val="nil"/>
        </w:pBdr>
        <w:jc w:val="both"/>
        <w:rPr>
          <w:b/>
        </w:rPr>
      </w:pPr>
    </w:p>
    <w:p w14:paraId="70203E17" w14:textId="07E79A8A" w:rsidR="00D22C5A" w:rsidRPr="00643861" w:rsidRDefault="00AB7F8B" w:rsidP="00E61212">
      <w:pPr>
        <w:pBdr>
          <w:top w:val="nil"/>
          <w:left w:val="nil"/>
          <w:bottom w:val="nil"/>
          <w:right w:val="nil"/>
          <w:between w:val="nil"/>
          <w:bar w:val="nil"/>
        </w:pBdr>
        <w:jc w:val="both"/>
      </w:pPr>
      <w:r w:rsidRPr="00643861">
        <w:rPr>
          <w:b/>
        </w:rPr>
        <w:t>Stanovisko</w:t>
      </w:r>
      <w:r w:rsidR="00342A44" w:rsidRPr="00643861">
        <w:t xml:space="preserve">: </w:t>
      </w:r>
      <w:r w:rsidR="003D1A28" w:rsidRPr="00643861">
        <w:t>SR nemá k uvedenému bodu výhrady ani pripomienky.</w:t>
      </w:r>
    </w:p>
    <w:p w14:paraId="1FFADD36" w14:textId="77777777" w:rsidR="00932AFE" w:rsidRPr="00643861" w:rsidRDefault="00932AFE" w:rsidP="00E61212">
      <w:pPr>
        <w:pBdr>
          <w:top w:val="nil"/>
          <w:left w:val="nil"/>
          <w:bottom w:val="nil"/>
          <w:right w:val="nil"/>
          <w:between w:val="nil"/>
          <w:bar w:val="nil"/>
        </w:pBdr>
        <w:jc w:val="both"/>
      </w:pPr>
    </w:p>
    <w:p w14:paraId="4F2D9705" w14:textId="03FFABBE" w:rsidR="003D1A28" w:rsidRPr="00643861" w:rsidRDefault="003D1A28" w:rsidP="003D1A28">
      <w:pPr>
        <w:pBdr>
          <w:top w:val="nil"/>
          <w:left w:val="nil"/>
          <w:bottom w:val="nil"/>
          <w:right w:val="nil"/>
          <w:between w:val="nil"/>
          <w:bar w:val="nil"/>
        </w:pBdr>
        <w:jc w:val="both"/>
        <w:rPr>
          <w:u w:val="single"/>
        </w:rPr>
      </w:pPr>
      <w:r w:rsidRPr="00643861">
        <w:rPr>
          <w:u w:val="single"/>
        </w:rPr>
        <w:t>Novelizačný bod 18 – Článok 20 nariadenia (ES) č. 1073/2009</w:t>
      </w:r>
    </w:p>
    <w:p w14:paraId="2307697E" w14:textId="02184809" w:rsidR="003D1A28" w:rsidRPr="00643861" w:rsidRDefault="003D1A28" w:rsidP="003D1A28">
      <w:pPr>
        <w:pBdr>
          <w:top w:val="nil"/>
          <w:left w:val="nil"/>
          <w:bottom w:val="nil"/>
          <w:right w:val="nil"/>
          <w:between w:val="nil"/>
          <w:bar w:val="nil"/>
        </w:pBdr>
        <w:jc w:val="both"/>
        <w:rPr>
          <w:lang w:bidi="sk-SK"/>
        </w:rPr>
      </w:pPr>
      <w:r w:rsidRPr="00643861">
        <w:rPr>
          <w:lang w:bidi="sk-SK"/>
        </w:rPr>
        <w:t>Navrhujú sa ustanovenia pre výmenu informácií medzi členskými štátmi.</w:t>
      </w:r>
    </w:p>
    <w:p w14:paraId="6E66D5F8" w14:textId="77777777" w:rsidR="003D1A28" w:rsidRPr="00643861" w:rsidRDefault="003D1A28" w:rsidP="003D1A28">
      <w:pPr>
        <w:pBdr>
          <w:top w:val="nil"/>
          <w:left w:val="nil"/>
          <w:bottom w:val="nil"/>
          <w:right w:val="nil"/>
          <w:between w:val="nil"/>
          <w:bar w:val="nil"/>
        </w:pBdr>
        <w:jc w:val="both"/>
        <w:rPr>
          <w:b/>
        </w:rPr>
      </w:pPr>
    </w:p>
    <w:p w14:paraId="7A2B8B11" w14:textId="77777777" w:rsidR="003D1A28" w:rsidRPr="00643861" w:rsidRDefault="003D1A28" w:rsidP="003D1A28">
      <w:pPr>
        <w:pBdr>
          <w:top w:val="nil"/>
          <w:left w:val="nil"/>
          <w:bottom w:val="nil"/>
          <w:right w:val="nil"/>
          <w:between w:val="nil"/>
          <w:bar w:val="nil"/>
        </w:pBdr>
        <w:jc w:val="both"/>
      </w:pPr>
      <w:r w:rsidRPr="00643861">
        <w:rPr>
          <w:b/>
        </w:rPr>
        <w:lastRenderedPageBreak/>
        <w:t>Stanovisko</w:t>
      </w:r>
      <w:r w:rsidRPr="00643861">
        <w:t>: SR nemá k uvedenému bodu výhrady ani pripomienky.</w:t>
      </w:r>
    </w:p>
    <w:p w14:paraId="304494AD" w14:textId="77777777" w:rsidR="00895BE8" w:rsidRPr="00643861" w:rsidRDefault="00895BE8" w:rsidP="00E61212">
      <w:pPr>
        <w:pBdr>
          <w:top w:val="nil"/>
          <w:left w:val="nil"/>
          <w:bottom w:val="nil"/>
          <w:right w:val="nil"/>
          <w:between w:val="nil"/>
          <w:bar w:val="nil"/>
        </w:pBdr>
        <w:jc w:val="both"/>
      </w:pPr>
    </w:p>
    <w:p w14:paraId="0F5A0205" w14:textId="69E1C2C9" w:rsidR="003D1A28" w:rsidRPr="00643861" w:rsidRDefault="003D1A28" w:rsidP="003D1A28">
      <w:pPr>
        <w:pBdr>
          <w:top w:val="nil"/>
          <w:left w:val="nil"/>
          <w:bottom w:val="nil"/>
          <w:right w:val="nil"/>
          <w:between w:val="nil"/>
          <w:bar w:val="nil"/>
        </w:pBdr>
        <w:jc w:val="both"/>
        <w:rPr>
          <w:u w:val="single"/>
        </w:rPr>
      </w:pPr>
      <w:r w:rsidRPr="00643861">
        <w:rPr>
          <w:u w:val="single"/>
        </w:rPr>
        <w:t>Novelizačný bod 19 – Článok 26 nariadenia (ES) č. 1073/2009</w:t>
      </w:r>
    </w:p>
    <w:p w14:paraId="507DA6F7" w14:textId="382EBE3B" w:rsidR="003D1A28" w:rsidRPr="00643861" w:rsidRDefault="00ED2CCC" w:rsidP="003D1A28">
      <w:pPr>
        <w:pBdr>
          <w:top w:val="nil"/>
          <w:left w:val="nil"/>
          <w:bottom w:val="nil"/>
          <w:right w:val="nil"/>
          <w:between w:val="nil"/>
          <w:bar w:val="nil"/>
        </w:pBdr>
        <w:jc w:val="both"/>
        <w:rPr>
          <w:b/>
        </w:rPr>
      </w:pPr>
      <w:r w:rsidRPr="00643861">
        <w:t>Komisii sa udeľuje právomoc prijímať delegované akty za podmienok stanovených v nariadení.</w:t>
      </w:r>
    </w:p>
    <w:p w14:paraId="4EBE6860" w14:textId="77777777" w:rsidR="003D1A28" w:rsidRPr="00643861" w:rsidRDefault="003D1A28" w:rsidP="003D1A28">
      <w:pPr>
        <w:pBdr>
          <w:top w:val="nil"/>
          <w:left w:val="nil"/>
          <w:bottom w:val="nil"/>
          <w:right w:val="nil"/>
          <w:between w:val="nil"/>
          <w:bar w:val="nil"/>
        </w:pBdr>
        <w:jc w:val="both"/>
      </w:pPr>
      <w:r w:rsidRPr="00643861">
        <w:rPr>
          <w:b/>
        </w:rPr>
        <w:t>Stanovisko</w:t>
      </w:r>
      <w:r w:rsidRPr="00643861">
        <w:t>: SR nemá k uvedenému bodu výhrady ani pripomienky.</w:t>
      </w:r>
    </w:p>
    <w:p w14:paraId="52086BBE" w14:textId="77777777" w:rsidR="00895BE8" w:rsidRPr="00643861" w:rsidRDefault="00895BE8" w:rsidP="00E61212">
      <w:pPr>
        <w:pBdr>
          <w:top w:val="nil"/>
          <w:left w:val="nil"/>
          <w:bottom w:val="nil"/>
          <w:right w:val="nil"/>
          <w:between w:val="nil"/>
          <w:bar w:val="nil"/>
        </w:pBdr>
        <w:jc w:val="both"/>
      </w:pPr>
    </w:p>
    <w:p w14:paraId="760526F9" w14:textId="1C4868E1" w:rsidR="00E61212" w:rsidRPr="00643861" w:rsidRDefault="00E61212" w:rsidP="00E61212">
      <w:pPr>
        <w:pBdr>
          <w:top w:val="nil"/>
          <w:left w:val="nil"/>
          <w:bottom w:val="nil"/>
          <w:right w:val="nil"/>
          <w:between w:val="nil"/>
          <w:bar w:val="nil"/>
        </w:pBdr>
        <w:jc w:val="both"/>
        <w:rPr>
          <w:u w:val="single"/>
        </w:rPr>
      </w:pPr>
      <w:r w:rsidRPr="00643861">
        <w:rPr>
          <w:u w:val="single"/>
        </w:rPr>
        <w:t xml:space="preserve">Novelizačný bod </w:t>
      </w:r>
      <w:r w:rsidR="003D1A28" w:rsidRPr="00643861">
        <w:rPr>
          <w:u w:val="single"/>
        </w:rPr>
        <w:t>20</w:t>
      </w:r>
      <w:r w:rsidRPr="00643861">
        <w:rPr>
          <w:u w:val="single"/>
        </w:rPr>
        <w:t xml:space="preserve"> –</w:t>
      </w:r>
      <w:r w:rsidR="00DA4F4E" w:rsidRPr="00643861">
        <w:rPr>
          <w:u w:val="single"/>
        </w:rPr>
        <w:t xml:space="preserve"> Článok 28</w:t>
      </w:r>
      <w:r w:rsidRPr="00643861">
        <w:rPr>
          <w:u w:val="single"/>
        </w:rPr>
        <w:t xml:space="preserve"> nariadenia (ES) č. 107</w:t>
      </w:r>
      <w:r w:rsidR="00DA4F4E" w:rsidRPr="00643861">
        <w:rPr>
          <w:u w:val="single"/>
        </w:rPr>
        <w:t>3</w:t>
      </w:r>
      <w:r w:rsidRPr="00643861">
        <w:rPr>
          <w:u w:val="single"/>
        </w:rPr>
        <w:t>/2009</w:t>
      </w:r>
    </w:p>
    <w:p w14:paraId="0B4357B3" w14:textId="064541DD" w:rsidR="00DA4F4E" w:rsidRPr="00643861" w:rsidRDefault="00DA4F4E" w:rsidP="00DA4F4E">
      <w:pPr>
        <w:pBdr>
          <w:top w:val="nil"/>
          <w:left w:val="nil"/>
          <w:bottom w:val="nil"/>
          <w:right w:val="nil"/>
          <w:between w:val="nil"/>
          <w:bar w:val="nil"/>
        </w:pBdr>
        <w:jc w:val="both"/>
        <w:rPr>
          <w:lang w:bidi="sk-SK"/>
        </w:rPr>
      </w:pPr>
      <w:r w:rsidRPr="00643861">
        <w:rPr>
          <w:lang w:bidi="sk-SK"/>
        </w:rPr>
        <w:t>Navrhuje sa stanoviť povinnos</w:t>
      </w:r>
      <w:r w:rsidR="00643861" w:rsidRPr="00643861">
        <w:rPr>
          <w:lang w:bidi="sk-SK"/>
        </w:rPr>
        <w:t>ť</w:t>
      </w:r>
      <w:r w:rsidRPr="00643861">
        <w:rPr>
          <w:lang w:bidi="sk-SK"/>
        </w:rPr>
        <w:t xml:space="preserve"> predkladania správ, aby mala Komisia konzistentné a spoľahlivé informácie od všetkých členských štátov, ktoré by jej umožnili monitorovať a vyhodnocovať vykonávanie a účinnosť tohto právneho predpisu. V návrhu nového odseku 5 sa stanovuje, že Komisia do 5 rokov odo dňa nadobudnutia účinnosti tohto nariadenia podá Európskemu parlamentu a Rade správu o tom, do akej miery nariadenie prispelo k lepšiemu fungovaniu trhu osobnej cestnej dopravy.</w:t>
      </w:r>
    </w:p>
    <w:p w14:paraId="7CDA4EF8" w14:textId="77777777" w:rsidR="003D1A28" w:rsidRPr="00643861" w:rsidRDefault="003D1A28" w:rsidP="001266AD">
      <w:pPr>
        <w:pBdr>
          <w:top w:val="nil"/>
          <w:left w:val="nil"/>
          <w:bottom w:val="nil"/>
          <w:right w:val="nil"/>
          <w:between w:val="nil"/>
          <w:bar w:val="nil"/>
        </w:pBdr>
        <w:jc w:val="both"/>
        <w:rPr>
          <w:b/>
        </w:rPr>
      </w:pPr>
    </w:p>
    <w:p w14:paraId="42DF4851" w14:textId="0B0F8BEA" w:rsidR="00937989" w:rsidRPr="00643861" w:rsidRDefault="00AB7F8B" w:rsidP="001266AD">
      <w:pPr>
        <w:pBdr>
          <w:top w:val="nil"/>
          <w:left w:val="nil"/>
          <w:bottom w:val="nil"/>
          <w:right w:val="nil"/>
          <w:between w:val="nil"/>
          <w:bar w:val="nil"/>
        </w:pBdr>
        <w:jc w:val="both"/>
      </w:pPr>
      <w:r w:rsidRPr="00643861">
        <w:rPr>
          <w:b/>
        </w:rPr>
        <w:t>Stanovisko</w:t>
      </w:r>
      <w:r w:rsidR="00937989" w:rsidRPr="00643861">
        <w:t xml:space="preserve">: </w:t>
      </w:r>
      <w:r w:rsidR="003D1A28" w:rsidRPr="00643861">
        <w:t xml:space="preserve">SR nemá k uvedenému bodu výhrady ani pripomienky. </w:t>
      </w:r>
    </w:p>
    <w:p w14:paraId="348F42B6" w14:textId="77777777" w:rsidR="003D1A28" w:rsidRPr="00643861" w:rsidRDefault="003D1A28" w:rsidP="001266AD">
      <w:pPr>
        <w:pBdr>
          <w:top w:val="nil"/>
          <w:left w:val="nil"/>
          <w:bottom w:val="nil"/>
          <w:right w:val="nil"/>
          <w:between w:val="nil"/>
          <w:bar w:val="nil"/>
        </w:pBdr>
        <w:jc w:val="both"/>
      </w:pPr>
    </w:p>
    <w:p w14:paraId="42888385" w14:textId="783B9F1D" w:rsidR="00ED2CCC" w:rsidRPr="00643861" w:rsidRDefault="00ED2CCC" w:rsidP="00ED2CCC">
      <w:pPr>
        <w:pBdr>
          <w:top w:val="nil"/>
          <w:left w:val="nil"/>
          <w:bottom w:val="nil"/>
          <w:right w:val="nil"/>
          <w:between w:val="nil"/>
          <w:bar w:val="nil"/>
        </w:pBdr>
        <w:jc w:val="both"/>
        <w:rPr>
          <w:i/>
        </w:rPr>
      </w:pPr>
      <w:r w:rsidRPr="00643861">
        <w:rPr>
          <w:i/>
        </w:rPr>
        <w:t>Článok 2</w:t>
      </w:r>
    </w:p>
    <w:p w14:paraId="5E1476EE" w14:textId="765D7EE7" w:rsidR="003D1A28" w:rsidRPr="00643861" w:rsidRDefault="00ED2CCC" w:rsidP="001266AD">
      <w:pPr>
        <w:spacing w:after="120"/>
      </w:pPr>
      <w:r w:rsidRPr="00643861">
        <w:t xml:space="preserve">V článku 2 sa navrhuje účinnosť nariadenia. </w:t>
      </w:r>
    </w:p>
    <w:p w14:paraId="32FD6FF5" w14:textId="60CBF964" w:rsidR="003D1A28" w:rsidRPr="00643861" w:rsidRDefault="00ED2CCC" w:rsidP="00483AF4">
      <w:pPr>
        <w:spacing w:after="120"/>
        <w:jc w:val="both"/>
      </w:pPr>
      <w:r w:rsidRPr="00643861">
        <w:rPr>
          <w:b/>
        </w:rPr>
        <w:t xml:space="preserve">Stanovisko: </w:t>
      </w:r>
      <w:r w:rsidRPr="00643861">
        <w:t xml:space="preserve">Navrhujeme </w:t>
      </w:r>
      <w:r w:rsidR="00EA1458" w:rsidRPr="00643861">
        <w:t>doplniť do nariadenia</w:t>
      </w:r>
      <w:r w:rsidRPr="00643861">
        <w:t xml:space="preserve"> aj prechodné ustanovenia vzhľadom na súčasný stav a aj na platnosti zmlúv o službách vo verejnom záujme. Zároveň je potrebné stanoviť prechodné obdobie v súvislosti so zriadením regulačného úradu.</w:t>
      </w:r>
    </w:p>
    <w:p w14:paraId="52236599" w14:textId="77777777" w:rsidR="003D1A28" w:rsidRPr="00643861" w:rsidRDefault="003D1A28" w:rsidP="001266AD">
      <w:pPr>
        <w:spacing w:after="120"/>
        <w:rPr>
          <w:b/>
        </w:rPr>
      </w:pPr>
    </w:p>
    <w:p w14:paraId="5ED05402" w14:textId="77777777" w:rsidR="007807A2" w:rsidRPr="00643861" w:rsidRDefault="007807A2" w:rsidP="001266AD">
      <w:pPr>
        <w:spacing w:after="120"/>
        <w:rPr>
          <w:b/>
        </w:rPr>
      </w:pPr>
      <w:r w:rsidRPr="00643861">
        <w:rPr>
          <w:b/>
        </w:rPr>
        <w:t xml:space="preserve">13. Pozícia/vyjednávacia inštrukcia k predkladanému návrhu </w:t>
      </w:r>
    </w:p>
    <w:p w14:paraId="7933AD69" w14:textId="4B284564" w:rsidR="00280CF0" w:rsidRPr="00643861" w:rsidRDefault="00280CF0" w:rsidP="00AB7F8B">
      <w:pPr>
        <w:pBdr>
          <w:top w:val="nil"/>
          <w:left w:val="nil"/>
          <w:bottom w:val="nil"/>
          <w:right w:val="nil"/>
          <w:between w:val="nil"/>
          <w:bar w:val="nil"/>
        </w:pBdr>
        <w:jc w:val="both"/>
      </w:pPr>
      <w:r w:rsidRPr="00643861">
        <w:t>Slovenská republika vo všeobecnosti podporuje jednotné uplatňovanie predpisov tak</w:t>
      </w:r>
      <w:r w:rsidR="00937989" w:rsidRPr="00643861">
        <w:t>,</w:t>
      </w:r>
      <w:r w:rsidRPr="00643861">
        <w:t xml:space="preserve"> aby</w:t>
      </w:r>
      <w:r w:rsidR="00D5364C" w:rsidRPr="00643861">
        <w:t> </w:t>
      </w:r>
      <w:r w:rsidRPr="00643861">
        <w:t xml:space="preserve">všetky subjekty v rámci Európskej únie mali rovnaké podmienky na podnikanie. </w:t>
      </w:r>
      <w:r w:rsidR="003D1A28" w:rsidRPr="00643861">
        <w:t>Problém vidíme pri štrukturálnych zmenách, ktoré môžu mať vplyv na kompetencie</w:t>
      </w:r>
      <w:r w:rsidR="00ED327B" w:rsidRPr="00643861">
        <w:t xml:space="preserve"> ako aj na kontrolnú činnosť</w:t>
      </w:r>
      <w:r w:rsidR="003D1A28" w:rsidRPr="00643861">
        <w:t>. Ide o odlišnú situáciu v každom členskom štáte</w:t>
      </w:r>
      <w:r w:rsidR="005E4D06" w:rsidRPr="00643861">
        <w:t>,</w:t>
      </w:r>
      <w:r w:rsidR="003D1A28" w:rsidRPr="00643861">
        <w:t xml:space="preserve"> z tohto dôvodu by malo byť kompetenciou príslušných štátov</w:t>
      </w:r>
      <w:r w:rsidR="005E4D06" w:rsidRPr="00643861">
        <w:t>,</w:t>
      </w:r>
      <w:r w:rsidR="003D1A28" w:rsidRPr="00643861">
        <w:t xml:space="preserve"> aby si organizáciu admini</w:t>
      </w:r>
      <w:r w:rsidR="005E4D06" w:rsidRPr="00643861">
        <w:t>s</w:t>
      </w:r>
      <w:r w:rsidR="003D1A28" w:rsidRPr="00643861">
        <w:t xml:space="preserve">tratívnych záležitostí zvolili podľa miestnych špecifík. Čo sa týka zníženia určitých povinností </w:t>
      </w:r>
      <w:r w:rsidR="005E4D06" w:rsidRPr="00643861">
        <w:t>pre </w:t>
      </w:r>
      <w:r w:rsidR="003D1A28" w:rsidRPr="00643861">
        <w:t>dopravcov</w:t>
      </w:r>
      <w:r w:rsidR="005E4D06" w:rsidRPr="00643861">
        <w:t>,</w:t>
      </w:r>
      <w:r w:rsidR="003D1A28" w:rsidRPr="00643861">
        <w:t xml:space="preserve"> takéto opatrenia vítame. Nad rámec </w:t>
      </w:r>
      <w:r w:rsidR="005E4D06" w:rsidRPr="00643861">
        <w:t xml:space="preserve">však navrhujeme zmeniť aj </w:t>
      </w:r>
      <w:r w:rsidR="003D1A28" w:rsidRPr="00643861">
        <w:t>náz</w:t>
      </w:r>
      <w:r w:rsidR="005E4D06" w:rsidRPr="00643861">
        <w:t>ov</w:t>
      </w:r>
      <w:r w:rsidR="003D1A28" w:rsidRPr="00643861">
        <w:t xml:space="preserve"> nariadenia, pretože </w:t>
      </w:r>
      <w:r w:rsidR="005E4D06" w:rsidRPr="00643861">
        <w:t>sa mení rozsah nariadenia aj na vnútroštátnu dopravu.</w:t>
      </w:r>
      <w:r w:rsidR="00C97292" w:rsidRPr="00643861">
        <w:t xml:space="preserve"> Zároveň navrhujeme prechodné ustanovenia v súvislosti so zmenou v oblasti prístupu k staniciam a zverejňovania informácií.</w:t>
      </w:r>
    </w:p>
    <w:p w14:paraId="054386CB" w14:textId="635F1343" w:rsidR="003D1A28" w:rsidRPr="00643861" w:rsidRDefault="003D1A28" w:rsidP="00AB7F8B">
      <w:pPr>
        <w:pBdr>
          <w:top w:val="nil"/>
          <w:left w:val="nil"/>
          <w:bottom w:val="nil"/>
          <w:right w:val="nil"/>
          <w:between w:val="nil"/>
          <w:bar w:val="nil"/>
        </w:pBdr>
        <w:jc w:val="both"/>
      </w:pPr>
    </w:p>
    <w:p w14:paraId="6AE0E625" w14:textId="77777777" w:rsidR="001266AD" w:rsidRPr="00643861" w:rsidRDefault="001266AD" w:rsidP="00AB7F8B">
      <w:pPr>
        <w:pBdr>
          <w:top w:val="nil"/>
          <w:left w:val="nil"/>
          <w:bottom w:val="nil"/>
          <w:right w:val="nil"/>
          <w:between w:val="nil"/>
          <w:bar w:val="nil"/>
        </w:pBdr>
        <w:jc w:val="both"/>
        <w:rPr>
          <w:i/>
        </w:rPr>
      </w:pPr>
    </w:p>
    <w:p w14:paraId="3640ADD8" w14:textId="77777777" w:rsidR="00D366BA" w:rsidRPr="00643861" w:rsidRDefault="00D366BA" w:rsidP="001266AD">
      <w:pPr>
        <w:autoSpaceDE w:val="0"/>
        <w:autoSpaceDN w:val="0"/>
        <w:adjustRightInd w:val="0"/>
      </w:pPr>
    </w:p>
    <w:p w14:paraId="6A5A05D7" w14:textId="77777777" w:rsidR="007807A2" w:rsidRPr="00643861" w:rsidRDefault="007807A2" w:rsidP="001266AD">
      <w:pPr>
        <w:autoSpaceDE w:val="0"/>
        <w:autoSpaceDN w:val="0"/>
        <w:adjustRightInd w:val="0"/>
      </w:pPr>
      <w:r w:rsidRPr="00643861">
        <w:rPr>
          <w:b/>
        </w:rPr>
        <w:t xml:space="preserve">III.  </w:t>
      </w:r>
      <w:r w:rsidRPr="00643861">
        <w:rPr>
          <w:b/>
          <w:u w:val="single"/>
        </w:rPr>
        <w:t>DÔSLEDKY NA LEGISLATÍVU SR A ADMINISTRATÍVNU PRAX SR</w:t>
      </w:r>
    </w:p>
    <w:p w14:paraId="1A9F0929" w14:textId="77777777" w:rsidR="007807A2" w:rsidRPr="00643861" w:rsidRDefault="007807A2" w:rsidP="001266AD">
      <w:pPr>
        <w:autoSpaceDE w:val="0"/>
        <w:autoSpaceDN w:val="0"/>
        <w:adjustRightInd w:val="0"/>
        <w:jc w:val="both"/>
      </w:pPr>
    </w:p>
    <w:p w14:paraId="622F2DA1" w14:textId="77777777" w:rsidR="007807A2" w:rsidRPr="00643861" w:rsidRDefault="007807A2" w:rsidP="001266AD">
      <w:pPr>
        <w:autoSpaceDE w:val="0"/>
        <w:autoSpaceDN w:val="0"/>
        <w:adjustRightInd w:val="0"/>
        <w:spacing w:after="120"/>
        <w:jc w:val="both"/>
      </w:pPr>
      <w:r w:rsidRPr="00643861">
        <w:t>V rámci právneho poriadku Slovenskej republiky bude potrebné vykonať nasledovné legislatívne zmeny:</w:t>
      </w:r>
    </w:p>
    <w:p w14:paraId="46F65B1F" w14:textId="77777777" w:rsidR="0052578F" w:rsidRPr="00643861" w:rsidRDefault="0052578F" w:rsidP="006D69DA">
      <w:pPr>
        <w:pStyle w:val="Pta"/>
        <w:numPr>
          <w:ilvl w:val="0"/>
          <w:numId w:val="7"/>
        </w:numPr>
        <w:overflowPunct w:val="0"/>
        <w:autoSpaceDE w:val="0"/>
        <w:autoSpaceDN w:val="0"/>
        <w:adjustRightInd w:val="0"/>
        <w:ind w:left="709" w:hanging="349"/>
        <w:jc w:val="both"/>
        <w:textAlignment w:val="baseline"/>
        <w:rPr>
          <w:b/>
        </w:rPr>
      </w:pPr>
      <w:r w:rsidRPr="00643861">
        <w:t xml:space="preserve">novelizovať zákon č. </w:t>
      </w:r>
      <w:r w:rsidR="006D69DA" w:rsidRPr="00643861">
        <w:t>56/2012 Z. z. o cestnej doprave v znení neskorších predpisov</w:t>
      </w:r>
    </w:p>
    <w:p w14:paraId="741281BC" w14:textId="77777777" w:rsidR="00E23AA6" w:rsidRPr="00643861" w:rsidRDefault="00E23AA6" w:rsidP="00E23AA6">
      <w:pPr>
        <w:pStyle w:val="Pta"/>
        <w:tabs>
          <w:tab w:val="left" w:pos="708"/>
        </w:tabs>
        <w:overflowPunct w:val="0"/>
        <w:autoSpaceDE w:val="0"/>
        <w:autoSpaceDN w:val="0"/>
        <w:adjustRightInd w:val="0"/>
        <w:ind w:left="720"/>
        <w:jc w:val="both"/>
        <w:textAlignment w:val="baseline"/>
        <w:rPr>
          <w:b/>
        </w:rPr>
      </w:pPr>
    </w:p>
    <w:p w14:paraId="05080276" w14:textId="77777777" w:rsidR="007807A2" w:rsidRPr="00643861" w:rsidRDefault="007807A2" w:rsidP="007807A2">
      <w:pPr>
        <w:pStyle w:val="Pta"/>
        <w:tabs>
          <w:tab w:val="left" w:pos="708"/>
        </w:tabs>
        <w:overflowPunct w:val="0"/>
        <w:autoSpaceDE w:val="0"/>
        <w:autoSpaceDN w:val="0"/>
        <w:adjustRightInd w:val="0"/>
        <w:jc w:val="both"/>
        <w:textAlignment w:val="baseline"/>
        <w:rPr>
          <w:b/>
          <w:u w:val="single"/>
        </w:rPr>
      </w:pPr>
      <w:r w:rsidRPr="00643861">
        <w:rPr>
          <w:b/>
        </w:rPr>
        <w:t xml:space="preserve">IV. </w:t>
      </w:r>
      <w:r w:rsidRPr="00643861">
        <w:rPr>
          <w:b/>
          <w:u w:val="single"/>
        </w:rPr>
        <w:t>VPLYVY NA VYBRANÉ OBLASTI</w:t>
      </w:r>
    </w:p>
    <w:p w14:paraId="1F531168" w14:textId="77777777" w:rsidR="007807A2" w:rsidRPr="00643861" w:rsidRDefault="007807A2" w:rsidP="007807A2">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252CB4" w:rsidRPr="00643861" w14:paraId="438261EE" w14:textId="77777777" w:rsidTr="003565AC">
        <w:trPr>
          <w:trHeight w:val="577"/>
        </w:trPr>
        <w:tc>
          <w:tcPr>
            <w:tcW w:w="9180" w:type="dxa"/>
            <w:gridSpan w:val="7"/>
            <w:tcBorders>
              <w:top w:val="single" w:sz="4" w:space="0" w:color="auto"/>
              <w:left w:val="single" w:sz="4" w:space="0" w:color="auto"/>
              <w:bottom w:val="single" w:sz="4" w:space="0" w:color="FFFFFF"/>
              <w:right w:val="single" w:sz="4" w:space="0" w:color="auto"/>
            </w:tcBorders>
            <w:shd w:val="clear" w:color="auto" w:fill="E2E2E2"/>
            <w:vAlign w:val="center"/>
            <w:hideMark/>
          </w:tcPr>
          <w:p w14:paraId="50CF8085" w14:textId="77777777" w:rsidR="007807A2" w:rsidRPr="00643861" w:rsidRDefault="007807A2" w:rsidP="003565AC">
            <w:pPr>
              <w:rPr>
                <w:rFonts w:eastAsia="Calibri"/>
                <w:b/>
                <w:sz w:val="22"/>
                <w:szCs w:val="22"/>
                <w:lang w:eastAsia="en-US"/>
              </w:rPr>
            </w:pPr>
            <w:r w:rsidRPr="00643861">
              <w:rPr>
                <w:rFonts w:eastAsia="Calibri"/>
                <w:b/>
                <w:sz w:val="22"/>
                <w:szCs w:val="22"/>
                <w:lang w:eastAsia="en-US"/>
              </w:rPr>
              <w:t>Vplyvy navrhovaného materiálu</w:t>
            </w:r>
          </w:p>
        </w:tc>
      </w:tr>
      <w:tr w:rsidR="00252CB4" w:rsidRPr="00643861" w14:paraId="4304B2AE" w14:textId="77777777" w:rsidTr="003565AC">
        <w:tc>
          <w:tcPr>
            <w:tcW w:w="3812" w:type="dxa"/>
            <w:tcBorders>
              <w:top w:val="single" w:sz="4" w:space="0" w:color="auto"/>
              <w:left w:val="single" w:sz="4" w:space="0" w:color="auto"/>
              <w:bottom w:val="nil"/>
              <w:right w:val="single" w:sz="4" w:space="0" w:color="auto"/>
            </w:tcBorders>
            <w:shd w:val="clear" w:color="auto" w:fill="E2E2E2"/>
            <w:hideMark/>
          </w:tcPr>
          <w:p w14:paraId="7BF3CBB6" w14:textId="77777777" w:rsidR="007807A2" w:rsidRPr="00643861" w:rsidRDefault="007807A2" w:rsidP="003565AC">
            <w:pPr>
              <w:rPr>
                <w:b/>
                <w:sz w:val="20"/>
                <w:szCs w:val="20"/>
                <w:lang w:eastAsia="en-US"/>
              </w:rPr>
            </w:pPr>
            <w:r w:rsidRPr="00643861">
              <w:rPr>
                <w:b/>
                <w:sz w:val="20"/>
                <w:szCs w:val="20"/>
                <w:lang w:eastAsia="en-US"/>
              </w:rPr>
              <w:t>Vplyvy na rozpočet verejnej správy</w:t>
            </w:r>
          </w:p>
        </w:tc>
        <w:tc>
          <w:tcPr>
            <w:tcW w:w="541" w:type="dxa"/>
            <w:tcBorders>
              <w:top w:val="single" w:sz="4" w:space="0" w:color="auto"/>
              <w:left w:val="single" w:sz="4" w:space="0" w:color="auto"/>
              <w:bottom w:val="single" w:sz="4" w:space="0" w:color="auto"/>
              <w:right w:val="nil"/>
            </w:tcBorders>
            <w:hideMark/>
          </w:tcPr>
          <w:p w14:paraId="52DB06AB" w14:textId="77777777" w:rsidR="007807A2" w:rsidRPr="00643861" w:rsidRDefault="007807A2" w:rsidP="003565AC">
            <w:pPr>
              <w:jc w:val="center"/>
              <w:rPr>
                <w:b/>
              </w:rPr>
            </w:pPr>
            <w:r w:rsidRPr="00643861">
              <w:rPr>
                <w:rFonts w:ascii="MS Gothic" w:eastAsia="MS Gothic" w:hAnsi="MS Gothic"/>
                <w:b/>
              </w:rPr>
              <w:t>☐</w:t>
            </w:r>
          </w:p>
        </w:tc>
        <w:tc>
          <w:tcPr>
            <w:tcW w:w="1281" w:type="dxa"/>
            <w:tcBorders>
              <w:top w:val="single" w:sz="4" w:space="0" w:color="auto"/>
              <w:left w:val="nil"/>
              <w:bottom w:val="single" w:sz="4" w:space="0" w:color="auto"/>
              <w:right w:val="nil"/>
            </w:tcBorders>
            <w:hideMark/>
          </w:tcPr>
          <w:p w14:paraId="379BAA35" w14:textId="77777777" w:rsidR="007807A2" w:rsidRPr="00643861" w:rsidRDefault="007807A2" w:rsidP="003565AC">
            <w:pPr>
              <w:rPr>
                <w:b/>
                <w:sz w:val="20"/>
                <w:szCs w:val="20"/>
                <w:lang w:eastAsia="en-US"/>
              </w:rPr>
            </w:pPr>
            <w:r w:rsidRPr="00643861">
              <w:rPr>
                <w:b/>
                <w:sz w:val="20"/>
                <w:szCs w:val="20"/>
                <w:lang w:eastAsia="en-US"/>
              </w:rPr>
              <w:t>Pozitívne</w:t>
            </w:r>
          </w:p>
        </w:tc>
        <w:tc>
          <w:tcPr>
            <w:tcW w:w="569" w:type="dxa"/>
            <w:tcBorders>
              <w:top w:val="single" w:sz="4" w:space="0" w:color="auto"/>
              <w:left w:val="nil"/>
              <w:bottom w:val="single" w:sz="4" w:space="0" w:color="auto"/>
              <w:right w:val="nil"/>
            </w:tcBorders>
            <w:hideMark/>
          </w:tcPr>
          <w:p w14:paraId="69DD9628" w14:textId="306E964D" w:rsidR="007807A2" w:rsidRPr="00643861" w:rsidRDefault="00483AF4" w:rsidP="003565AC">
            <w:pPr>
              <w:jc w:val="center"/>
              <w:rPr>
                <w:b/>
              </w:rPr>
            </w:pPr>
            <w:r w:rsidRPr="00643861">
              <w:rPr>
                <w:rFonts w:ascii="MS Mincho" w:eastAsia="MS Mincho" w:hAnsi="MS Mincho" w:cs="MS Mincho"/>
                <w:b/>
                <w:sz w:val="22"/>
                <w:szCs w:val="22"/>
              </w:rPr>
              <w:t>☒</w:t>
            </w:r>
          </w:p>
        </w:tc>
        <w:tc>
          <w:tcPr>
            <w:tcW w:w="1133" w:type="dxa"/>
            <w:tcBorders>
              <w:top w:val="single" w:sz="4" w:space="0" w:color="auto"/>
              <w:left w:val="nil"/>
              <w:bottom w:val="single" w:sz="4" w:space="0" w:color="auto"/>
              <w:right w:val="nil"/>
            </w:tcBorders>
            <w:hideMark/>
          </w:tcPr>
          <w:p w14:paraId="74D673BD" w14:textId="77777777" w:rsidR="007807A2" w:rsidRPr="00643861" w:rsidRDefault="007807A2" w:rsidP="003565AC">
            <w:pPr>
              <w:rPr>
                <w:b/>
                <w:sz w:val="20"/>
                <w:szCs w:val="20"/>
                <w:lang w:eastAsia="en-US"/>
              </w:rPr>
            </w:pPr>
            <w:r w:rsidRPr="00643861">
              <w:rPr>
                <w:b/>
                <w:sz w:val="20"/>
                <w:szCs w:val="20"/>
                <w:lang w:eastAsia="en-US"/>
              </w:rPr>
              <w:t>Žiadne</w:t>
            </w:r>
          </w:p>
        </w:tc>
        <w:tc>
          <w:tcPr>
            <w:tcW w:w="547" w:type="dxa"/>
            <w:tcBorders>
              <w:top w:val="single" w:sz="4" w:space="0" w:color="auto"/>
              <w:left w:val="nil"/>
              <w:bottom w:val="single" w:sz="4" w:space="0" w:color="auto"/>
              <w:right w:val="nil"/>
            </w:tcBorders>
            <w:hideMark/>
          </w:tcPr>
          <w:p w14:paraId="6223197C" w14:textId="62FAEF42" w:rsidR="007807A2" w:rsidRPr="00643861" w:rsidRDefault="00483AF4" w:rsidP="003565AC">
            <w:pPr>
              <w:jc w:val="center"/>
              <w:rPr>
                <w:b/>
              </w:rPr>
            </w:pPr>
            <w:r w:rsidRPr="00643861">
              <w:rPr>
                <w:rFonts w:ascii="MS Gothic" w:eastAsia="MS Gothic" w:hAnsi="MS Gothic"/>
                <w:b/>
              </w:rPr>
              <w:t>☐</w:t>
            </w:r>
          </w:p>
        </w:tc>
        <w:tc>
          <w:tcPr>
            <w:tcW w:w="1297" w:type="dxa"/>
            <w:tcBorders>
              <w:top w:val="single" w:sz="4" w:space="0" w:color="auto"/>
              <w:left w:val="nil"/>
              <w:bottom w:val="single" w:sz="4" w:space="0" w:color="auto"/>
              <w:right w:val="single" w:sz="4" w:space="0" w:color="auto"/>
            </w:tcBorders>
            <w:hideMark/>
          </w:tcPr>
          <w:p w14:paraId="7795A5C0" w14:textId="77777777" w:rsidR="007807A2" w:rsidRPr="00643861" w:rsidRDefault="007807A2" w:rsidP="003565AC">
            <w:pPr>
              <w:ind w:left="34"/>
              <w:rPr>
                <w:b/>
                <w:sz w:val="20"/>
                <w:szCs w:val="20"/>
                <w:lang w:eastAsia="en-US"/>
              </w:rPr>
            </w:pPr>
            <w:r w:rsidRPr="00643861">
              <w:rPr>
                <w:b/>
                <w:sz w:val="20"/>
                <w:szCs w:val="20"/>
                <w:lang w:eastAsia="en-US"/>
              </w:rPr>
              <w:t>Negatívne</w:t>
            </w:r>
          </w:p>
        </w:tc>
      </w:tr>
      <w:tr w:rsidR="00252CB4" w:rsidRPr="00643861" w14:paraId="62165B8B" w14:textId="77777777" w:rsidTr="003565AC">
        <w:tc>
          <w:tcPr>
            <w:tcW w:w="3812" w:type="dxa"/>
            <w:tcBorders>
              <w:top w:val="nil"/>
              <w:left w:val="single" w:sz="4" w:space="0" w:color="auto"/>
              <w:bottom w:val="single" w:sz="4" w:space="0" w:color="000000"/>
              <w:right w:val="single" w:sz="4" w:space="0" w:color="auto"/>
            </w:tcBorders>
            <w:shd w:val="clear" w:color="auto" w:fill="E2E2E2"/>
            <w:hideMark/>
          </w:tcPr>
          <w:p w14:paraId="2647A7D6" w14:textId="77777777" w:rsidR="007807A2" w:rsidRPr="00643861" w:rsidRDefault="007807A2" w:rsidP="003565AC">
            <w:pPr>
              <w:rPr>
                <w:sz w:val="20"/>
                <w:szCs w:val="20"/>
                <w:lang w:eastAsia="en-US"/>
              </w:rPr>
            </w:pPr>
            <w:r w:rsidRPr="00643861">
              <w:rPr>
                <w:sz w:val="20"/>
                <w:szCs w:val="20"/>
                <w:lang w:eastAsia="en-US"/>
              </w:rPr>
              <w:lastRenderedPageBreak/>
              <w:t xml:space="preserve">    z toho rozpočtovo zabezpečené vplyvy</w:t>
            </w:r>
          </w:p>
        </w:tc>
        <w:tc>
          <w:tcPr>
            <w:tcW w:w="541" w:type="dxa"/>
            <w:tcBorders>
              <w:top w:val="single" w:sz="4" w:space="0" w:color="auto"/>
              <w:left w:val="single" w:sz="4" w:space="0" w:color="auto"/>
              <w:bottom w:val="single" w:sz="4" w:space="0" w:color="auto"/>
              <w:right w:val="nil"/>
            </w:tcBorders>
            <w:hideMark/>
          </w:tcPr>
          <w:p w14:paraId="25FE826D" w14:textId="77777777" w:rsidR="007807A2" w:rsidRPr="00643861" w:rsidRDefault="007807A2" w:rsidP="003565AC">
            <w:pPr>
              <w:jc w:val="center"/>
            </w:pPr>
            <w:r w:rsidRPr="00643861">
              <w:rPr>
                <w:rFonts w:ascii="MS Gothic" w:eastAsia="MS Gothic" w:hAnsi="MS Gothic"/>
              </w:rPr>
              <w:t>☐</w:t>
            </w:r>
          </w:p>
        </w:tc>
        <w:tc>
          <w:tcPr>
            <w:tcW w:w="1281" w:type="dxa"/>
            <w:tcBorders>
              <w:top w:val="single" w:sz="4" w:space="0" w:color="auto"/>
              <w:left w:val="nil"/>
              <w:bottom w:val="single" w:sz="4" w:space="0" w:color="auto"/>
              <w:right w:val="nil"/>
            </w:tcBorders>
            <w:hideMark/>
          </w:tcPr>
          <w:p w14:paraId="2FDE6697" w14:textId="77777777" w:rsidR="007807A2" w:rsidRPr="00643861" w:rsidRDefault="007807A2" w:rsidP="003565AC">
            <w:pPr>
              <w:rPr>
                <w:sz w:val="20"/>
                <w:szCs w:val="20"/>
                <w:lang w:eastAsia="en-US"/>
              </w:rPr>
            </w:pPr>
            <w:r w:rsidRPr="00643861">
              <w:rPr>
                <w:sz w:val="20"/>
                <w:szCs w:val="20"/>
                <w:lang w:eastAsia="en-US"/>
              </w:rPr>
              <w:t>Áno</w:t>
            </w:r>
          </w:p>
        </w:tc>
        <w:tc>
          <w:tcPr>
            <w:tcW w:w="569" w:type="dxa"/>
            <w:tcBorders>
              <w:top w:val="single" w:sz="4" w:space="0" w:color="auto"/>
              <w:left w:val="nil"/>
              <w:bottom w:val="single" w:sz="4" w:space="0" w:color="auto"/>
              <w:right w:val="nil"/>
            </w:tcBorders>
            <w:hideMark/>
          </w:tcPr>
          <w:p w14:paraId="02128447" w14:textId="77777777" w:rsidR="007807A2" w:rsidRPr="00643861" w:rsidRDefault="007C4A95" w:rsidP="003565AC">
            <w:pPr>
              <w:jc w:val="center"/>
            </w:pPr>
            <w:r w:rsidRPr="00643861">
              <w:rPr>
                <w:rFonts w:ascii="MS Mincho" w:eastAsia="MS Mincho" w:hAnsi="MS Mincho" w:cs="MS Mincho"/>
                <w:b/>
                <w:sz w:val="22"/>
                <w:szCs w:val="22"/>
              </w:rPr>
              <w:t>☒</w:t>
            </w:r>
          </w:p>
        </w:tc>
        <w:tc>
          <w:tcPr>
            <w:tcW w:w="1133" w:type="dxa"/>
            <w:tcBorders>
              <w:top w:val="single" w:sz="4" w:space="0" w:color="auto"/>
              <w:left w:val="nil"/>
              <w:bottom w:val="single" w:sz="4" w:space="0" w:color="auto"/>
              <w:right w:val="nil"/>
            </w:tcBorders>
            <w:hideMark/>
          </w:tcPr>
          <w:p w14:paraId="1B694DF8" w14:textId="77777777" w:rsidR="007807A2" w:rsidRPr="00643861" w:rsidRDefault="007807A2" w:rsidP="003565AC">
            <w:pPr>
              <w:rPr>
                <w:sz w:val="20"/>
                <w:szCs w:val="20"/>
                <w:lang w:eastAsia="en-US"/>
              </w:rPr>
            </w:pPr>
            <w:r w:rsidRPr="00643861">
              <w:rPr>
                <w:sz w:val="20"/>
                <w:szCs w:val="20"/>
                <w:lang w:eastAsia="en-US"/>
              </w:rPr>
              <w:t>Nie</w:t>
            </w:r>
          </w:p>
        </w:tc>
        <w:tc>
          <w:tcPr>
            <w:tcW w:w="547" w:type="dxa"/>
            <w:tcBorders>
              <w:top w:val="single" w:sz="4" w:space="0" w:color="auto"/>
              <w:left w:val="nil"/>
              <w:bottom w:val="single" w:sz="4" w:space="0" w:color="auto"/>
              <w:right w:val="nil"/>
            </w:tcBorders>
            <w:hideMark/>
          </w:tcPr>
          <w:p w14:paraId="31E0E316" w14:textId="77777777" w:rsidR="007807A2" w:rsidRPr="00643861" w:rsidRDefault="007807A2" w:rsidP="003565AC">
            <w:pPr>
              <w:jc w:val="center"/>
            </w:pPr>
            <w:r w:rsidRPr="00643861">
              <w:rPr>
                <w:rFonts w:ascii="MS Gothic" w:eastAsia="MS Gothic" w:hAnsi="MS Gothic"/>
              </w:rPr>
              <w:t>☐</w:t>
            </w:r>
          </w:p>
        </w:tc>
        <w:tc>
          <w:tcPr>
            <w:tcW w:w="1297" w:type="dxa"/>
            <w:tcBorders>
              <w:top w:val="single" w:sz="4" w:space="0" w:color="auto"/>
              <w:left w:val="nil"/>
              <w:bottom w:val="single" w:sz="4" w:space="0" w:color="auto"/>
              <w:right w:val="single" w:sz="4" w:space="0" w:color="auto"/>
            </w:tcBorders>
            <w:hideMark/>
          </w:tcPr>
          <w:p w14:paraId="1B74921E" w14:textId="77777777" w:rsidR="007807A2" w:rsidRPr="00643861" w:rsidRDefault="007807A2" w:rsidP="003565AC">
            <w:pPr>
              <w:ind w:left="34"/>
              <w:rPr>
                <w:sz w:val="20"/>
                <w:szCs w:val="20"/>
                <w:lang w:eastAsia="en-US"/>
              </w:rPr>
            </w:pPr>
            <w:r w:rsidRPr="00643861">
              <w:rPr>
                <w:sz w:val="20"/>
                <w:szCs w:val="20"/>
                <w:lang w:eastAsia="en-US"/>
              </w:rPr>
              <w:t>Čiastočne</w:t>
            </w:r>
          </w:p>
        </w:tc>
      </w:tr>
      <w:tr w:rsidR="00252CB4" w:rsidRPr="00643861" w14:paraId="154D28B3" w14:textId="77777777" w:rsidTr="003565AC">
        <w:tc>
          <w:tcPr>
            <w:tcW w:w="3812" w:type="dxa"/>
            <w:tcBorders>
              <w:top w:val="single" w:sz="4" w:space="0" w:color="000000"/>
              <w:left w:val="single" w:sz="4" w:space="0" w:color="auto"/>
              <w:bottom w:val="nil"/>
              <w:right w:val="single" w:sz="4" w:space="0" w:color="auto"/>
            </w:tcBorders>
            <w:shd w:val="clear" w:color="auto" w:fill="E2E2E2"/>
            <w:hideMark/>
          </w:tcPr>
          <w:p w14:paraId="0EC2CAC0" w14:textId="77777777" w:rsidR="007807A2" w:rsidRPr="00643861" w:rsidRDefault="007807A2" w:rsidP="003565AC">
            <w:pPr>
              <w:rPr>
                <w:b/>
                <w:sz w:val="20"/>
                <w:szCs w:val="20"/>
                <w:lang w:eastAsia="en-US"/>
              </w:rPr>
            </w:pPr>
            <w:r w:rsidRPr="00643861">
              <w:rPr>
                <w:b/>
                <w:sz w:val="20"/>
                <w:szCs w:val="20"/>
                <w:lang w:eastAsia="en-US"/>
              </w:rPr>
              <w:t>Vplyvy na podnikateľské prostredie</w:t>
            </w:r>
          </w:p>
        </w:tc>
        <w:tc>
          <w:tcPr>
            <w:tcW w:w="541" w:type="dxa"/>
            <w:tcBorders>
              <w:top w:val="single" w:sz="4" w:space="0" w:color="auto"/>
              <w:left w:val="single" w:sz="4" w:space="0" w:color="auto"/>
              <w:bottom w:val="single" w:sz="4" w:space="0" w:color="auto"/>
              <w:right w:val="nil"/>
            </w:tcBorders>
            <w:hideMark/>
          </w:tcPr>
          <w:p w14:paraId="61E8E6C3" w14:textId="77777777" w:rsidR="007807A2" w:rsidRPr="00643861" w:rsidRDefault="007576B2" w:rsidP="003565AC">
            <w:pPr>
              <w:jc w:val="center"/>
              <w:rPr>
                <w:b/>
              </w:rPr>
            </w:pPr>
            <w:r w:rsidRPr="00643861">
              <w:rPr>
                <w:rFonts w:ascii="MS Mincho" w:eastAsia="MS Mincho" w:hAnsi="MS Mincho" w:cs="MS Mincho"/>
                <w:b/>
                <w:sz w:val="22"/>
                <w:szCs w:val="22"/>
              </w:rPr>
              <w:t>☒</w:t>
            </w:r>
          </w:p>
        </w:tc>
        <w:tc>
          <w:tcPr>
            <w:tcW w:w="1281" w:type="dxa"/>
            <w:tcBorders>
              <w:top w:val="single" w:sz="4" w:space="0" w:color="auto"/>
              <w:left w:val="nil"/>
              <w:bottom w:val="single" w:sz="4" w:space="0" w:color="auto"/>
              <w:right w:val="nil"/>
            </w:tcBorders>
            <w:hideMark/>
          </w:tcPr>
          <w:p w14:paraId="3EE9BDD4" w14:textId="77777777" w:rsidR="007807A2" w:rsidRPr="00643861" w:rsidRDefault="007807A2" w:rsidP="003565AC">
            <w:pPr>
              <w:ind w:right="-108"/>
              <w:rPr>
                <w:b/>
                <w:sz w:val="20"/>
                <w:szCs w:val="20"/>
                <w:lang w:eastAsia="en-US"/>
              </w:rPr>
            </w:pPr>
            <w:r w:rsidRPr="00643861">
              <w:rPr>
                <w:b/>
                <w:sz w:val="20"/>
                <w:szCs w:val="20"/>
                <w:lang w:eastAsia="en-US"/>
              </w:rPr>
              <w:t>Pozitívne</w:t>
            </w:r>
          </w:p>
        </w:tc>
        <w:tc>
          <w:tcPr>
            <w:tcW w:w="569" w:type="dxa"/>
            <w:tcBorders>
              <w:top w:val="single" w:sz="4" w:space="0" w:color="auto"/>
              <w:left w:val="nil"/>
              <w:bottom w:val="single" w:sz="4" w:space="0" w:color="auto"/>
              <w:right w:val="nil"/>
            </w:tcBorders>
            <w:hideMark/>
          </w:tcPr>
          <w:p w14:paraId="28243294" w14:textId="77777777" w:rsidR="007807A2" w:rsidRPr="00643861" w:rsidRDefault="007807A2" w:rsidP="003565AC">
            <w:pPr>
              <w:jc w:val="center"/>
              <w:rPr>
                <w:b/>
              </w:rPr>
            </w:pPr>
            <w:r w:rsidRPr="00643861">
              <w:rPr>
                <w:rFonts w:ascii="MS Gothic" w:eastAsia="MS Gothic" w:hAnsi="MS Gothic"/>
                <w:b/>
              </w:rPr>
              <w:t>☐</w:t>
            </w:r>
          </w:p>
        </w:tc>
        <w:tc>
          <w:tcPr>
            <w:tcW w:w="1133" w:type="dxa"/>
            <w:tcBorders>
              <w:top w:val="single" w:sz="4" w:space="0" w:color="auto"/>
              <w:left w:val="nil"/>
              <w:bottom w:val="single" w:sz="4" w:space="0" w:color="auto"/>
              <w:right w:val="nil"/>
            </w:tcBorders>
            <w:hideMark/>
          </w:tcPr>
          <w:p w14:paraId="0FB512F6" w14:textId="77777777" w:rsidR="007807A2" w:rsidRPr="00643861" w:rsidRDefault="007807A2" w:rsidP="003565AC">
            <w:pPr>
              <w:rPr>
                <w:b/>
                <w:sz w:val="20"/>
                <w:szCs w:val="20"/>
                <w:lang w:eastAsia="en-US"/>
              </w:rPr>
            </w:pPr>
            <w:r w:rsidRPr="00643861">
              <w:rPr>
                <w:b/>
                <w:sz w:val="20"/>
                <w:szCs w:val="20"/>
                <w:lang w:eastAsia="en-US"/>
              </w:rPr>
              <w:t>Žiadne</w:t>
            </w:r>
          </w:p>
        </w:tc>
        <w:tc>
          <w:tcPr>
            <w:tcW w:w="547" w:type="dxa"/>
            <w:tcBorders>
              <w:top w:val="single" w:sz="4" w:space="0" w:color="auto"/>
              <w:left w:val="nil"/>
              <w:bottom w:val="single" w:sz="4" w:space="0" w:color="auto"/>
              <w:right w:val="nil"/>
            </w:tcBorders>
            <w:hideMark/>
          </w:tcPr>
          <w:p w14:paraId="30A52DE0" w14:textId="78298915" w:rsidR="007807A2" w:rsidRPr="00643861" w:rsidRDefault="00483AF4" w:rsidP="003565AC">
            <w:pPr>
              <w:jc w:val="center"/>
              <w:rPr>
                <w:b/>
              </w:rPr>
            </w:pPr>
            <w:r w:rsidRPr="00643861">
              <w:rPr>
                <w:rFonts w:ascii="MS Gothic" w:eastAsia="MS Gothic" w:hAnsi="MS Gothic"/>
              </w:rPr>
              <w:t>☐</w:t>
            </w:r>
          </w:p>
        </w:tc>
        <w:tc>
          <w:tcPr>
            <w:tcW w:w="1297" w:type="dxa"/>
            <w:tcBorders>
              <w:top w:val="single" w:sz="4" w:space="0" w:color="auto"/>
              <w:left w:val="nil"/>
              <w:bottom w:val="single" w:sz="4" w:space="0" w:color="auto"/>
              <w:right w:val="single" w:sz="4" w:space="0" w:color="auto"/>
            </w:tcBorders>
            <w:hideMark/>
          </w:tcPr>
          <w:p w14:paraId="4BDDC14B" w14:textId="77777777" w:rsidR="007807A2" w:rsidRPr="00643861" w:rsidRDefault="007807A2" w:rsidP="003565AC">
            <w:pPr>
              <w:ind w:left="54"/>
              <w:rPr>
                <w:b/>
                <w:sz w:val="20"/>
                <w:szCs w:val="20"/>
                <w:lang w:eastAsia="en-US"/>
              </w:rPr>
            </w:pPr>
            <w:r w:rsidRPr="00643861">
              <w:rPr>
                <w:b/>
                <w:sz w:val="20"/>
                <w:szCs w:val="20"/>
                <w:lang w:eastAsia="en-US"/>
              </w:rPr>
              <w:t>Negatívne</w:t>
            </w:r>
          </w:p>
        </w:tc>
      </w:tr>
      <w:tr w:rsidR="00252CB4" w:rsidRPr="00643861" w14:paraId="4608A4FD" w14:textId="77777777" w:rsidTr="003565AC">
        <w:tc>
          <w:tcPr>
            <w:tcW w:w="3812" w:type="dxa"/>
            <w:tcBorders>
              <w:top w:val="nil"/>
              <w:left w:val="single" w:sz="4" w:space="0" w:color="000000"/>
              <w:bottom w:val="single" w:sz="4" w:space="0" w:color="000000"/>
              <w:right w:val="single" w:sz="4" w:space="0" w:color="000000"/>
            </w:tcBorders>
            <w:shd w:val="clear" w:color="auto" w:fill="E2E2E2"/>
            <w:hideMark/>
          </w:tcPr>
          <w:p w14:paraId="4C1F1552" w14:textId="77777777" w:rsidR="007807A2" w:rsidRPr="00643861" w:rsidRDefault="007807A2" w:rsidP="003565AC">
            <w:pPr>
              <w:rPr>
                <w:sz w:val="20"/>
                <w:szCs w:val="20"/>
                <w:lang w:eastAsia="en-US"/>
              </w:rPr>
            </w:pPr>
            <w:r w:rsidRPr="00643861">
              <w:rPr>
                <w:sz w:val="20"/>
                <w:szCs w:val="20"/>
                <w:lang w:eastAsia="en-US"/>
              </w:rPr>
              <w:t xml:space="preserve">    z toho vplyvy na MSP</w:t>
            </w:r>
          </w:p>
        </w:tc>
        <w:tc>
          <w:tcPr>
            <w:tcW w:w="541" w:type="dxa"/>
            <w:tcBorders>
              <w:top w:val="single" w:sz="4" w:space="0" w:color="auto"/>
              <w:left w:val="single" w:sz="4" w:space="0" w:color="000000"/>
              <w:bottom w:val="single" w:sz="4" w:space="0" w:color="auto"/>
              <w:right w:val="nil"/>
            </w:tcBorders>
            <w:hideMark/>
          </w:tcPr>
          <w:p w14:paraId="5F81D0C4" w14:textId="49CF4FB0" w:rsidR="007807A2" w:rsidRPr="00643861" w:rsidRDefault="00483AF4" w:rsidP="003565AC">
            <w:pPr>
              <w:jc w:val="center"/>
            </w:pPr>
            <w:r w:rsidRPr="00643861">
              <w:rPr>
                <w:rFonts w:ascii="MS Mincho" w:eastAsia="MS Mincho" w:hAnsi="MS Mincho" w:cs="MS Mincho"/>
                <w:b/>
                <w:sz w:val="22"/>
                <w:szCs w:val="22"/>
              </w:rPr>
              <w:t>☒</w:t>
            </w:r>
          </w:p>
        </w:tc>
        <w:tc>
          <w:tcPr>
            <w:tcW w:w="1281" w:type="dxa"/>
            <w:tcBorders>
              <w:top w:val="single" w:sz="4" w:space="0" w:color="auto"/>
              <w:left w:val="nil"/>
              <w:bottom w:val="single" w:sz="4" w:space="0" w:color="auto"/>
              <w:right w:val="nil"/>
            </w:tcBorders>
            <w:hideMark/>
          </w:tcPr>
          <w:p w14:paraId="1232D136" w14:textId="77777777" w:rsidR="007807A2" w:rsidRPr="00643861" w:rsidRDefault="007807A2" w:rsidP="003565AC">
            <w:pPr>
              <w:ind w:right="-108"/>
              <w:rPr>
                <w:sz w:val="20"/>
                <w:szCs w:val="20"/>
                <w:lang w:eastAsia="en-US"/>
              </w:rPr>
            </w:pPr>
            <w:r w:rsidRPr="00643861">
              <w:rPr>
                <w:sz w:val="20"/>
                <w:szCs w:val="20"/>
                <w:lang w:eastAsia="en-US"/>
              </w:rPr>
              <w:t>Pozitívne</w:t>
            </w:r>
          </w:p>
        </w:tc>
        <w:tc>
          <w:tcPr>
            <w:tcW w:w="569" w:type="dxa"/>
            <w:tcBorders>
              <w:top w:val="single" w:sz="4" w:space="0" w:color="auto"/>
              <w:left w:val="nil"/>
              <w:bottom w:val="single" w:sz="4" w:space="0" w:color="auto"/>
              <w:right w:val="nil"/>
            </w:tcBorders>
            <w:hideMark/>
          </w:tcPr>
          <w:p w14:paraId="4290CE92" w14:textId="77777777" w:rsidR="007807A2" w:rsidRPr="00643861" w:rsidRDefault="007807A2" w:rsidP="003565AC">
            <w:pPr>
              <w:jc w:val="center"/>
            </w:pPr>
            <w:r w:rsidRPr="00643861">
              <w:rPr>
                <w:rFonts w:ascii="MS Gothic" w:eastAsia="MS Gothic" w:hAnsi="MS Gothic"/>
              </w:rPr>
              <w:t>☐</w:t>
            </w:r>
          </w:p>
        </w:tc>
        <w:tc>
          <w:tcPr>
            <w:tcW w:w="1133" w:type="dxa"/>
            <w:tcBorders>
              <w:top w:val="single" w:sz="4" w:space="0" w:color="auto"/>
              <w:left w:val="nil"/>
              <w:bottom w:val="single" w:sz="4" w:space="0" w:color="auto"/>
              <w:right w:val="nil"/>
            </w:tcBorders>
            <w:hideMark/>
          </w:tcPr>
          <w:p w14:paraId="48519B98" w14:textId="77777777" w:rsidR="007807A2" w:rsidRPr="00643861" w:rsidRDefault="007807A2" w:rsidP="003565AC">
            <w:pPr>
              <w:rPr>
                <w:sz w:val="20"/>
                <w:szCs w:val="20"/>
                <w:lang w:eastAsia="en-US"/>
              </w:rPr>
            </w:pPr>
            <w:r w:rsidRPr="00643861">
              <w:rPr>
                <w:sz w:val="20"/>
                <w:szCs w:val="20"/>
                <w:lang w:eastAsia="en-US"/>
              </w:rPr>
              <w:t>Žiadne</w:t>
            </w:r>
          </w:p>
        </w:tc>
        <w:tc>
          <w:tcPr>
            <w:tcW w:w="547" w:type="dxa"/>
            <w:tcBorders>
              <w:top w:val="single" w:sz="4" w:space="0" w:color="auto"/>
              <w:left w:val="nil"/>
              <w:bottom w:val="single" w:sz="4" w:space="0" w:color="auto"/>
              <w:right w:val="nil"/>
            </w:tcBorders>
            <w:hideMark/>
          </w:tcPr>
          <w:p w14:paraId="7DCAE6EA" w14:textId="1594F259" w:rsidR="007807A2" w:rsidRPr="00643861" w:rsidRDefault="00483AF4" w:rsidP="003565AC">
            <w:pPr>
              <w:jc w:val="center"/>
            </w:pPr>
            <w:r w:rsidRPr="00643861">
              <w:rPr>
                <w:rFonts w:ascii="MS Gothic" w:eastAsia="MS Gothic" w:hAnsi="MS Gothic"/>
              </w:rPr>
              <w:t>☐</w:t>
            </w:r>
          </w:p>
        </w:tc>
        <w:tc>
          <w:tcPr>
            <w:tcW w:w="1297" w:type="dxa"/>
            <w:tcBorders>
              <w:top w:val="single" w:sz="4" w:space="0" w:color="auto"/>
              <w:left w:val="nil"/>
              <w:bottom w:val="single" w:sz="4" w:space="0" w:color="auto"/>
              <w:right w:val="single" w:sz="4" w:space="0" w:color="auto"/>
            </w:tcBorders>
            <w:hideMark/>
          </w:tcPr>
          <w:p w14:paraId="6C0990E5" w14:textId="77777777" w:rsidR="007807A2" w:rsidRPr="00643861" w:rsidRDefault="007807A2" w:rsidP="003565AC">
            <w:pPr>
              <w:ind w:left="54"/>
              <w:rPr>
                <w:sz w:val="20"/>
                <w:szCs w:val="20"/>
                <w:lang w:eastAsia="en-US"/>
              </w:rPr>
            </w:pPr>
            <w:r w:rsidRPr="00643861">
              <w:rPr>
                <w:sz w:val="20"/>
                <w:szCs w:val="20"/>
                <w:lang w:eastAsia="en-US"/>
              </w:rPr>
              <w:t>Negatívne</w:t>
            </w:r>
          </w:p>
        </w:tc>
      </w:tr>
      <w:tr w:rsidR="00252CB4" w:rsidRPr="00643861" w14:paraId="7542FFE7" w14:textId="77777777" w:rsidTr="003565AC">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14:paraId="54AE6B3B" w14:textId="77777777" w:rsidR="007807A2" w:rsidRPr="00643861" w:rsidRDefault="007807A2" w:rsidP="003565AC">
            <w:pPr>
              <w:rPr>
                <w:b/>
                <w:sz w:val="20"/>
                <w:szCs w:val="20"/>
                <w:lang w:eastAsia="en-US"/>
              </w:rPr>
            </w:pPr>
            <w:r w:rsidRPr="00643861">
              <w:rPr>
                <w:b/>
                <w:sz w:val="20"/>
                <w:szCs w:val="20"/>
                <w:lang w:eastAsia="en-US"/>
              </w:rPr>
              <w:t>Sociálne vplyvy</w:t>
            </w:r>
          </w:p>
        </w:tc>
        <w:tc>
          <w:tcPr>
            <w:tcW w:w="541" w:type="dxa"/>
            <w:tcBorders>
              <w:top w:val="single" w:sz="4" w:space="0" w:color="auto"/>
              <w:left w:val="single" w:sz="4" w:space="0" w:color="auto"/>
              <w:bottom w:val="single" w:sz="4" w:space="0" w:color="auto"/>
              <w:right w:val="nil"/>
            </w:tcBorders>
            <w:hideMark/>
          </w:tcPr>
          <w:p w14:paraId="425490CC" w14:textId="77777777" w:rsidR="007807A2" w:rsidRPr="00643861" w:rsidRDefault="006C70B5" w:rsidP="003565AC">
            <w:pPr>
              <w:jc w:val="center"/>
              <w:rPr>
                <w:b/>
              </w:rPr>
            </w:pPr>
            <w:r w:rsidRPr="00643861">
              <w:rPr>
                <w:rFonts w:ascii="MS Gothic" w:eastAsia="MS Gothic" w:hAnsi="MS Gothic"/>
                <w:b/>
              </w:rPr>
              <w:t>☐</w:t>
            </w:r>
          </w:p>
        </w:tc>
        <w:tc>
          <w:tcPr>
            <w:tcW w:w="1281" w:type="dxa"/>
            <w:tcBorders>
              <w:top w:val="single" w:sz="4" w:space="0" w:color="auto"/>
              <w:left w:val="nil"/>
              <w:bottom w:val="single" w:sz="4" w:space="0" w:color="auto"/>
              <w:right w:val="nil"/>
            </w:tcBorders>
            <w:hideMark/>
          </w:tcPr>
          <w:p w14:paraId="4143BE32" w14:textId="77777777" w:rsidR="007807A2" w:rsidRPr="00643861" w:rsidRDefault="007807A2" w:rsidP="003565AC">
            <w:pPr>
              <w:ind w:right="-108"/>
              <w:rPr>
                <w:b/>
                <w:sz w:val="20"/>
                <w:szCs w:val="20"/>
                <w:lang w:eastAsia="en-US"/>
              </w:rPr>
            </w:pPr>
            <w:r w:rsidRPr="00643861">
              <w:rPr>
                <w:b/>
                <w:sz w:val="20"/>
                <w:szCs w:val="20"/>
                <w:lang w:eastAsia="en-US"/>
              </w:rPr>
              <w:t>Pozitívne</w:t>
            </w:r>
          </w:p>
        </w:tc>
        <w:tc>
          <w:tcPr>
            <w:tcW w:w="569" w:type="dxa"/>
            <w:tcBorders>
              <w:top w:val="single" w:sz="4" w:space="0" w:color="auto"/>
              <w:left w:val="nil"/>
              <w:bottom w:val="single" w:sz="4" w:space="0" w:color="auto"/>
              <w:right w:val="nil"/>
            </w:tcBorders>
            <w:hideMark/>
          </w:tcPr>
          <w:p w14:paraId="5EE46711" w14:textId="77777777" w:rsidR="007807A2" w:rsidRPr="00643861" w:rsidRDefault="007C4A95" w:rsidP="003565AC">
            <w:pPr>
              <w:jc w:val="center"/>
              <w:rPr>
                <w:b/>
              </w:rPr>
            </w:pPr>
            <w:r w:rsidRPr="00643861">
              <w:rPr>
                <w:rFonts w:ascii="MS Mincho" w:eastAsia="MS Mincho" w:hAnsi="MS Mincho" w:cs="MS Mincho"/>
                <w:b/>
                <w:sz w:val="22"/>
                <w:szCs w:val="22"/>
              </w:rPr>
              <w:t>☒</w:t>
            </w:r>
          </w:p>
        </w:tc>
        <w:tc>
          <w:tcPr>
            <w:tcW w:w="1133" w:type="dxa"/>
            <w:tcBorders>
              <w:top w:val="single" w:sz="4" w:space="0" w:color="auto"/>
              <w:left w:val="nil"/>
              <w:bottom w:val="single" w:sz="4" w:space="0" w:color="auto"/>
              <w:right w:val="nil"/>
            </w:tcBorders>
            <w:hideMark/>
          </w:tcPr>
          <w:p w14:paraId="7B52EE62" w14:textId="77777777" w:rsidR="007807A2" w:rsidRPr="00643861" w:rsidRDefault="007807A2" w:rsidP="003565AC">
            <w:pPr>
              <w:rPr>
                <w:b/>
                <w:sz w:val="20"/>
                <w:szCs w:val="20"/>
                <w:lang w:eastAsia="en-US"/>
              </w:rPr>
            </w:pPr>
            <w:r w:rsidRPr="00643861">
              <w:rPr>
                <w:b/>
                <w:sz w:val="20"/>
                <w:szCs w:val="20"/>
                <w:lang w:eastAsia="en-US"/>
              </w:rPr>
              <w:t>Žiadne</w:t>
            </w:r>
          </w:p>
        </w:tc>
        <w:tc>
          <w:tcPr>
            <w:tcW w:w="547" w:type="dxa"/>
            <w:tcBorders>
              <w:top w:val="single" w:sz="4" w:space="0" w:color="auto"/>
              <w:left w:val="nil"/>
              <w:bottom w:val="single" w:sz="4" w:space="0" w:color="auto"/>
              <w:right w:val="nil"/>
            </w:tcBorders>
            <w:hideMark/>
          </w:tcPr>
          <w:p w14:paraId="3790256E" w14:textId="77777777" w:rsidR="007807A2" w:rsidRPr="00643861" w:rsidRDefault="007807A2" w:rsidP="003565AC">
            <w:pPr>
              <w:jc w:val="center"/>
              <w:rPr>
                <w:b/>
              </w:rPr>
            </w:pPr>
            <w:r w:rsidRPr="00643861">
              <w:rPr>
                <w:rFonts w:ascii="MS Gothic" w:eastAsia="MS Gothic" w:hAnsi="MS Gothic"/>
                <w:b/>
              </w:rPr>
              <w:t>☐</w:t>
            </w:r>
          </w:p>
        </w:tc>
        <w:tc>
          <w:tcPr>
            <w:tcW w:w="1297" w:type="dxa"/>
            <w:tcBorders>
              <w:top w:val="single" w:sz="4" w:space="0" w:color="auto"/>
              <w:left w:val="nil"/>
              <w:bottom w:val="single" w:sz="4" w:space="0" w:color="auto"/>
              <w:right w:val="single" w:sz="4" w:space="0" w:color="auto"/>
            </w:tcBorders>
            <w:hideMark/>
          </w:tcPr>
          <w:p w14:paraId="2FF8C24E" w14:textId="77777777" w:rsidR="007807A2" w:rsidRPr="00643861" w:rsidRDefault="007807A2" w:rsidP="003565AC">
            <w:pPr>
              <w:ind w:left="54"/>
              <w:rPr>
                <w:b/>
                <w:sz w:val="20"/>
                <w:szCs w:val="20"/>
                <w:lang w:eastAsia="en-US"/>
              </w:rPr>
            </w:pPr>
            <w:r w:rsidRPr="00643861">
              <w:rPr>
                <w:b/>
                <w:sz w:val="20"/>
                <w:szCs w:val="20"/>
                <w:lang w:eastAsia="en-US"/>
              </w:rPr>
              <w:t>Negatívne</w:t>
            </w:r>
          </w:p>
        </w:tc>
      </w:tr>
      <w:tr w:rsidR="00252CB4" w:rsidRPr="00643861" w14:paraId="2DC0F268" w14:textId="77777777" w:rsidTr="003565AC">
        <w:tc>
          <w:tcPr>
            <w:tcW w:w="3812" w:type="dxa"/>
            <w:tcBorders>
              <w:top w:val="single" w:sz="4" w:space="0" w:color="auto"/>
              <w:left w:val="single" w:sz="4" w:space="0" w:color="auto"/>
              <w:bottom w:val="single" w:sz="4" w:space="0" w:color="auto"/>
              <w:right w:val="single" w:sz="4" w:space="0" w:color="auto"/>
            </w:tcBorders>
            <w:shd w:val="clear" w:color="auto" w:fill="E2E2E2"/>
            <w:hideMark/>
          </w:tcPr>
          <w:p w14:paraId="26602B65" w14:textId="77777777" w:rsidR="007807A2" w:rsidRPr="00643861" w:rsidRDefault="007807A2" w:rsidP="003565AC">
            <w:pPr>
              <w:rPr>
                <w:b/>
                <w:sz w:val="20"/>
                <w:szCs w:val="20"/>
                <w:lang w:eastAsia="en-US"/>
              </w:rPr>
            </w:pPr>
            <w:r w:rsidRPr="00643861">
              <w:rPr>
                <w:b/>
                <w:sz w:val="20"/>
                <w:szCs w:val="20"/>
                <w:lang w:eastAsia="en-US"/>
              </w:rPr>
              <w:t>Vplyvy na životné prostredie</w:t>
            </w:r>
          </w:p>
        </w:tc>
        <w:tc>
          <w:tcPr>
            <w:tcW w:w="541" w:type="dxa"/>
            <w:tcBorders>
              <w:top w:val="single" w:sz="4" w:space="0" w:color="auto"/>
              <w:left w:val="single" w:sz="4" w:space="0" w:color="auto"/>
              <w:bottom w:val="single" w:sz="4" w:space="0" w:color="auto"/>
              <w:right w:val="nil"/>
            </w:tcBorders>
            <w:hideMark/>
          </w:tcPr>
          <w:p w14:paraId="526D7983" w14:textId="77777777" w:rsidR="007807A2" w:rsidRPr="00643861" w:rsidRDefault="007807A2" w:rsidP="003565AC">
            <w:pPr>
              <w:jc w:val="center"/>
              <w:rPr>
                <w:b/>
              </w:rPr>
            </w:pPr>
            <w:r w:rsidRPr="00643861">
              <w:rPr>
                <w:rFonts w:ascii="MS Gothic" w:eastAsia="MS Gothic" w:hAnsi="MS Gothic"/>
                <w:b/>
              </w:rPr>
              <w:t>☐</w:t>
            </w:r>
          </w:p>
        </w:tc>
        <w:tc>
          <w:tcPr>
            <w:tcW w:w="1281" w:type="dxa"/>
            <w:tcBorders>
              <w:top w:val="single" w:sz="4" w:space="0" w:color="auto"/>
              <w:left w:val="nil"/>
              <w:bottom w:val="single" w:sz="4" w:space="0" w:color="auto"/>
              <w:right w:val="nil"/>
            </w:tcBorders>
            <w:hideMark/>
          </w:tcPr>
          <w:p w14:paraId="4CDB7CCB" w14:textId="77777777" w:rsidR="007807A2" w:rsidRPr="00643861" w:rsidRDefault="007807A2" w:rsidP="003565AC">
            <w:pPr>
              <w:ind w:right="-108"/>
              <w:rPr>
                <w:b/>
                <w:sz w:val="20"/>
                <w:szCs w:val="20"/>
                <w:lang w:eastAsia="en-US"/>
              </w:rPr>
            </w:pPr>
            <w:r w:rsidRPr="00643861">
              <w:rPr>
                <w:b/>
                <w:sz w:val="20"/>
                <w:szCs w:val="20"/>
                <w:lang w:eastAsia="en-US"/>
              </w:rPr>
              <w:t>Pozitívne</w:t>
            </w:r>
          </w:p>
        </w:tc>
        <w:tc>
          <w:tcPr>
            <w:tcW w:w="569" w:type="dxa"/>
            <w:tcBorders>
              <w:top w:val="single" w:sz="4" w:space="0" w:color="auto"/>
              <w:left w:val="nil"/>
              <w:bottom w:val="single" w:sz="4" w:space="0" w:color="auto"/>
              <w:right w:val="nil"/>
            </w:tcBorders>
            <w:hideMark/>
          </w:tcPr>
          <w:p w14:paraId="1B4F484C" w14:textId="77777777" w:rsidR="007807A2" w:rsidRPr="00643861" w:rsidRDefault="007C4A95" w:rsidP="003565AC">
            <w:pPr>
              <w:jc w:val="center"/>
              <w:rPr>
                <w:b/>
              </w:rPr>
            </w:pPr>
            <w:r w:rsidRPr="00643861">
              <w:rPr>
                <w:rFonts w:ascii="MS Mincho" w:eastAsia="MS Mincho" w:hAnsi="MS Mincho" w:cs="MS Mincho"/>
                <w:b/>
                <w:sz w:val="22"/>
                <w:szCs w:val="22"/>
              </w:rPr>
              <w:t>☒</w:t>
            </w:r>
          </w:p>
        </w:tc>
        <w:tc>
          <w:tcPr>
            <w:tcW w:w="1133" w:type="dxa"/>
            <w:tcBorders>
              <w:top w:val="single" w:sz="4" w:space="0" w:color="auto"/>
              <w:left w:val="nil"/>
              <w:bottom w:val="single" w:sz="4" w:space="0" w:color="auto"/>
              <w:right w:val="nil"/>
            </w:tcBorders>
            <w:hideMark/>
          </w:tcPr>
          <w:p w14:paraId="4B954933" w14:textId="77777777" w:rsidR="007807A2" w:rsidRPr="00643861" w:rsidRDefault="007807A2" w:rsidP="003565AC">
            <w:pPr>
              <w:rPr>
                <w:b/>
                <w:sz w:val="20"/>
                <w:szCs w:val="20"/>
                <w:lang w:eastAsia="en-US"/>
              </w:rPr>
            </w:pPr>
            <w:r w:rsidRPr="00643861">
              <w:rPr>
                <w:b/>
                <w:sz w:val="20"/>
                <w:szCs w:val="20"/>
                <w:lang w:eastAsia="en-US"/>
              </w:rPr>
              <w:t>Žiadne</w:t>
            </w:r>
          </w:p>
        </w:tc>
        <w:tc>
          <w:tcPr>
            <w:tcW w:w="547" w:type="dxa"/>
            <w:tcBorders>
              <w:top w:val="single" w:sz="4" w:space="0" w:color="auto"/>
              <w:left w:val="nil"/>
              <w:bottom w:val="single" w:sz="4" w:space="0" w:color="auto"/>
              <w:right w:val="nil"/>
            </w:tcBorders>
            <w:hideMark/>
          </w:tcPr>
          <w:p w14:paraId="39260F35" w14:textId="77777777" w:rsidR="007807A2" w:rsidRPr="00643861" w:rsidRDefault="007807A2" w:rsidP="003565AC">
            <w:pPr>
              <w:jc w:val="center"/>
              <w:rPr>
                <w:b/>
              </w:rPr>
            </w:pPr>
            <w:r w:rsidRPr="00643861">
              <w:rPr>
                <w:rFonts w:ascii="MS Gothic" w:eastAsia="MS Gothic" w:hAnsi="MS Gothic"/>
                <w:b/>
              </w:rPr>
              <w:t>☐</w:t>
            </w:r>
          </w:p>
        </w:tc>
        <w:tc>
          <w:tcPr>
            <w:tcW w:w="1297" w:type="dxa"/>
            <w:tcBorders>
              <w:top w:val="single" w:sz="4" w:space="0" w:color="auto"/>
              <w:left w:val="nil"/>
              <w:bottom w:val="single" w:sz="4" w:space="0" w:color="auto"/>
              <w:right w:val="single" w:sz="4" w:space="0" w:color="auto"/>
            </w:tcBorders>
            <w:hideMark/>
          </w:tcPr>
          <w:p w14:paraId="04222A64" w14:textId="77777777" w:rsidR="007807A2" w:rsidRPr="00643861" w:rsidRDefault="007807A2" w:rsidP="003565AC">
            <w:pPr>
              <w:ind w:left="54"/>
              <w:rPr>
                <w:b/>
                <w:sz w:val="20"/>
                <w:szCs w:val="20"/>
                <w:lang w:eastAsia="en-US"/>
              </w:rPr>
            </w:pPr>
            <w:r w:rsidRPr="00643861">
              <w:rPr>
                <w:b/>
                <w:sz w:val="20"/>
                <w:szCs w:val="20"/>
                <w:lang w:eastAsia="en-US"/>
              </w:rPr>
              <w:t>Negatívne</w:t>
            </w:r>
          </w:p>
        </w:tc>
      </w:tr>
      <w:tr w:rsidR="00252CB4" w:rsidRPr="00643861" w14:paraId="45EDD55D" w14:textId="77777777" w:rsidTr="003565AC">
        <w:tc>
          <w:tcPr>
            <w:tcW w:w="3812" w:type="dxa"/>
            <w:tcBorders>
              <w:top w:val="single" w:sz="4" w:space="0" w:color="auto"/>
              <w:left w:val="single" w:sz="4" w:space="0" w:color="auto"/>
              <w:bottom w:val="single" w:sz="4" w:space="0" w:color="auto"/>
              <w:right w:val="single" w:sz="4" w:space="0" w:color="auto"/>
            </w:tcBorders>
            <w:shd w:val="clear" w:color="auto" w:fill="E2E2E2"/>
            <w:hideMark/>
          </w:tcPr>
          <w:p w14:paraId="5E203C79" w14:textId="77777777" w:rsidR="007807A2" w:rsidRPr="00643861" w:rsidRDefault="007807A2" w:rsidP="003565AC">
            <w:pPr>
              <w:rPr>
                <w:b/>
                <w:sz w:val="20"/>
                <w:szCs w:val="20"/>
                <w:lang w:eastAsia="en-US"/>
              </w:rPr>
            </w:pPr>
            <w:r w:rsidRPr="00643861">
              <w:rPr>
                <w:b/>
                <w:sz w:val="20"/>
                <w:szCs w:val="20"/>
                <w:lang w:eastAsia="en-US"/>
              </w:rPr>
              <w:t>Vplyvy na informatizáciu</w:t>
            </w:r>
          </w:p>
        </w:tc>
        <w:tc>
          <w:tcPr>
            <w:tcW w:w="541" w:type="dxa"/>
            <w:tcBorders>
              <w:top w:val="single" w:sz="4" w:space="0" w:color="auto"/>
              <w:left w:val="single" w:sz="4" w:space="0" w:color="auto"/>
              <w:bottom w:val="single" w:sz="4" w:space="0" w:color="auto"/>
              <w:right w:val="nil"/>
            </w:tcBorders>
            <w:hideMark/>
          </w:tcPr>
          <w:p w14:paraId="15BCCCBF" w14:textId="4FB9A053" w:rsidR="007807A2" w:rsidRPr="00643861" w:rsidRDefault="00483AF4" w:rsidP="003565AC">
            <w:pPr>
              <w:jc w:val="center"/>
              <w:rPr>
                <w:b/>
              </w:rPr>
            </w:pPr>
            <w:r w:rsidRPr="00643861">
              <w:rPr>
                <w:rFonts w:ascii="MS Gothic" w:eastAsia="MS Gothic" w:hAnsi="MS Gothic"/>
                <w:b/>
              </w:rPr>
              <w:t>☐</w:t>
            </w:r>
          </w:p>
        </w:tc>
        <w:tc>
          <w:tcPr>
            <w:tcW w:w="1281" w:type="dxa"/>
            <w:tcBorders>
              <w:top w:val="single" w:sz="4" w:space="0" w:color="auto"/>
              <w:left w:val="nil"/>
              <w:bottom w:val="single" w:sz="4" w:space="0" w:color="auto"/>
              <w:right w:val="nil"/>
            </w:tcBorders>
            <w:hideMark/>
          </w:tcPr>
          <w:p w14:paraId="07076640" w14:textId="77777777" w:rsidR="007807A2" w:rsidRPr="00643861" w:rsidRDefault="007807A2" w:rsidP="003565AC">
            <w:pPr>
              <w:ind w:right="-108"/>
              <w:rPr>
                <w:b/>
                <w:sz w:val="20"/>
                <w:szCs w:val="20"/>
                <w:lang w:eastAsia="en-US"/>
              </w:rPr>
            </w:pPr>
            <w:r w:rsidRPr="00643861">
              <w:rPr>
                <w:b/>
                <w:sz w:val="20"/>
                <w:szCs w:val="20"/>
                <w:lang w:eastAsia="en-US"/>
              </w:rPr>
              <w:t>Pozitívne</w:t>
            </w:r>
          </w:p>
        </w:tc>
        <w:tc>
          <w:tcPr>
            <w:tcW w:w="569" w:type="dxa"/>
            <w:tcBorders>
              <w:top w:val="single" w:sz="4" w:space="0" w:color="auto"/>
              <w:left w:val="nil"/>
              <w:bottom w:val="single" w:sz="4" w:space="0" w:color="auto"/>
              <w:right w:val="nil"/>
            </w:tcBorders>
            <w:hideMark/>
          </w:tcPr>
          <w:p w14:paraId="41EA54D4" w14:textId="1F4878D4" w:rsidR="007807A2" w:rsidRPr="00643861" w:rsidRDefault="00483AF4" w:rsidP="003565AC">
            <w:pPr>
              <w:jc w:val="center"/>
              <w:rPr>
                <w:b/>
              </w:rPr>
            </w:pPr>
            <w:r w:rsidRPr="00643861">
              <w:rPr>
                <w:rFonts w:ascii="MS Mincho" w:eastAsia="MS Mincho" w:hAnsi="MS Mincho" w:cs="MS Mincho"/>
                <w:b/>
                <w:sz w:val="22"/>
                <w:szCs w:val="22"/>
              </w:rPr>
              <w:t>☒</w:t>
            </w:r>
          </w:p>
        </w:tc>
        <w:tc>
          <w:tcPr>
            <w:tcW w:w="1133" w:type="dxa"/>
            <w:tcBorders>
              <w:top w:val="single" w:sz="4" w:space="0" w:color="auto"/>
              <w:left w:val="nil"/>
              <w:bottom w:val="single" w:sz="4" w:space="0" w:color="auto"/>
              <w:right w:val="nil"/>
            </w:tcBorders>
            <w:hideMark/>
          </w:tcPr>
          <w:p w14:paraId="55C52FF7" w14:textId="77777777" w:rsidR="007807A2" w:rsidRPr="00643861" w:rsidRDefault="007807A2" w:rsidP="003565AC">
            <w:pPr>
              <w:rPr>
                <w:b/>
                <w:sz w:val="20"/>
                <w:szCs w:val="20"/>
                <w:lang w:eastAsia="en-US"/>
              </w:rPr>
            </w:pPr>
            <w:r w:rsidRPr="00643861">
              <w:rPr>
                <w:b/>
                <w:sz w:val="20"/>
                <w:szCs w:val="20"/>
                <w:lang w:eastAsia="en-US"/>
              </w:rPr>
              <w:t>Žiadne</w:t>
            </w:r>
          </w:p>
        </w:tc>
        <w:tc>
          <w:tcPr>
            <w:tcW w:w="547" w:type="dxa"/>
            <w:tcBorders>
              <w:top w:val="single" w:sz="4" w:space="0" w:color="auto"/>
              <w:left w:val="nil"/>
              <w:bottom w:val="single" w:sz="4" w:space="0" w:color="auto"/>
              <w:right w:val="nil"/>
            </w:tcBorders>
            <w:hideMark/>
          </w:tcPr>
          <w:p w14:paraId="08CE069A" w14:textId="77777777" w:rsidR="007807A2" w:rsidRPr="00643861" w:rsidRDefault="007807A2" w:rsidP="003565AC">
            <w:pPr>
              <w:jc w:val="center"/>
              <w:rPr>
                <w:b/>
              </w:rPr>
            </w:pPr>
            <w:r w:rsidRPr="00643861">
              <w:rPr>
                <w:rFonts w:ascii="MS Gothic" w:eastAsia="MS Gothic" w:hAnsi="MS Gothic"/>
                <w:b/>
              </w:rPr>
              <w:t>☐</w:t>
            </w:r>
          </w:p>
        </w:tc>
        <w:tc>
          <w:tcPr>
            <w:tcW w:w="1297" w:type="dxa"/>
            <w:tcBorders>
              <w:top w:val="single" w:sz="4" w:space="0" w:color="auto"/>
              <w:left w:val="nil"/>
              <w:bottom w:val="single" w:sz="4" w:space="0" w:color="auto"/>
              <w:right w:val="single" w:sz="4" w:space="0" w:color="auto"/>
            </w:tcBorders>
            <w:hideMark/>
          </w:tcPr>
          <w:p w14:paraId="62DFFCB0" w14:textId="77777777" w:rsidR="007807A2" w:rsidRPr="00643861" w:rsidRDefault="007807A2" w:rsidP="003565AC">
            <w:pPr>
              <w:ind w:left="54"/>
              <w:rPr>
                <w:b/>
                <w:sz w:val="20"/>
                <w:szCs w:val="20"/>
                <w:lang w:eastAsia="en-US"/>
              </w:rPr>
            </w:pPr>
            <w:r w:rsidRPr="00643861">
              <w:rPr>
                <w:b/>
                <w:sz w:val="20"/>
                <w:szCs w:val="20"/>
                <w:lang w:eastAsia="en-US"/>
              </w:rPr>
              <w:t>Negatívne</w:t>
            </w:r>
          </w:p>
        </w:tc>
      </w:tr>
      <w:tr w:rsidR="00252CB4" w:rsidRPr="00643861" w14:paraId="316FD478" w14:textId="77777777" w:rsidTr="003565AC">
        <w:tc>
          <w:tcPr>
            <w:tcW w:w="3812" w:type="dxa"/>
            <w:tcBorders>
              <w:top w:val="single" w:sz="4" w:space="0" w:color="auto"/>
              <w:left w:val="single" w:sz="4" w:space="0" w:color="auto"/>
              <w:bottom w:val="nil"/>
              <w:right w:val="single" w:sz="4" w:space="0" w:color="auto"/>
            </w:tcBorders>
            <w:shd w:val="clear" w:color="auto" w:fill="E2E2E2"/>
          </w:tcPr>
          <w:p w14:paraId="501F1A10" w14:textId="77777777" w:rsidR="007807A2" w:rsidRPr="00643861" w:rsidRDefault="007807A2" w:rsidP="003565AC">
            <w:pPr>
              <w:rPr>
                <w:b/>
                <w:sz w:val="20"/>
                <w:szCs w:val="20"/>
              </w:rPr>
            </w:pPr>
            <w:r w:rsidRPr="00643861">
              <w:rPr>
                <w:rFonts w:eastAsia="Calibri"/>
                <w:b/>
                <w:sz w:val="20"/>
                <w:szCs w:val="20"/>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5437CA60" w14:textId="77777777" w:rsidR="007807A2" w:rsidRPr="00643861" w:rsidRDefault="007807A2" w:rsidP="003565AC">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14:paraId="7B5BBAA9" w14:textId="77777777" w:rsidR="007807A2" w:rsidRPr="00643861" w:rsidRDefault="007807A2" w:rsidP="003565AC">
            <w:pPr>
              <w:ind w:right="-108"/>
              <w:rPr>
                <w:b/>
                <w:sz w:val="20"/>
                <w:szCs w:val="20"/>
              </w:rPr>
            </w:pPr>
          </w:p>
        </w:tc>
        <w:tc>
          <w:tcPr>
            <w:tcW w:w="569" w:type="dxa"/>
            <w:tcBorders>
              <w:top w:val="single" w:sz="4" w:space="0" w:color="auto"/>
              <w:left w:val="nil"/>
              <w:bottom w:val="nil"/>
              <w:right w:val="nil"/>
            </w:tcBorders>
            <w:shd w:val="clear" w:color="auto" w:fill="auto"/>
          </w:tcPr>
          <w:p w14:paraId="0914D3EB" w14:textId="77777777" w:rsidR="007807A2" w:rsidRPr="00643861" w:rsidRDefault="007807A2" w:rsidP="003565AC">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14:paraId="7F128ED9" w14:textId="77777777" w:rsidR="007807A2" w:rsidRPr="00643861" w:rsidRDefault="007807A2" w:rsidP="003565AC">
            <w:pPr>
              <w:rPr>
                <w:b/>
                <w:sz w:val="20"/>
                <w:szCs w:val="20"/>
              </w:rPr>
            </w:pPr>
          </w:p>
        </w:tc>
        <w:tc>
          <w:tcPr>
            <w:tcW w:w="547" w:type="dxa"/>
            <w:tcBorders>
              <w:top w:val="single" w:sz="4" w:space="0" w:color="auto"/>
              <w:left w:val="nil"/>
              <w:bottom w:val="nil"/>
              <w:right w:val="nil"/>
            </w:tcBorders>
            <w:shd w:val="clear" w:color="auto" w:fill="auto"/>
          </w:tcPr>
          <w:p w14:paraId="05FF08AE" w14:textId="77777777" w:rsidR="007807A2" w:rsidRPr="00643861" w:rsidRDefault="007807A2" w:rsidP="003565AC">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14:paraId="23FCB9C7" w14:textId="77777777" w:rsidR="007807A2" w:rsidRPr="00643861" w:rsidRDefault="007807A2" w:rsidP="003565AC">
            <w:pPr>
              <w:ind w:left="54"/>
              <w:rPr>
                <w:b/>
                <w:sz w:val="20"/>
                <w:szCs w:val="20"/>
              </w:rPr>
            </w:pPr>
          </w:p>
        </w:tc>
      </w:tr>
      <w:tr w:rsidR="00252CB4" w:rsidRPr="00643861" w14:paraId="38DA56FA" w14:textId="77777777" w:rsidTr="003565AC">
        <w:tc>
          <w:tcPr>
            <w:tcW w:w="3812" w:type="dxa"/>
            <w:tcBorders>
              <w:top w:val="nil"/>
              <w:left w:val="single" w:sz="4" w:space="0" w:color="auto"/>
              <w:bottom w:val="nil"/>
              <w:right w:val="single" w:sz="4" w:space="0" w:color="auto"/>
            </w:tcBorders>
            <w:shd w:val="clear" w:color="auto" w:fill="E2E2E2"/>
          </w:tcPr>
          <w:p w14:paraId="2A36DCE2" w14:textId="77777777" w:rsidR="007807A2" w:rsidRPr="00643861" w:rsidRDefault="007807A2" w:rsidP="003565AC">
            <w:pPr>
              <w:ind w:left="196" w:hanging="196"/>
              <w:rPr>
                <w:rFonts w:eastAsia="Calibri"/>
                <w:b/>
                <w:sz w:val="20"/>
                <w:szCs w:val="20"/>
                <w:lang w:eastAsia="en-US"/>
              </w:rPr>
            </w:pPr>
            <w:r w:rsidRPr="00643861">
              <w:rPr>
                <w:rFonts w:eastAsia="Calibri"/>
                <w:b/>
                <w:sz w:val="20"/>
                <w:szCs w:val="20"/>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14:paraId="15C4830D" w14:textId="77777777" w:rsidR="007807A2" w:rsidRPr="00643861" w:rsidRDefault="007807A2" w:rsidP="003565AC">
            <w:pPr>
              <w:jc w:val="center"/>
              <w:rPr>
                <w:b/>
              </w:rPr>
            </w:pPr>
            <w:r w:rsidRPr="00643861">
              <w:rPr>
                <w:rFonts w:ascii="MS Gothic" w:eastAsia="MS Gothic" w:hAnsi="MS Gothic"/>
                <w:b/>
              </w:rPr>
              <w:t>☐</w:t>
            </w:r>
          </w:p>
        </w:tc>
        <w:tc>
          <w:tcPr>
            <w:tcW w:w="1281" w:type="dxa"/>
            <w:tcBorders>
              <w:top w:val="nil"/>
              <w:left w:val="nil"/>
              <w:bottom w:val="nil"/>
              <w:right w:val="nil"/>
            </w:tcBorders>
            <w:shd w:val="clear" w:color="auto" w:fill="auto"/>
          </w:tcPr>
          <w:p w14:paraId="2EE43EFF" w14:textId="77777777" w:rsidR="007807A2" w:rsidRPr="00643861" w:rsidRDefault="007807A2" w:rsidP="003565AC">
            <w:pPr>
              <w:ind w:right="-108"/>
              <w:rPr>
                <w:rFonts w:eastAsia="Calibri"/>
                <w:b/>
                <w:sz w:val="20"/>
                <w:szCs w:val="20"/>
                <w:lang w:eastAsia="en-US"/>
              </w:rPr>
            </w:pPr>
            <w:r w:rsidRPr="00643861">
              <w:rPr>
                <w:rFonts w:eastAsia="Calibri"/>
                <w:b/>
                <w:sz w:val="20"/>
                <w:szCs w:val="20"/>
                <w:lang w:eastAsia="en-US"/>
              </w:rPr>
              <w:t>Pozitívne</w:t>
            </w:r>
          </w:p>
        </w:tc>
        <w:tc>
          <w:tcPr>
            <w:tcW w:w="569" w:type="dxa"/>
            <w:tcBorders>
              <w:top w:val="nil"/>
              <w:left w:val="nil"/>
              <w:bottom w:val="nil"/>
              <w:right w:val="nil"/>
            </w:tcBorders>
            <w:shd w:val="clear" w:color="auto" w:fill="auto"/>
          </w:tcPr>
          <w:p w14:paraId="05519C19" w14:textId="77777777" w:rsidR="007807A2" w:rsidRPr="00643861" w:rsidRDefault="007C4A95" w:rsidP="003565AC">
            <w:pPr>
              <w:jc w:val="center"/>
              <w:rPr>
                <w:b/>
              </w:rPr>
            </w:pPr>
            <w:r w:rsidRPr="00643861">
              <w:rPr>
                <w:rFonts w:ascii="MS Mincho" w:eastAsia="MS Mincho" w:hAnsi="MS Mincho" w:cs="MS Mincho"/>
                <w:b/>
                <w:sz w:val="22"/>
                <w:szCs w:val="22"/>
              </w:rPr>
              <w:t>☒</w:t>
            </w:r>
          </w:p>
        </w:tc>
        <w:tc>
          <w:tcPr>
            <w:tcW w:w="1133" w:type="dxa"/>
            <w:tcBorders>
              <w:top w:val="nil"/>
              <w:left w:val="nil"/>
              <w:bottom w:val="nil"/>
              <w:right w:val="nil"/>
            </w:tcBorders>
            <w:shd w:val="clear" w:color="auto" w:fill="auto"/>
          </w:tcPr>
          <w:p w14:paraId="26DE2E4B" w14:textId="77777777" w:rsidR="007807A2" w:rsidRPr="00643861" w:rsidRDefault="007807A2" w:rsidP="003565AC">
            <w:pPr>
              <w:rPr>
                <w:rFonts w:eastAsia="Calibri"/>
                <w:b/>
                <w:sz w:val="20"/>
                <w:szCs w:val="20"/>
                <w:lang w:eastAsia="en-US"/>
              </w:rPr>
            </w:pPr>
            <w:r w:rsidRPr="00643861">
              <w:rPr>
                <w:rFonts w:eastAsia="Calibri"/>
                <w:b/>
                <w:sz w:val="20"/>
                <w:szCs w:val="20"/>
                <w:lang w:eastAsia="en-US"/>
              </w:rPr>
              <w:t>Žiadne</w:t>
            </w:r>
          </w:p>
        </w:tc>
        <w:tc>
          <w:tcPr>
            <w:tcW w:w="547" w:type="dxa"/>
            <w:tcBorders>
              <w:top w:val="nil"/>
              <w:left w:val="nil"/>
              <w:bottom w:val="nil"/>
              <w:right w:val="nil"/>
            </w:tcBorders>
            <w:shd w:val="clear" w:color="auto" w:fill="auto"/>
          </w:tcPr>
          <w:p w14:paraId="34A2CA77" w14:textId="77777777" w:rsidR="007807A2" w:rsidRPr="00643861" w:rsidRDefault="007807A2" w:rsidP="003565AC">
            <w:pPr>
              <w:jc w:val="center"/>
              <w:rPr>
                <w:b/>
              </w:rPr>
            </w:pPr>
            <w:r w:rsidRPr="00643861">
              <w:rPr>
                <w:rFonts w:ascii="MS Gothic" w:eastAsia="MS Gothic" w:hAnsi="MS Gothic"/>
                <w:b/>
              </w:rPr>
              <w:t>☐</w:t>
            </w:r>
          </w:p>
        </w:tc>
        <w:tc>
          <w:tcPr>
            <w:tcW w:w="1297" w:type="dxa"/>
            <w:tcBorders>
              <w:top w:val="nil"/>
              <w:left w:val="nil"/>
              <w:bottom w:val="nil"/>
              <w:right w:val="single" w:sz="4" w:space="0" w:color="auto"/>
            </w:tcBorders>
            <w:shd w:val="clear" w:color="auto" w:fill="auto"/>
          </w:tcPr>
          <w:p w14:paraId="643DFB30" w14:textId="77777777" w:rsidR="007807A2" w:rsidRPr="00643861" w:rsidRDefault="007807A2" w:rsidP="001723DA">
            <w:pPr>
              <w:ind w:left="54"/>
              <w:rPr>
                <w:rFonts w:eastAsia="Calibri"/>
                <w:b/>
                <w:sz w:val="20"/>
                <w:szCs w:val="20"/>
                <w:lang w:eastAsia="en-US"/>
              </w:rPr>
            </w:pPr>
            <w:r w:rsidRPr="00643861">
              <w:rPr>
                <w:rFonts w:eastAsia="Calibri"/>
                <w:b/>
                <w:sz w:val="20"/>
                <w:szCs w:val="20"/>
                <w:lang w:eastAsia="en-US"/>
              </w:rPr>
              <w:t>Negatívne</w:t>
            </w:r>
          </w:p>
        </w:tc>
      </w:tr>
      <w:tr w:rsidR="00252CB4" w:rsidRPr="00643861" w14:paraId="25C0F704" w14:textId="77777777" w:rsidTr="003565AC">
        <w:tc>
          <w:tcPr>
            <w:tcW w:w="3812" w:type="dxa"/>
            <w:tcBorders>
              <w:top w:val="nil"/>
              <w:left w:val="single" w:sz="4" w:space="0" w:color="auto"/>
              <w:bottom w:val="single" w:sz="4" w:space="0" w:color="auto"/>
              <w:right w:val="single" w:sz="4" w:space="0" w:color="auto"/>
            </w:tcBorders>
            <w:shd w:val="clear" w:color="auto" w:fill="E2E2E2"/>
          </w:tcPr>
          <w:p w14:paraId="2B4775EF" w14:textId="77777777" w:rsidR="007807A2" w:rsidRPr="00643861" w:rsidRDefault="007807A2" w:rsidP="003565AC">
            <w:pPr>
              <w:ind w:left="168" w:hanging="168"/>
              <w:rPr>
                <w:rFonts w:eastAsia="Calibri"/>
                <w:b/>
                <w:sz w:val="20"/>
                <w:szCs w:val="20"/>
                <w:lang w:eastAsia="en-US"/>
              </w:rPr>
            </w:pPr>
            <w:r w:rsidRPr="00643861">
              <w:rPr>
                <w:rFonts w:eastAsia="Calibri"/>
                <w:b/>
                <w:sz w:val="20"/>
                <w:szCs w:val="20"/>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p w14:paraId="6F8425BE" w14:textId="77777777" w:rsidR="007807A2" w:rsidRPr="00643861" w:rsidRDefault="007807A2" w:rsidP="003565AC">
            <w:pPr>
              <w:jc w:val="center"/>
              <w:rPr>
                <w:b/>
              </w:rPr>
            </w:pPr>
            <w:r w:rsidRPr="00643861">
              <w:rPr>
                <w:rFonts w:ascii="MS Gothic" w:eastAsia="MS Gothic" w:hAnsi="MS Gothic"/>
                <w:b/>
              </w:rPr>
              <w:t>☐</w:t>
            </w:r>
          </w:p>
        </w:tc>
        <w:tc>
          <w:tcPr>
            <w:tcW w:w="1281" w:type="dxa"/>
            <w:tcBorders>
              <w:top w:val="nil"/>
              <w:left w:val="nil"/>
              <w:bottom w:val="single" w:sz="4" w:space="0" w:color="auto"/>
              <w:right w:val="nil"/>
            </w:tcBorders>
            <w:shd w:val="clear" w:color="auto" w:fill="auto"/>
          </w:tcPr>
          <w:p w14:paraId="3BA8D4A6" w14:textId="77777777" w:rsidR="007807A2" w:rsidRPr="00643861" w:rsidRDefault="007807A2" w:rsidP="003565AC">
            <w:pPr>
              <w:ind w:right="-108"/>
              <w:rPr>
                <w:rFonts w:eastAsia="Calibri"/>
                <w:b/>
                <w:sz w:val="20"/>
                <w:szCs w:val="20"/>
                <w:lang w:eastAsia="en-US"/>
              </w:rPr>
            </w:pPr>
            <w:r w:rsidRPr="00643861">
              <w:rPr>
                <w:rFonts w:eastAsia="Calibri"/>
                <w:b/>
                <w:sz w:val="20"/>
                <w:szCs w:val="20"/>
                <w:lang w:eastAsia="en-US"/>
              </w:rPr>
              <w:t>Pozitívne</w:t>
            </w:r>
          </w:p>
        </w:tc>
        <w:tc>
          <w:tcPr>
            <w:tcW w:w="569" w:type="dxa"/>
            <w:tcBorders>
              <w:top w:val="nil"/>
              <w:left w:val="nil"/>
              <w:bottom w:val="single" w:sz="4" w:space="0" w:color="auto"/>
              <w:right w:val="nil"/>
            </w:tcBorders>
            <w:shd w:val="clear" w:color="auto" w:fill="auto"/>
          </w:tcPr>
          <w:p w14:paraId="56F2AA10" w14:textId="77777777" w:rsidR="007807A2" w:rsidRPr="00643861" w:rsidRDefault="007C4A95" w:rsidP="003565AC">
            <w:pPr>
              <w:jc w:val="center"/>
              <w:rPr>
                <w:b/>
              </w:rPr>
            </w:pPr>
            <w:r w:rsidRPr="00643861">
              <w:rPr>
                <w:rFonts w:ascii="MS Mincho" w:eastAsia="MS Mincho" w:hAnsi="MS Mincho" w:cs="MS Mincho"/>
                <w:b/>
                <w:sz w:val="22"/>
                <w:szCs w:val="22"/>
              </w:rPr>
              <w:t>☒</w:t>
            </w:r>
          </w:p>
        </w:tc>
        <w:tc>
          <w:tcPr>
            <w:tcW w:w="1133" w:type="dxa"/>
            <w:tcBorders>
              <w:top w:val="nil"/>
              <w:left w:val="nil"/>
              <w:bottom w:val="single" w:sz="4" w:space="0" w:color="auto"/>
              <w:right w:val="nil"/>
            </w:tcBorders>
            <w:shd w:val="clear" w:color="auto" w:fill="auto"/>
          </w:tcPr>
          <w:p w14:paraId="367305C6" w14:textId="77777777" w:rsidR="007807A2" w:rsidRPr="00643861" w:rsidRDefault="007807A2" w:rsidP="003565AC">
            <w:pPr>
              <w:rPr>
                <w:rFonts w:eastAsia="Calibri"/>
                <w:b/>
                <w:sz w:val="20"/>
                <w:szCs w:val="20"/>
                <w:lang w:eastAsia="en-US"/>
              </w:rPr>
            </w:pPr>
            <w:r w:rsidRPr="00643861">
              <w:rPr>
                <w:rFonts w:eastAsia="Calibri"/>
                <w:b/>
                <w:sz w:val="20"/>
                <w:szCs w:val="20"/>
                <w:lang w:eastAsia="en-US"/>
              </w:rPr>
              <w:t>Žiadne</w:t>
            </w:r>
          </w:p>
        </w:tc>
        <w:tc>
          <w:tcPr>
            <w:tcW w:w="547" w:type="dxa"/>
            <w:tcBorders>
              <w:top w:val="nil"/>
              <w:left w:val="nil"/>
              <w:bottom w:val="single" w:sz="4" w:space="0" w:color="auto"/>
              <w:right w:val="nil"/>
            </w:tcBorders>
            <w:shd w:val="clear" w:color="auto" w:fill="auto"/>
          </w:tcPr>
          <w:p w14:paraId="75B14E39" w14:textId="77777777" w:rsidR="007807A2" w:rsidRPr="00643861" w:rsidRDefault="007807A2" w:rsidP="003565AC">
            <w:pPr>
              <w:jc w:val="center"/>
              <w:rPr>
                <w:b/>
              </w:rPr>
            </w:pPr>
            <w:r w:rsidRPr="00643861">
              <w:rPr>
                <w:rFonts w:ascii="MS Gothic" w:eastAsia="MS Gothic" w:hAnsi="MS Gothic"/>
                <w:b/>
              </w:rPr>
              <w:t>☐</w:t>
            </w:r>
          </w:p>
        </w:tc>
        <w:tc>
          <w:tcPr>
            <w:tcW w:w="1297" w:type="dxa"/>
            <w:tcBorders>
              <w:top w:val="nil"/>
              <w:left w:val="nil"/>
              <w:bottom w:val="single" w:sz="4" w:space="0" w:color="auto"/>
              <w:right w:val="single" w:sz="4" w:space="0" w:color="auto"/>
            </w:tcBorders>
            <w:shd w:val="clear" w:color="auto" w:fill="auto"/>
          </w:tcPr>
          <w:p w14:paraId="2E12E3FC" w14:textId="77777777" w:rsidR="007807A2" w:rsidRPr="00643861" w:rsidRDefault="007807A2" w:rsidP="001723DA">
            <w:pPr>
              <w:ind w:left="54"/>
              <w:rPr>
                <w:rFonts w:eastAsia="Calibri"/>
                <w:b/>
                <w:sz w:val="20"/>
                <w:szCs w:val="20"/>
                <w:lang w:eastAsia="en-US"/>
              </w:rPr>
            </w:pPr>
            <w:r w:rsidRPr="00643861">
              <w:rPr>
                <w:rFonts w:eastAsia="Calibri"/>
                <w:b/>
                <w:sz w:val="20"/>
                <w:szCs w:val="20"/>
                <w:lang w:eastAsia="en-US"/>
              </w:rPr>
              <w:t>Negatívne</w:t>
            </w:r>
          </w:p>
        </w:tc>
      </w:tr>
    </w:tbl>
    <w:p w14:paraId="76D11E54" w14:textId="77777777" w:rsidR="007E5250" w:rsidRPr="00643861" w:rsidRDefault="007E5250"/>
    <w:p w14:paraId="4F858077" w14:textId="77777777" w:rsidR="00D366BA" w:rsidRPr="00643861" w:rsidRDefault="00D366BA">
      <w:r w:rsidRPr="00643861">
        <w:t>Poznámka:</w:t>
      </w:r>
    </w:p>
    <w:p w14:paraId="4F9E2A20" w14:textId="77777777" w:rsidR="00D366BA" w:rsidRPr="00643861" w:rsidRDefault="00D366BA" w:rsidP="00D366BA">
      <w:pPr>
        <w:pBdr>
          <w:top w:val="nil"/>
          <w:left w:val="nil"/>
          <w:bottom w:val="nil"/>
          <w:right w:val="nil"/>
          <w:between w:val="nil"/>
          <w:bar w:val="nil"/>
        </w:pBdr>
        <w:jc w:val="both"/>
        <w:rPr>
          <w:u w:val="single"/>
        </w:rPr>
      </w:pPr>
    </w:p>
    <w:p w14:paraId="6F417629" w14:textId="76C90CA5" w:rsidR="00796AB5" w:rsidRDefault="000B2C79" w:rsidP="0017534D">
      <w:pPr>
        <w:jc w:val="both"/>
      </w:pPr>
      <w:r>
        <w:rPr>
          <w:color w:val="000000"/>
          <w:u w:color="000000"/>
          <w:bdr w:val="nil"/>
        </w:rPr>
        <w:t xml:space="preserve">V predbežnom stanovisku predpokladáme, že tento návrh nariadenia </w:t>
      </w:r>
      <w:r w:rsidR="0017534D">
        <w:rPr>
          <w:color w:val="000000"/>
          <w:u w:color="000000"/>
          <w:bdr w:val="nil"/>
        </w:rPr>
        <w:t xml:space="preserve">nebude </w:t>
      </w:r>
      <w:r>
        <w:rPr>
          <w:color w:val="000000"/>
          <w:u w:color="000000"/>
          <w:bdr w:val="nil"/>
        </w:rPr>
        <w:t>mať vplyv na životné prostredie. Povoľovanie autobusových liniek je v súčasnosti bez obmedzení</w:t>
      </w:r>
      <w:r w:rsidR="0017534D">
        <w:rPr>
          <w:color w:val="000000"/>
          <w:u w:color="000000"/>
          <w:bdr w:val="nil"/>
        </w:rPr>
        <w:t>. U</w:t>
      </w:r>
      <w:r>
        <w:rPr>
          <w:color w:val="000000"/>
          <w:u w:color="000000"/>
          <w:bdr w:val="nil"/>
        </w:rPr>
        <w:t xml:space="preserve">rčité limity sú </w:t>
      </w:r>
      <w:r w:rsidR="0017534D">
        <w:rPr>
          <w:color w:val="000000"/>
          <w:u w:color="000000"/>
          <w:bdr w:val="nil"/>
        </w:rPr>
        <w:t xml:space="preserve">iba v kolidovaní s linkami </w:t>
      </w:r>
      <w:r w:rsidRPr="000B2C79">
        <w:rPr>
          <w:color w:val="000000"/>
          <w:u w:color="000000"/>
          <w:bdr w:val="nil"/>
        </w:rPr>
        <w:t>vnútroštátn</w:t>
      </w:r>
      <w:r w:rsidR="0017534D">
        <w:rPr>
          <w:color w:val="000000"/>
          <w:u w:color="000000"/>
          <w:bdr w:val="nil"/>
        </w:rPr>
        <w:t>ej</w:t>
      </w:r>
      <w:r w:rsidRPr="000B2C79">
        <w:rPr>
          <w:color w:val="000000"/>
          <w:u w:color="000000"/>
          <w:bdr w:val="nil"/>
        </w:rPr>
        <w:t xml:space="preserve"> doprav</w:t>
      </w:r>
      <w:r w:rsidR="0017534D">
        <w:rPr>
          <w:color w:val="000000"/>
          <w:u w:color="000000"/>
          <w:bdr w:val="nil"/>
        </w:rPr>
        <w:t xml:space="preserve">y, kde v určitých prípadoch sa vyžaduje </w:t>
      </w:r>
      <w:r w:rsidRPr="000B2C79">
        <w:rPr>
          <w:color w:val="000000"/>
          <w:u w:color="000000"/>
          <w:bdr w:val="nil"/>
        </w:rPr>
        <w:t>súhlas dopravných správnych orgánov v územných obvodoch na trase autobusovej linky</w:t>
      </w:r>
      <w:r w:rsidR="0017534D">
        <w:rPr>
          <w:color w:val="000000"/>
          <w:u w:color="000000"/>
          <w:bdr w:val="nil"/>
        </w:rPr>
        <w:t>, ktorá je prevádzkovaná prostredníctvom zmluvy</w:t>
      </w:r>
      <w:r w:rsidR="00A50142">
        <w:rPr>
          <w:color w:val="000000"/>
          <w:u w:color="000000"/>
          <w:bdr w:val="nil"/>
        </w:rPr>
        <w:t xml:space="preserve"> o službách</w:t>
      </w:r>
      <w:r w:rsidR="0017534D">
        <w:rPr>
          <w:color w:val="000000"/>
          <w:u w:color="000000"/>
          <w:bdr w:val="nil"/>
        </w:rPr>
        <w:t xml:space="preserve"> vo verejnom záujme</w:t>
      </w:r>
      <w:r w:rsidRPr="000B2C79">
        <w:rPr>
          <w:color w:val="000000"/>
          <w:u w:color="000000"/>
          <w:bdr w:val="nil"/>
        </w:rPr>
        <w:t xml:space="preserve">. </w:t>
      </w:r>
      <w:r w:rsidR="0017534D">
        <w:rPr>
          <w:color w:val="000000"/>
          <w:u w:color="000000"/>
          <w:bdr w:val="nil"/>
        </w:rPr>
        <w:t xml:space="preserve">Čiže zásadný vplyv na individuálnu dopravu tento návrh nariadenia </w:t>
      </w:r>
      <w:r w:rsidR="00A50142">
        <w:rPr>
          <w:color w:val="000000"/>
          <w:u w:color="000000"/>
          <w:bdr w:val="nil"/>
        </w:rPr>
        <w:t xml:space="preserve">podľa nášho stanoviska </w:t>
      </w:r>
      <w:r w:rsidR="0017534D">
        <w:rPr>
          <w:color w:val="000000"/>
          <w:u w:color="000000"/>
          <w:bdr w:val="nil"/>
        </w:rPr>
        <w:t>mať nebude a z tohto dôvodu ani neočakávame vplyv na životné prostredie, či už negatívn</w:t>
      </w:r>
      <w:r w:rsidR="00A50142">
        <w:rPr>
          <w:color w:val="000000"/>
          <w:u w:color="000000"/>
          <w:bdr w:val="nil"/>
        </w:rPr>
        <w:t>y</w:t>
      </w:r>
      <w:r w:rsidR="0017534D">
        <w:rPr>
          <w:color w:val="000000"/>
          <w:u w:color="000000"/>
          <w:bdr w:val="nil"/>
        </w:rPr>
        <w:t xml:space="preserve"> alebo pozitívn</w:t>
      </w:r>
      <w:r w:rsidR="00A50142">
        <w:rPr>
          <w:color w:val="000000"/>
          <w:u w:color="000000"/>
          <w:bdr w:val="nil"/>
        </w:rPr>
        <w:t>y</w:t>
      </w:r>
      <w:r w:rsidR="0017534D">
        <w:rPr>
          <w:color w:val="000000"/>
          <w:u w:color="000000"/>
          <w:bdr w:val="nil"/>
        </w:rPr>
        <w:t xml:space="preserve">. </w:t>
      </w:r>
    </w:p>
    <w:p w14:paraId="3D5EF323" w14:textId="77777777" w:rsidR="00796AB5" w:rsidRDefault="00796AB5" w:rsidP="00796AB5"/>
    <w:p w14:paraId="24DF69BE" w14:textId="77777777" w:rsidR="00162F4D" w:rsidRPr="00643861" w:rsidRDefault="00162F4D"/>
    <w:p w14:paraId="35F7C71F" w14:textId="77777777" w:rsidR="00352614" w:rsidRPr="00643861" w:rsidRDefault="00352614"/>
    <w:p w14:paraId="7D9ED257" w14:textId="77777777" w:rsidR="007576B2" w:rsidRPr="00643861" w:rsidRDefault="007576B2"/>
    <w:tbl>
      <w:tblPr>
        <w:tblStyle w:val="Mriekatabuky"/>
        <w:tblW w:w="0" w:type="auto"/>
        <w:tblLook w:val="04A0" w:firstRow="1" w:lastRow="0" w:firstColumn="1" w:lastColumn="0" w:noHBand="0" w:noVBand="1"/>
      </w:tblPr>
      <w:tblGrid>
        <w:gridCol w:w="9212"/>
      </w:tblGrid>
      <w:tr w:rsidR="007576B2" w:rsidRPr="00643861" w14:paraId="0E63F46A" w14:textId="77777777" w:rsidTr="007576B2">
        <w:trPr>
          <w:trHeight w:val="567"/>
        </w:trPr>
        <w:tc>
          <w:tcPr>
            <w:tcW w:w="9212" w:type="dxa"/>
            <w:shd w:val="clear" w:color="auto" w:fill="D9D9D9" w:themeFill="background1" w:themeFillShade="D9"/>
          </w:tcPr>
          <w:p w14:paraId="50F84AE4" w14:textId="77777777" w:rsidR="007576B2" w:rsidRPr="00643861" w:rsidRDefault="007576B2" w:rsidP="007576B2">
            <w:pPr>
              <w:jc w:val="center"/>
              <w:rPr>
                <w:b/>
              </w:rPr>
            </w:pPr>
            <w:r w:rsidRPr="00643861">
              <w:rPr>
                <w:b/>
                <w:sz w:val="28"/>
              </w:rPr>
              <w:t>Analýza vplyvov na podnikateľské prostredie</w:t>
            </w:r>
          </w:p>
          <w:p w14:paraId="605DED42" w14:textId="77777777" w:rsidR="007576B2" w:rsidRPr="00643861" w:rsidRDefault="007576B2" w:rsidP="007576B2">
            <w:pPr>
              <w:jc w:val="center"/>
              <w:rPr>
                <w:b/>
              </w:rPr>
            </w:pPr>
            <w:r w:rsidRPr="00643861">
              <w:rPr>
                <w:b/>
              </w:rPr>
              <w:t>(vrátane testu MSP)</w:t>
            </w:r>
          </w:p>
        </w:tc>
      </w:tr>
      <w:tr w:rsidR="007576B2" w:rsidRPr="00643861" w14:paraId="5964E6C8" w14:textId="77777777" w:rsidTr="007576B2">
        <w:trPr>
          <w:trHeight w:val="567"/>
        </w:trPr>
        <w:tc>
          <w:tcPr>
            <w:tcW w:w="9212" w:type="dxa"/>
            <w:shd w:val="clear" w:color="auto" w:fill="D9D9D9" w:themeFill="background1" w:themeFillShade="D9"/>
          </w:tcPr>
          <w:p w14:paraId="2BA44E84" w14:textId="77777777" w:rsidR="007576B2" w:rsidRPr="00643861" w:rsidRDefault="007576B2" w:rsidP="007576B2">
            <w:pPr>
              <w:rPr>
                <w:b/>
              </w:rPr>
            </w:pPr>
            <w:r w:rsidRPr="00643861">
              <w:rPr>
                <w:b/>
              </w:rPr>
              <w:t>Materiál bude mať vplyv s ohľadom na veľkostnú kategóriu podnikov:</w:t>
            </w:r>
          </w:p>
        </w:tc>
      </w:tr>
      <w:tr w:rsidR="007576B2" w:rsidRPr="00643861" w14:paraId="6EAB098A" w14:textId="77777777" w:rsidTr="007576B2">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7576B2" w:rsidRPr="00643861" w14:paraId="4A628C89" w14:textId="77777777" w:rsidTr="007576B2">
              <w:sdt>
                <w:sdtPr>
                  <w:id w:val="43339831"/>
                  <w14:checkbox>
                    <w14:checked w14:val="0"/>
                    <w14:checkedState w14:val="2612" w14:font="MS Gothic"/>
                    <w14:uncheckedState w14:val="2610" w14:font="MS Gothic"/>
                  </w14:checkbox>
                </w:sdtPr>
                <w:sdtEndPr/>
                <w:sdtContent>
                  <w:tc>
                    <w:tcPr>
                      <w:tcW w:w="436" w:type="dxa"/>
                    </w:tcPr>
                    <w:p w14:paraId="0EF675C7" w14:textId="77777777" w:rsidR="007576B2" w:rsidRPr="00643861" w:rsidRDefault="007576B2" w:rsidP="007576B2">
                      <w:pPr>
                        <w:jc w:val="center"/>
                      </w:pPr>
                      <w:r w:rsidRPr="00643861">
                        <w:rPr>
                          <w:rFonts w:ascii="MS Mincho" w:eastAsia="MS Mincho" w:hAnsi="MS Mincho" w:cs="MS Mincho"/>
                        </w:rPr>
                        <w:t>☐</w:t>
                      </w:r>
                    </w:p>
                  </w:tc>
                </w:sdtContent>
              </w:sdt>
              <w:tc>
                <w:tcPr>
                  <w:tcW w:w="8545" w:type="dxa"/>
                </w:tcPr>
                <w:p w14:paraId="20111515" w14:textId="77777777" w:rsidR="007576B2" w:rsidRPr="00643861" w:rsidRDefault="007576B2" w:rsidP="007576B2">
                  <w:pPr>
                    <w:rPr>
                      <w:b/>
                    </w:rPr>
                  </w:pPr>
                  <w:r w:rsidRPr="00643861">
                    <w:rPr>
                      <w:b/>
                    </w:rPr>
                    <w:t xml:space="preserve">iba na MSP (0 - 249 zamestnancov) </w:t>
                  </w:r>
                </w:p>
              </w:tc>
            </w:tr>
            <w:tr w:rsidR="007576B2" w:rsidRPr="00643861" w14:paraId="4D14C802" w14:textId="77777777" w:rsidTr="007576B2">
              <w:sdt>
                <w:sdtPr>
                  <w:id w:val="-79453833"/>
                  <w14:checkbox>
                    <w14:checked w14:val="0"/>
                    <w14:checkedState w14:val="2612" w14:font="MS Gothic"/>
                    <w14:uncheckedState w14:val="2610" w14:font="MS Gothic"/>
                  </w14:checkbox>
                </w:sdtPr>
                <w:sdtEndPr/>
                <w:sdtContent>
                  <w:tc>
                    <w:tcPr>
                      <w:tcW w:w="436" w:type="dxa"/>
                    </w:tcPr>
                    <w:p w14:paraId="41B64FAB" w14:textId="77777777" w:rsidR="007576B2" w:rsidRPr="00643861" w:rsidRDefault="007576B2" w:rsidP="007576B2">
                      <w:pPr>
                        <w:jc w:val="center"/>
                      </w:pPr>
                      <w:r w:rsidRPr="00643861">
                        <w:rPr>
                          <w:rFonts w:ascii="MS Mincho" w:eastAsia="MS Mincho" w:hAnsi="MS Mincho" w:cs="MS Mincho"/>
                        </w:rPr>
                        <w:t>☐</w:t>
                      </w:r>
                    </w:p>
                  </w:tc>
                </w:sdtContent>
              </w:sdt>
              <w:tc>
                <w:tcPr>
                  <w:tcW w:w="8545" w:type="dxa"/>
                </w:tcPr>
                <w:p w14:paraId="0A1B1C2E" w14:textId="77777777" w:rsidR="007576B2" w:rsidRPr="00643861" w:rsidRDefault="007576B2" w:rsidP="007576B2">
                  <w:pPr>
                    <w:rPr>
                      <w:b/>
                    </w:rPr>
                  </w:pPr>
                  <w:r w:rsidRPr="00643861">
                    <w:rPr>
                      <w:b/>
                    </w:rPr>
                    <w:t>iba na veľké podniky (250 a viac zamestnancov)</w:t>
                  </w:r>
                </w:p>
              </w:tc>
            </w:tr>
            <w:tr w:rsidR="007576B2" w:rsidRPr="00643861" w14:paraId="2C9E8AE1" w14:textId="77777777" w:rsidTr="007576B2">
              <w:sdt>
                <w:sdtPr>
                  <w:id w:val="1290634502"/>
                  <w14:checkbox>
                    <w14:checked w14:val="1"/>
                    <w14:checkedState w14:val="2612" w14:font="MS Gothic"/>
                    <w14:uncheckedState w14:val="2610" w14:font="MS Gothic"/>
                  </w14:checkbox>
                </w:sdtPr>
                <w:sdtEndPr/>
                <w:sdtContent>
                  <w:tc>
                    <w:tcPr>
                      <w:tcW w:w="436" w:type="dxa"/>
                    </w:tcPr>
                    <w:p w14:paraId="3149D084" w14:textId="77777777" w:rsidR="007576B2" w:rsidRPr="00643861" w:rsidRDefault="007576B2" w:rsidP="007576B2">
                      <w:pPr>
                        <w:jc w:val="center"/>
                      </w:pPr>
                      <w:r w:rsidRPr="00643861">
                        <w:rPr>
                          <w:rFonts w:ascii="MS Gothic" w:eastAsia="MS Gothic"/>
                        </w:rPr>
                        <w:t>☒</w:t>
                      </w:r>
                    </w:p>
                  </w:tc>
                </w:sdtContent>
              </w:sdt>
              <w:tc>
                <w:tcPr>
                  <w:tcW w:w="8545" w:type="dxa"/>
                </w:tcPr>
                <w:p w14:paraId="77D11EFB" w14:textId="77777777" w:rsidR="007576B2" w:rsidRPr="00643861" w:rsidRDefault="007576B2" w:rsidP="007576B2">
                  <w:r w:rsidRPr="00643861">
                    <w:rPr>
                      <w:b/>
                    </w:rPr>
                    <w:t>na všetky kategórie podnikov</w:t>
                  </w:r>
                </w:p>
              </w:tc>
            </w:tr>
          </w:tbl>
          <w:p w14:paraId="5942B1C7" w14:textId="77777777" w:rsidR="007576B2" w:rsidRPr="00643861" w:rsidRDefault="007576B2" w:rsidP="007576B2">
            <w:pPr>
              <w:rPr>
                <w:b/>
              </w:rPr>
            </w:pPr>
          </w:p>
        </w:tc>
      </w:tr>
      <w:tr w:rsidR="007576B2" w:rsidRPr="00643861" w14:paraId="5378258A" w14:textId="77777777" w:rsidTr="007576B2">
        <w:tc>
          <w:tcPr>
            <w:tcW w:w="9212" w:type="dxa"/>
            <w:shd w:val="clear" w:color="auto" w:fill="D9D9D9" w:themeFill="background1" w:themeFillShade="D9"/>
          </w:tcPr>
          <w:p w14:paraId="3299E2B4" w14:textId="77777777" w:rsidR="007576B2" w:rsidRPr="00643861" w:rsidRDefault="007576B2" w:rsidP="007576B2">
            <w:pPr>
              <w:rPr>
                <w:b/>
              </w:rPr>
            </w:pPr>
            <w:r w:rsidRPr="00643861">
              <w:rPr>
                <w:b/>
              </w:rPr>
              <w:t>3.1 Dotknuté podnikateľské subjekty</w:t>
            </w:r>
          </w:p>
          <w:p w14:paraId="549AD8B3" w14:textId="77777777" w:rsidR="007576B2" w:rsidRPr="00643861" w:rsidRDefault="007576B2" w:rsidP="007576B2">
            <w:pPr>
              <w:ind w:left="284"/>
              <w:rPr>
                <w:b/>
              </w:rPr>
            </w:pPr>
            <w:r w:rsidRPr="00643861">
              <w:t xml:space="preserve"> - </w:t>
            </w:r>
            <w:r w:rsidRPr="00643861">
              <w:rPr>
                <w:b/>
              </w:rPr>
              <w:t>z toho MSP</w:t>
            </w:r>
          </w:p>
        </w:tc>
      </w:tr>
      <w:tr w:rsidR="007576B2" w:rsidRPr="00643861" w14:paraId="32A74C43" w14:textId="77777777" w:rsidTr="007576B2">
        <w:tc>
          <w:tcPr>
            <w:tcW w:w="9212" w:type="dxa"/>
            <w:tcBorders>
              <w:bottom w:val="single" w:sz="4" w:space="0" w:color="auto"/>
            </w:tcBorders>
          </w:tcPr>
          <w:p w14:paraId="43450928" w14:textId="77777777" w:rsidR="007576B2" w:rsidRPr="00643861" w:rsidRDefault="007576B2" w:rsidP="007576B2">
            <w:pPr>
              <w:jc w:val="both"/>
              <w:rPr>
                <w:i/>
              </w:rPr>
            </w:pPr>
            <w:r w:rsidRPr="00643861">
              <w:rPr>
                <w:i/>
              </w:rPr>
              <w:t>Uveďte, aké podnikateľské subjekty budú predkladaným návrhom ovplyvnené.</w:t>
            </w:r>
          </w:p>
          <w:p w14:paraId="4A7D1E32" w14:textId="77777777" w:rsidR="007576B2" w:rsidRPr="00643861" w:rsidRDefault="007576B2" w:rsidP="007576B2">
            <w:pPr>
              <w:jc w:val="both"/>
              <w:rPr>
                <w:i/>
              </w:rPr>
            </w:pPr>
            <w:r w:rsidRPr="00643861">
              <w:rPr>
                <w:i/>
              </w:rPr>
              <w:t>Aký je ich počet?</w:t>
            </w:r>
          </w:p>
          <w:p w14:paraId="3CFC35C3" w14:textId="4377043F" w:rsidR="007576B2" w:rsidRPr="00643861" w:rsidRDefault="007576B2" w:rsidP="00C903FF">
            <w:pPr>
              <w:rPr>
                <w:i/>
              </w:rPr>
            </w:pPr>
          </w:p>
        </w:tc>
      </w:tr>
      <w:tr w:rsidR="007576B2" w:rsidRPr="00643861" w14:paraId="66B8C9EC" w14:textId="77777777" w:rsidTr="007576B2">
        <w:trPr>
          <w:trHeight w:val="1440"/>
        </w:trPr>
        <w:tc>
          <w:tcPr>
            <w:tcW w:w="9212" w:type="dxa"/>
            <w:tcBorders>
              <w:bottom w:val="single" w:sz="4" w:space="0" w:color="auto"/>
            </w:tcBorders>
          </w:tcPr>
          <w:p w14:paraId="5393C351" w14:textId="6B5FCD36" w:rsidR="007576B2" w:rsidRPr="00643861" w:rsidRDefault="00C903FF" w:rsidP="00643861">
            <w:pPr>
              <w:ind w:left="284"/>
            </w:pPr>
            <w:r w:rsidRPr="00643861">
              <w:t>Návrhom môžu byť dotknutí prevádzkovatelia autobusovej dopravy, a to najmä tí, ktorí vykonávajú príležitostnú autobusovú dopravu, kde sa využívajú jazdné listy. Celkový počet dopravcov v autobusovej doprave je cca 700 s počtom vozidiel cca 3000. Odhadujeme, že dopravcov, ktorí vykonávajú príležitostnú dopravu je cca 200, ktorí využívajú vozidlá v počte 1000.</w:t>
            </w:r>
            <w:r w:rsidRPr="00643861">
              <w:rPr>
                <w:i/>
              </w:rPr>
              <w:t xml:space="preserve"> </w:t>
            </w:r>
          </w:p>
        </w:tc>
      </w:tr>
      <w:tr w:rsidR="007576B2" w:rsidRPr="00643861" w14:paraId="1A8744F3" w14:textId="77777777" w:rsidTr="007576B2">
        <w:trPr>
          <w:trHeight w:val="339"/>
        </w:trPr>
        <w:tc>
          <w:tcPr>
            <w:tcW w:w="9212" w:type="dxa"/>
            <w:tcBorders>
              <w:bottom w:val="single" w:sz="4" w:space="0" w:color="auto"/>
            </w:tcBorders>
            <w:shd w:val="clear" w:color="auto" w:fill="D9D9D9" w:themeFill="background1" w:themeFillShade="D9"/>
          </w:tcPr>
          <w:p w14:paraId="5A275838" w14:textId="77777777" w:rsidR="007576B2" w:rsidRPr="00643861" w:rsidRDefault="007576B2" w:rsidP="007576B2">
            <w:pPr>
              <w:rPr>
                <w:b/>
              </w:rPr>
            </w:pPr>
            <w:r w:rsidRPr="00643861">
              <w:rPr>
                <w:b/>
              </w:rPr>
              <w:t>3.2 Vyhodnotenie konzultácií</w:t>
            </w:r>
          </w:p>
          <w:p w14:paraId="3270555B" w14:textId="77777777" w:rsidR="007576B2" w:rsidRPr="00643861" w:rsidRDefault="007576B2" w:rsidP="007576B2">
            <w:pPr>
              <w:rPr>
                <w:b/>
              </w:rPr>
            </w:pPr>
            <w:r w:rsidRPr="00643861">
              <w:t xml:space="preserve">       - </w:t>
            </w:r>
            <w:r w:rsidRPr="00643861">
              <w:rPr>
                <w:b/>
              </w:rPr>
              <w:t>z toho MSP</w:t>
            </w:r>
          </w:p>
        </w:tc>
      </w:tr>
      <w:tr w:rsidR="007576B2" w:rsidRPr="00643861" w14:paraId="60F1C33D" w14:textId="77777777" w:rsidTr="007576B2">
        <w:trPr>
          <w:trHeight w:val="557"/>
        </w:trPr>
        <w:tc>
          <w:tcPr>
            <w:tcW w:w="9212" w:type="dxa"/>
            <w:tcBorders>
              <w:bottom w:val="single" w:sz="4" w:space="0" w:color="auto"/>
            </w:tcBorders>
          </w:tcPr>
          <w:p w14:paraId="526CDD4B" w14:textId="77777777" w:rsidR="007576B2" w:rsidRPr="00643861" w:rsidRDefault="007576B2" w:rsidP="007576B2">
            <w:pPr>
              <w:jc w:val="both"/>
              <w:rPr>
                <w:i/>
              </w:rPr>
            </w:pPr>
            <w:r w:rsidRPr="00643861">
              <w:rPr>
                <w:i/>
              </w:rPr>
              <w:lastRenderedPageBreak/>
              <w:t>Uveďte, akou formou (verejné alebo cielené konzultácie a prečo) a s kým bol návrh konzultovaný.</w:t>
            </w:r>
          </w:p>
          <w:p w14:paraId="357256DF" w14:textId="77777777" w:rsidR="007576B2" w:rsidRPr="00643861" w:rsidRDefault="007576B2" w:rsidP="007576B2">
            <w:pPr>
              <w:jc w:val="both"/>
              <w:rPr>
                <w:i/>
              </w:rPr>
            </w:pPr>
            <w:r w:rsidRPr="00643861">
              <w:rPr>
                <w:i/>
              </w:rPr>
              <w:t>Ako dlho trvali konzultácie?</w:t>
            </w:r>
          </w:p>
          <w:p w14:paraId="7E7B6D91" w14:textId="77777777" w:rsidR="007576B2" w:rsidRPr="00643861" w:rsidRDefault="007576B2" w:rsidP="007576B2">
            <w:pPr>
              <w:jc w:val="both"/>
              <w:rPr>
                <w:i/>
              </w:rPr>
            </w:pPr>
            <w:r w:rsidRPr="00643861">
              <w:rPr>
                <w:i/>
              </w:rPr>
              <w:t>Uveďte hlavné body konzultácií a výsledky konzultácií.</w:t>
            </w:r>
          </w:p>
          <w:p w14:paraId="60275B98" w14:textId="77777777" w:rsidR="007576B2" w:rsidRPr="00643861" w:rsidRDefault="007576B2" w:rsidP="007576B2">
            <w:pPr>
              <w:rPr>
                <w:i/>
              </w:rPr>
            </w:pPr>
          </w:p>
        </w:tc>
      </w:tr>
      <w:tr w:rsidR="007576B2" w:rsidRPr="00643861" w14:paraId="291E97CE" w14:textId="77777777" w:rsidTr="007576B2">
        <w:trPr>
          <w:trHeight w:val="1440"/>
        </w:trPr>
        <w:tc>
          <w:tcPr>
            <w:tcW w:w="9212" w:type="dxa"/>
            <w:tcBorders>
              <w:bottom w:val="single" w:sz="4" w:space="0" w:color="auto"/>
            </w:tcBorders>
          </w:tcPr>
          <w:p w14:paraId="35DBE004" w14:textId="0E18A251" w:rsidR="007576B2" w:rsidRPr="00643861" w:rsidRDefault="00EA63BA" w:rsidP="007576B2">
            <w:pPr>
              <w:jc w:val="both"/>
            </w:pPr>
            <w:r w:rsidRPr="00643861">
              <w:t xml:space="preserve">Návrh bol pripravený Európskou komisiou, ktorá vykonala verejnú konzultáciu v trvaní </w:t>
            </w:r>
            <w:r w:rsidR="00DA4F4E" w:rsidRPr="00643861">
              <w:t>od</w:t>
            </w:r>
            <w:r w:rsidRPr="00643861">
              <w:t xml:space="preserve"> </w:t>
            </w:r>
            <w:r w:rsidR="00DA4F4E" w:rsidRPr="00643861">
              <w:t>14.12.2016 do 22.03.2017</w:t>
            </w:r>
            <w:r w:rsidRPr="00643861">
              <w:t xml:space="preserve">. Zároveň </w:t>
            </w:r>
            <w:r w:rsidR="00C903FF" w:rsidRPr="00643861">
              <w:t>Eur</w:t>
            </w:r>
            <w:r w:rsidR="00772992" w:rsidRPr="00643861">
              <w:t xml:space="preserve">ópska komisia </w:t>
            </w:r>
            <w:r w:rsidRPr="00643861">
              <w:t>vykonala ďalšie zisťovanie názor</w:t>
            </w:r>
            <w:r w:rsidR="00BA63D6" w:rsidRPr="00643861">
              <w:t>ov</w:t>
            </w:r>
            <w:r w:rsidRPr="00643861">
              <w:t xml:space="preserve"> a stano</w:t>
            </w:r>
            <w:r w:rsidR="00DA4F4E" w:rsidRPr="00643861">
              <w:t>vísk podľa interných pravidiel K</w:t>
            </w:r>
            <w:r w:rsidRPr="00643861">
              <w:t xml:space="preserve">omisie. Podrobnosti sú uvedené v prílohe </w:t>
            </w:r>
            <w:r w:rsidR="00772992" w:rsidRPr="00643861">
              <w:t>II</w:t>
            </w:r>
            <w:r w:rsidRPr="00643861">
              <w:t xml:space="preserve"> dopadovej štúdie, ktorú vypracovala Európska komisia. </w:t>
            </w:r>
            <w:r w:rsidR="00420AB1" w:rsidRPr="00643861">
              <w:t>F</w:t>
            </w:r>
            <w:r w:rsidR="007576B2" w:rsidRPr="00643861">
              <w:t xml:space="preserve">ormou zapojenia verejnosti </w:t>
            </w:r>
            <w:r w:rsidRPr="00643861">
              <w:t xml:space="preserve">je aj </w:t>
            </w:r>
            <w:r w:rsidR="007576B2" w:rsidRPr="00643861">
              <w:t>medzirezortné pripomienkové konanie</w:t>
            </w:r>
            <w:r w:rsidR="00772992" w:rsidRPr="00643861">
              <w:t xml:space="preserve"> k tomuto predbežnému stanovisku.</w:t>
            </w:r>
            <w:r w:rsidR="007576B2" w:rsidRPr="00643861">
              <w:t xml:space="preserve"> </w:t>
            </w:r>
          </w:p>
          <w:p w14:paraId="4F2DBFA9" w14:textId="77777777" w:rsidR="007576B2" w:rsidRPr="00643861" w:rsidRDefault="007576B2" w:rsidP="007576B2">
            <w:pPr>
              <w:jc w:val="both"/>
            </w:pPr>
            <w:r w:rsidRPr="00643861">
              <w:t xml:space="preserve"> </w:t>
            </w:r>
          </w:p>
        </w:tc>
      </w:tr>
      <w:tr w:rsidR="007576B2" w:rsidRPr="00643861" w14:paraId="03049141" w14:textId="77777777" w:rsidTr="007576B2">
        <w:tc>
          <w:tcPr>
            <w:tcW w:w="9212" w:type="dxa"/>
            <w:shd w:val="clear" w:color="auto" w:fill="D9D9D9" w:themeFill="background1" w:themeFillShade="D9"/>
          </w:tcPr>
          <w:p w14:paraId="15B27269" w14:textId="77777777" w:rsidR="007576B2" w:rsidRPr="00643861" w:rsidRDefault="007576B2" w:rsidP="007576B2">
            <w:pPr>
              <w:rPr>
                <w:b/>
              </w:rPr>
            </w:pPr>
            <w:r w:rsidRPr="00643861">
              <w:rPr>
                <w:b/>
              </w:rPr>
              <w:t>3.3 Náklady regulácie</w:t>
            </w:r>
          </w:p>
          <w:p w14:paraId="79DBDEF0" w14:textId="77777777" w:rsidR="007576B2" w:rsidRPr="00643861" w:rsidRDefault="007576B2" w:rsidP="007576B2">
            <w:pPr>
              <w:rPr>
                <w:b/>
              </w:rPr>
            </w:pPr>
            <w:r w:rsidRPr="00643861">
              <w:t xml:space="preserve">      - </w:t>
            </w:r>
            <w:r w:rsidRPr="00643861">
              <w:rPr>
                <w:b/>
              </w:rPr>
              <w:t>z toho MSP</w:t>
            </w:r>
          </w:p>
        </w:tc>
      </w:tr>
      <w:tr w:rsidR="007576B2" w:rsidRPr="00643861" w14:paraId="05E28811" w14:textId="77777777" w:rsidTr="007576B2">
        <w:tc>
          <w:tcPr>
            <w:tcW w:w="9212" w:type="dxa"/>
            <w:tcBorders>
              <w:bottom w:val="single" w:sz="4" w:space="0" w:color="auto"/>
            </w:tcBorders>
          </w:tcPr>
          <w:p w14:paraId="61452C06" w14:textId="77777777" w:rsidR="007576B2" w:rsidRPr="00643861" w:rsidRDefault="007576B2" w:rsidP="007576B2">
            <w:pPr>
              <w:rPr>
                <w:b/>
                <w:i/>
              </w:rPr>
            </w:pPr>
            <w:r w:rsidRPr="00643861">
              <w:rPr>
                <w:b/>
                <w:i/>
              </w:rPr>
              <w:t>3.3.1 Priame finančné náklady</w:t>
            </w:r>
          </w:p>
          <w:p w14:paraId="35B6D1FA" w14:textId="77777777" w:rsidR="007576B2" w:rsidRPr="00643861" w:rsidRDefault="007576B2" w:rsidP="007576B2">
            <w:pPr>
              <w:jc w:val="both"/>
              <w:rPr>
                <w:i/>
              </w:rPr>
            </w:pPr>
            <w:r w:rsidRPr="00643861">
              <w:rPr>
                <w:i/>
              </w:rPr>
              <w:t>Dochádza k zvýšeniu/zníženiu priamych finančných nákladov (poplatky, odvody, dane clá...)? Ak áno, popíšte a vyčíslite ich. Uveďte tiež spôsob ich výpočtu</w:t>
            </w:r>
          </w:p>
          <w:p w14:paraId="41A22E99" w14:textId="77777777" w:rsidR="007576B2" w:rsidRPr="00643861" w:rsidRDefault="007576B2" w:rsidP="007576B2">
            <w:pPr>
              <w:rPr>
                <w:i/>
              </w:rPr>
            </w:pPr>
            <w:r w:rsidRPr="00643861">
              <w:rPr>
                <w:i/>
              </w:rPr>
              <w:t xml:space="preserve"> </w:t>
            </w:r>
          </w:p>
        </w:tc>
      </w:tr>
      <w:tr w:rsidR="007576B2" w:rsidRPr="00643861" w14:paraId="3F6A9E44" w14:textId="77777777" w:rsidTr="007576B2">
        <w:tc>
          <w:tcPr>
            <w:tcW w:w="9212" w:type="dxa"/>
            <w:tcBorders>
              <w:bottom w:val="single" w:sz="4" w:space="0" w:color="auto"/>
            </w:tcBorders>
          </w:tcPr>
          <w:p w14:paraId="5E8A978A" w14:textId="77777777" w:rsidR="007576B2" w:rsidRPr="00643861" w:rsidRDefault="007576B2" w:rsidP="007576B2">
            <w:pPr>
              <w:rPr>
                <w:i/>
              </w:rPr>
            </w:pPr>
          </w:p>
          <w:p w14:paraId="05E47F26" w14:textId="2F8EE8C7" w:rsidR="007576B2" w:rsidRPr="00643861" w:rsidRDefault="007576B2" w:rsidP="007576B2">
            <w:pPr>
              <w:jc w:val="both"/>
            </w:pPr>
            <w:r w:rsidRPr="00643861">
              <w:t>Nie, nedochádza k zvýšeniu resp. zníženiu priamych finančných nákladov.</w:t>
            </w:r>
          </w:p>
          <w:p w14:paraId="29EE8B81" w14:textId="77777777" w:rsidR="007576B2" w:rsidRPr="00643861" w:rsidRDefault="007576B2" w:rsidP="007576B2">
            <w:pPr>
              <w:rPr>
                <w:i/>
              </w:rPr>
            </w:pPr>
          </w:p>
        </w:tc>
      </w:tr>
      <w:tr w:rsidR="007576B2" w:rsidRPr="00643861" w14:paraId="5B0387CF" w14:textId="77777777" w:rsidTr="007576B2">
        <w:tc>
          <w:tcPr>
            <w:tcW w:w="9212" w:type="dxa"/>
            <w:tcBorders>
              <w:bottom w:val="single" w:sz="4" w:space="0" w:color="auto"/>
            </w:tcBorders>
          </w:tcPr>
          <w:p w14:paraId="78467EB3" w14:textId="77777777" w:rsidR="007576B2" w:rsidRPr="00643861" w:rsidRDefault="007576B2" w:rsidP="007576B2">
            <w:pPr>
              <w:rPr>
                <w:b/>
                <w:i/>
              </w:rPr>
            </w:pPr>
            <w:r w:rsidRPr="00643861">
              <w:rPr>
                <w:b/>
                <w:i/>
              </w:rPr>
              <w:t>3.3.2 Nepriame finančné náklady</w:t>
            </w:r>
          </w:p>
          <w:p w14:paraId="43779DBA" w14:textId="77777777" w:rsidR="007576B2" w:rsidRPr="00643861" w:rsidRDefault="007576B2" w:rsidP="007576B2">
            <w:pPr>
              <w:jc w:val="both"/>
              <w:rPr>
                <w:i/>
              </w:rPr>
            </w:pPr>
            <w:r w:rsidRPr="00643861">
              <w:rPr>
                <w:i/>
              </w:rPr>
              <w:t>Vyžaduje si predkladaný návrh dodatočné náklady na nákup tovarov alebo služieb? Zvyšuje predkladaný návrh náklady súvisiace so zamestnávaním? Ak áno, popíšte a vyčíslite ich. Uveďte tiež spôsob ich výpočtu.</w:t>
            </w:r>
          </w:p>
          <w:p w14:paraId="6D651C82" w14:textId="74F24059" w:rsidR="007576B2" w:rsidRPr="00643861" w:rsidRDefault="007576B2" w:rsidP="00BA63D6"/>
        </w:tc>
      </w:tr>
      <w:tr w:rsidR="007576B2" w:rsidRPr="00643861" w14:paraId="47518A40" w14:textId="77777777" w:rsidTr="007576B2">
        <w:tc>
          <w:tcPr>
            <w:tcW w:w="9212" w:type="dxa"/>
            <w:tcBorders>
              <w:bottom w:val="single" w:sz="4" w:space="0" w:color="auto"/>
            </w:tcBorders>
          </w:tcPr>
          <w:p w14:paraId="317DEF49" w14:textId="6217B2A0" w:rsidR="007576B2" w:rsidRPr="00643861" w:rsidRDefault="00954743" w:rsidP="00954743">
            <w:pPr>
              <w:jc w:val="both"/>
            </w:pPr>
            <w:r w:rsidRPr="00643861">
              <w:t>Nie,</w:t>
            </w:r>
            <w:r w:rsidR="00057B1E" w:rsidRPr="00643861">
              <w:t xml:space="preserve"> ak berieme do úvahy, že nie je potrebné pri príležitostnej doprave využívať jazdné listy, tak úspora nákladov na tento segment tvorí cca 24 204 EUR za rok (počet predaných jazdných listov/rok 2017 -  1200 ks x cena jazdného listu 20,17 EUR s DPH)</w:t>
            </w:r>
            <w:r w:rsidRPr="00643861">
              <w:t>.</w:t>
            </w:r>
            <w:r w:rsidR="00057B1E" w:rsidRPr="00643861">
              <w:t xml:space="preserve">  </w:t>
            </w:r>
          </w:p>
        </w:tc>
      </w:tr>
      <w:tr w:rsidR="007576B2" w:rsidRPr="00643861" w14:paraId="0F8F43CB" w14:textId="77777777" w:rsidTr="007576B2">
        <w:tc>
          <w:tcPr>
            <w:tcW w:w="9212" w:type="dxa"/>
            <w:tcBorders>
              <w:bottom w:val="single" w:sz="4" w:space="0" w:color="auto"/>
            </w:tcBorders>
          </w:tcPr>
          <w:p w14:paraId="1E31A513" w14:textId="77777777" w:rsidR="007576B2" w:rsidRPr="00643861" w:rsidRDefault="007576B2" w:rsidP="007576B2">
            <w:pPr>
              <w:rPr>
                <w:b/>
                <w:i/>
              </w:rPr>
            </w:pPr>
            <w:r w:rsidRPr="00643861">
              <w:rPr>
                <w:b/>
                <w:i/>
              </w:rPr>
              <w:t>3.3.3 Administratívne náklady</w:t>
            </w:r>
          </w:p>
          <w:p w14:paraId="71968BFD" w14:textId="77777777" w:rsidR="007576B2" w:rsidRPr="00643861" w:rsidRDefault="007576B2" w:rsidP="007576B2">
            <w:pPr>
              <w:jc w:val="both"/>
              <w:rPr>
                <w:i/>
              </w:rPr>
            </w:pPr>
            <w:r w:rsidRPr="00643861">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p w14:paraId="37854AB1" w14:textId="77777777" w:rsidR="007576B2" w:rsidRPr="00643861" w:rsidRDefault="007576B2" w:rsidP="007576B2">
            <w:pPr>
              <w:rPr>
                <w:i/>
              </w:rPr>
            </w:pPr>
          </w:p>
        </w:tc>
      </w:tr>
      <w:tr w:rsidR="007576B2" w:rsidRPr="00643861" w14:paraId="4AD06046" w14:textId="77777777" w:rsidTr="007576B2">
        <w:tc>
          <w:tcPr>
            <w:tcW w:w="9212" w:type="dxa"/>
            <w:tcBorders>
              <w:bottom w:val="single" w:sz="4" w:space="0" w:color="auto"/>
            </w:tcBorders>
          </w:tcPr>
          <w:p w14:paraId="06286DE9" w14:textId="5A2D4847" w:rsidR="00D40020" w:rsidRPr="00643861" w:rsidRDefault="00057B1E" w:rsidP="00D40020">
            <w:pPr>
              <w:pBdr>
                <w:top w:val="nil"/>
                <w:left w:val="nil"/>
                <w:bottom w:val="nil"/>
                <w:right w:val="nil"/>
                <w:between w:val="nil"/>
                <w:bar w:val="nil"/>
              </w:pBdr>
              <w:jc w:val="both"/>
            </w:pPr>
            <w:r w:rsidRPr="00643861">
              <w:t xml:space="preserve">Dochádza k odstráneniu povinnosti pri príležitostnej doprave využívať jazdné listy. Z tohto dôvodu príde aj k eliminovaniu administratívnych nákladov súvisiacich s administráciou jazdných listov. </w:t>
            </w:r>
          </w:p>
          <w:p w14:paraId="580D28BC" w14:textId="1567F47A" w:rsidR="007576B2" w:rsidRPr="00643861" w:rsidRDefault="007576B2" w:rsidP="007576B2">
            <w:pPr>
              <w:rPr>
                <w:b/>
                <w:i/>
              </w:rPr>
            </w:pPr>
          </w:p>
          <w:p w14:paraId="0BE08AC5" w14:textId="4CF2B930" w:rsidR="007576B2" w:rsidRPr="00643861" w:rsidRDefault="007576B2" w:rsidP="007576B2">
            <w:pPr>
              <w:pStyle w:val="Odstavecseseznamem"/>
              <w:tabs>
                <w:tab w:val="left" w:pos="1134"/>
              </w:tabs>
              <w:spacing w:after="0" w:line="240" w:lineRule="auto"/>
              <w:ind w:left="0"/>
              <w:jc w:val="both"/>
              <w:rPr>
                <w:rFonts w:ascii="Times New Roman" w:hAnsi="Times New Roman"/>
                <w:i/>
                <w:sz w:val="24"/>
                <w:szCs w:val="24"/>
              </w:rPr>
            </w:pPr>
            <w:r w:rsidRPr="00643861">
              <w:rPr>
                <w:rFonts w:ascii="Times New Roman" w:hAnsi="Times New Roman"/>
                <w:i/>
                <w:sz w:val="24"/>
                <w:szCs w:val="24"/>
              </w:rPr>
              <w:t xml:space="preserve">Administratívne náklady </w:t>
            </w:r>
            <w:r w:rsidR="00057B1E" w:rsidRPr="00643861">
              <w:rPr>
                <w:rFonts w:ascii="Times New Roman" w:hAnsi="Times New Roman"/>
                <w:i/>
                <w:sz w:val="24"/>
                <w:szCs w:val="24"/>
              </w:rPr>
              <w:t>–</w:t>
            </w:r>
            <w:r w:rsidR="009E1F1D" w:rsidRPr="00643861">
              <w:rPr>
                <w:rFonts w:ascii="Times New Roman" w:hAnsi="Times New Roman"/>
                <w:i/>
                <w:sz w:val="24"/>
                <w:szCs w:val="24"/>
              </w:rPr>
              <w:t xml:space="preserve"> </w:t>
            </w:r>
            <w:r w:rsidR="00057B1E" w:rsidRPr="00643861">
              <w:rPr>
                <w:rFonts w:ascii="Times New Roman" w:hAnsi="Times New Roman"/>
                <w:i/>
                <w:sz w:val="24"/>
                <w:szCs w:val="24"/>
              </w:rPr>
              <w:t>Evidencia , vedenie dokumentácie</w:t>
            </w:r>
            <w:r w:rsidRPr="00643861">
              <w:rPr>
                <w:rFonts w:ascii="Times New Roman" w:hAnsi="Times New Roman"/>
                <w:i/>
                <w:sz w:val="24"/>
                <w:szCs w:val="24"/>
              </w:rPr>
              <w:t xml:space="preserve"> (</w:t>
            </w:r>
            <w:r w:rsidR="00057B1E" w:rsidRPr="00643861">
              <w:rPr>
                <w:rFonts w:ascii="Times New Roman" w:hAnsi="Times New Roman"/>
                <w:i/>
                <w:sz w:val="24"/>
                <w:szCs w:val="24"/>
              </w:rPr>
              <w:t>300</w:t>
            </w:r>
            <w:r w:rsidRPr="00643861">
              <w:rPr>
                <w:rFonts w:ascii="Times New Roman" w:hAnsi="Times New Roman"/>
                <w:i/>
                <w:sz w:val="24"/>
                <w:szCs w:val="24"/>
              </w:rPr>
              <w:t xml:space="preserve"> min), </w:t>
            </w:r>
            <w:r w:rsidR="00954743" w:rsidRPr="00643861">
              <w:rPr>
                <w:rFonts w:ascii="Times New Roman" w:hAnsi="Times New Roman"/>
                <w:i/>
                <w:sz w:val="24"/>
                <w:szCs w:val="24"/>
              </w:rPr>
              <w:t>mesačne</w:t>
            </w:r>
            <w:r w:rsidRPr="00643861">
              <w:rPr>
                <w:rFonts w:ascii="Times New Roman" w:hAnsi="Times New Roman"/>
                <w:i/>
                <w:sz w:val="24"/>
                <w:szCs w:val="24"/>
              </w:rPr>
              <w:t xml:space="preserve"> (koeficient frekvencie </w:t>
            </w:r>
            <w:r w:rsidR="00954743" w:rsidRPr="00643861">
              <w:rPr>
                <w:rFonts w:ascii="Times New Roman" w:hAnsi="Times New Roman"/>
                <w:i/>
                <w:sz w:val="24"/>
                <w:szCs w:val="24"/>
              </w:rPr>
              <w:t>12</w:t>
            </w:r>
            <w:r w:rsidRPr="00643861">
              <w:rPr>
                <w:rFonts w:ascii="Times New Roman" w:hAnsi="Times New Roman"/>
                <w:i/>
                <w:sz w:val="24"/>
                <w:szCs w:val="24"/>
              </w:rPr>
              <w:t>), priemerná hrubá mesačná mzda v národnom hospodárstve SR (835 EUR), dotknuté subjekty (</w:t>
            </w:r>
            <w:r w:rsidR="00954743" w:rsidRPr="00643861">
              <w:rPr>
                <w:rFonts w:ascii="Times New Roman" w:hAnsi="Times New Roman"/>
                <w:i/>
                <w:sz w:val="24"/>
                <w:szCs w:val="24"/>
              </w:rPr>
              <w:t>200</w:t>
            </w:r>
            <w:r w:rsidRPr="00643861">
              <w:rPr>
                <w:rFonts w:ascii="Times New Roman" w:hAnsi="Times New Roman"/>
                <w:i/>
                <w:sz w:val="24"/>
                <w:szCs w:val="24"/>
              </w:rPr>
              <w:t>)(835/</w:t>
            </w:r>
            <w:r w:rsidR="008140FB" w:rsidRPr="00643861">
              <w:rPr>
                <w:rFonts w:ascii="Times New Roman" w:hAnsi="Times New Roman"/>
                <w:i/>
                <w:sz w:val="24"/>
                <w:szCs w:val="24"/>
              </w:rPr>
              <w:t>160</w:t>
            </w:r>
            <w:r w:rsidRPr="00643861">
              <w:rPr>
                <w:rFonts w:ascii="Times New Roman" w:hAnsi="Times New Roman"/>
                <w:i/>
                <w:sz w:val="24"/>
                <w:szCs w:val="24"/>
              </w:rPr>
              <w:t>*</w:t>
            </w:r>
            <w:r w:rsidR="007F6A25">
              <w:rPr>
                <w:rFonts w:ascii="Times New Roman" w:hAnsi="Times New Roman"/>
                <w:i/>
                <w:sz w:val="24"/>
                <w:szCs w:val="24"/>
              </w:rPr>
              <w:t>5h (300min)</w:t>
            </w:r>
            <w:r w:rsidR="008140FB" w:rsidRPr="00643861">
              <w:rPr>
                <w:rFonts w:ascii="Times New Roman" w:hAnsi="Times New Roman"/>
                <w:i/>
                <w:sz w:val="24"/>
                <w:szCs w:val="24"/>
              </w:rPr>
              <w:t>*</w:t>
            </w:r>
            <w:r w:rsidR="007F6A25">
              <w:rPr>
                <w:rFonts w:ascii="Times New Roman" w:hAnsi="Times New Roman"/>
                <w:i/>
                <w:sz w:val="24"/>
                <w:szCs w:val="24"/>
              </w:rPr>
              <w:t>12</w:t>
            </w:r>
            <w:r w:rsidRPr="00643861">
              <w:rPr>
                <w:rFonts w:ascii="Times New Roman" w:hAnsi="Times New Roman"/>
                <w:i/>
                <w:sz w:val="24"/>
                <w:szCs w:val="24"/>
              </w:rPr>
              <w:t>) výsledok</w:t>
            </w:r>
            <w:r w:rsidR="00B873F0" w:rsidRPr="00643861">
              <w:rPr>
                <w:rFonts w:ascii="Times New Roman" w:hAnsi="Times New Roman"/>
                <w:i/>
                <w:sz w:val="24"/>
                <w:szCs w:val="24"/>
              </w:rPr>
              <w:t xml:space="preserve"> je cca</w:t>
            </w:r>
            <w:r w:rsidRPr="00643861">
              <w:rPr>
                <w:rFonts w:ascii="Times New Roman" w:hAnsi="Times New Roman"/>
                <w:i/>
                <w:sz w:val="24"/>
                <w:szCs w:val="24"/>
              </w:rPr>
              <w:t xml:space="preserve"> </w:t>
            </w:r>
            <w:r w:rsidR="00D4641D">
              <w:rPr>
                <w:rFonts w:ascii="Times New Roman" w:hAnsi="Times New Roman"/>
                <w:i/>
                <w:sz w:val="24"/>
                <w:szCs w:val="24"/>
              </w:rPr>
              <w:t>313,13</w:t>
            </w:r>
            <w:r w:rsidRPr="00643861">
              <w:rPr>
                <w:rFonts w:ascii="Times New Roman" w:hAnsi="Times New Roman"/>
                <w:i/>
                <w:sz w:val="24"/>
                <w:szCs w:val="24"/>
              </w:rPr>
              <w:t xml:space="preserve"> EUR/podnikateľ</w:t>
            </w:r>
          </w:p>
          <w:p w14:paraId="40384C35" w14:textId="77777777" w:rsidR="007576B2" w:rsidRPr="00643861" w:rsidRDefault="007576B2" w:rsidP="007576B2">
            <w:pPr>
              <w:rPr>
                <w:b/>
                <w:i/>
              </w:rPr>
            </w:pPr>
          </w:p>
        </w:tc>
      </w:tr>
      <w:tr w:rsidR="007576B2" w:rsidRPr="00643861" w14:paraId="4FBA68FD" w14:textId="77777777" w:rsidTr="007576B2">
        <w:trPr>
          <w:trHeight w:val="2318"/>
        </w:trPr>
        <w:tc>
          <w:tcPr>
            <w:tcW w:w="9212" w:type="dxa"/>
            <w:tcBorders>
              <w:bottom w:val="single" w:sz="4" w:space="0" w:color="auto"/>
            </w:tcBorders>
          </w:tcPr>
          <w:p w14:paraId="370A4129" w14:textId="77777777" w:rsidR="007576B2" w:rsidRPr="00643861" w:rsidRDefault="007576B2" w:rsidP="007576B2">
            <w:pPr>
              <w:jc w:val="both"/>
              <w:rPr>
                <w:i/>
              </w:rPr>
            </w:pPr>
            <w:r w:rsidRPr="00643861">
              <w:rPr>
                <w:b/>
                <w:i/>
              </w:rPr>
              <w:lastRenderedPageBreak/>
              <w:t>3.3.4 Súhrnná tabuľka nákladov regulácie</w:t>
            </w:r>
          </w:p>
          <w:p w14:paraId="1F7292AB" w14:textId="77777777" w:rsidR="007576B2" w:rsidRPr="00643861" w:rsidRDefault="007576B2" w:rsidP="007576B2">
            <w:pPr>
              <w:rPr>
                <w:i/>
              </w:rPr>
            </w:pPr>
          </w:p>
          <w:tbl>
            <w:tblPr>
              <w:tblStyle w:val="Mriekatabuky"/>
              <w:tblW w:w="0" w:type="auto"/>
              <w:tblLook w:val="04A0" w:firstRow="1" w:lastRow="0" w:firstColumn="1" w:lastColumn="0" w:noHBand="0" w:noVBand="1"/>
            </w:tblPr>
            <w:tblGrid>
              <w:gridCol w:w="2993"/>
              <w:gridCol w:w="2994"/>
              <w:gridCol w:w="2994"/>
            </w:tblGrid>
            <w:tr w:rsidR="007576B2" w:rsidRPr="00643861" w14:paraId="3D084B89" w14:textId="77777777" w:rsidTr="007576B2">
              <w:tc>
                <w:tcPr>
                  <w:tcW w:w="2993" w:type="dxa"/>
                </w:tcPr>
                <w:p w14:paraId="09717C9F" w14:textId="77777777" w:rsidR="007576B2" w:rsidRPr="00643861" w:rsidRDefault="007576B2" w:rsidP="007576B2">
                  <w:pPr>
                    <w:rPr>
                      <w:i/>
                    </w:rPr>
                  </w:pPr>
                </w:p>
              </w:tc>
              <w:tc>
                <w:tcPr>
                  <w:tcW w:w="2994" w:type="dxa"/>
                </w:tcPr>
                <w:p w14:paraId="61C692B6" w14:textId="77777777" w:rsidR="007576B2" w:rsidRPr="00643861" w:rsidRDefault="007576B2" w:rsidP="007576B2">
                  <w:pPr>
                    <w:jc w:val="center"/>
                    <w:rPr>
                      <w:i/>
                    </w:rPr>
                  </w:pPr>
                  <w:r w:rsidRPr="00643861">
                    <w:rPr>
                      <w:i/>
                    </w:rPr>
                    <w:t>Náklady na 1 podnikateľa</w:t>
                  </w:r>
                </w:p>
              </w:tc>
              <w:tc>
                <w:tcPr>
                  <w:tcW w:w="2994" w:type="dxa"/>
                </w:tcPr>
                <w:p w14:paraId="19F73DBD" w14:textId="77777777" w:rsidR="007576B2" w:rsidRPr="00643861" w:rsidRDefault="007576B2" w:rsidP="007576B2">
                  <w:pPr>
                    <w:jc w:val="center"/>
                    <w:rPr>
                      <w:i/>
                    </w:rPr>
                  </w:pPr>
                  <w:r w:rsidRPr="00643861">
                    <w:rPr>
                      <w:i/>
                    </w:rPr>
                    <w:t>Náklady na celé podnikateľské prostredie</w:t>
                  </w:r>
                </w:p>
              </w:tc>
            </w:tr>
            <w:tr w:rsidR="007576B2" w:rsidRPr="00643861" w14:paraId="4CF8CF20" w14:textId="77777777" w:rsidTr="007576B2">
              <w:tc>
                <w:tcPr>
                  <w:tcW w:w="2993" w:type="dxa"/>
                </w:tcPr>
                <w:p w14:paraId="02469260" w14:textId="77777777" w:rsidR="007576B2" w:rsidRPr="00643861" w:rsidRDefault="007576B2" w:rsidP="007576B2">
                  <w:pPr>
                    <w:jc w:val="both"/>
                    <w:rPr>
                      <w:i/>
                    </w:rPr>
                  </w:pPr>
                  <w:r w:rsidRPr="00643861">
                    <w:rPr>
                      <w:i/>
                    </w:rPr>
                    <w:t>Priame finančné náklady</w:t>
                  </w:r>
                </w:p>
              </w:tc>
              <w:tc>
                <w:tcPr>
                  <w:tcW w:w="2994" w:type="dxa"/>
                </w:tcPr>
                <w:p w14:paraId="686A2AEA" w14:textId="77777777" w:rsidR="007576B2" w:rsidRPr="00643861" w:rsidRDefault="007576B2" w:rsidP="007576B2">
                  <w:pPr>
                    <w:jc w:val="center"/>
                    <w:rPr>
                      <w:i/>
                    </w:rPr>
                  </w:pPr>
                  <w:r w:rsidRPr="00643861">
                    <w:rPr>
                      <w:i/>
                    </w:rPr>
                    <w:t>0</w:t>
                  </w:r>
                </w:p>
              </w:tc>
              <w:tc>
                <w:tcPr>
                  <w:tcW w:w="2994" w:type="dxa"/>
                </w:tcPr>
                <w:p w14:paraId="4BFD3C22" w14:textId="77777777" w:rsidR="007576B2" w:rsidRPr="00643861" w:rsidRDefault="007576B2" w:rsidP="007576B2">
                  <w:pPr>
                    <w:jc w:val="center"/>
                    <w:rPr>
                      <w:i/>
                    </w:rPr>
                  </w:pPr>
                  <w:r w:rsidRPr="00643861">
                    <w:rPr>
                      <w:i/>
                    </w:rPr>
                    <w:t>0</w:t>
                  </w:r>
                </w:p>
              </w:tc>
            </w:tr>
            <w:tr w:rsidR="007576B2" w:rsidRPr="00643861" w14:paraId="5C8B7B7B" w14:textId="77777777" w:rsidTr="007576B2">
              <w:tc>
                <w:tcPr>
                  <w:tcW w:w="2993" w:type="dxa"/>
                </w:tcPr>
                <w:p w14:paraId="002ED240" w14:textId="77777777" w:rsidR="007576B2" w:rsidRPr="00643861" w:rsidRDefault="007576B2" w:rsidP="007576B2">
                  <w:pPr>
                    <w:jc w:val="both"/>
                    <w:rPr>
                      <w:i/>
                    </w:rPr>
                  </w:pPr>
                  <w:r w:rsidRPr="00643861">
                    <w:rPr>
                      <w:i/>
                    </w:rPr>
                    <w:t>Nepriame finančné náklady</w:t>
                  </w:r>
                </w:p>
              </w:tc>
              <w:tc>
                <w:tcPr>
                  <w:tcW w:w="2994" w:type="dxa"/>
                </w:tcPr>
                <w:p w14:paraId="1F4489A4" w14:textId="145B791D" w:rsidR="007576B2" w:rsidRPr="00643861" w:rsidRDefault="00643861" w:rsidP="007576B2">
                  <w:pPr>
                    <w:jc w:val="center"/>
                    <w:rPr>
                      <w:i/>
                    </w:rPr>
                  </w:pPr>
                  <w:r>
                    <w:rPr>
                      <w:i/>
                    </w:rPr>
                    <w:t>-</w:t>
                  </w:r>
                  <w:r w:rsidR="00040179">
                    <w:rPr>
                      <w:i/>
                    </w:rPr>
                    <w:t>121,02 EUR</w:t>
                  </w:r>
                </w:p>
              </w:tc>
              <w:tc>
                <w:tcPr>
                  <w:tcW w:w="2994" w:type="dxa"/>
                </w:tcPr>
                <w:p w14:paraId="23610863" w14:textId="23F5A552" w:rsidR="007576B2" w:rsidRPr="00643861" w:rsidRDefault="00693478" w:rsidP="007576B2">
                  <w:pPr>
                    <w:jc w:val="center"/>
                    <w:rPr>
                      <w:i/>
                    </w:rPr>
                  </w:pPr>
                  <w:r>
                    <w:t xml:space="preserve">- </w:t>
                  </w:r>
                  <w:r w:rsidRPr="00643861">
                    <w:t>24 204 EUR</w:t>
                  </w:r>
                </w:p>
              </w:tc>
            </w:tr>
            <w:tr w:rsidR="007576B2" w:rsidRPr="00643861" w14:paraId="3FA3FE45" w14:textId="77777777" w:rsidTr="007576B2">
              <w:tc>
                <w:tcPr>
                  <w:tcW w:w="2993" w:type="dxa"/>
                </w:tcPr>
                <w:p w14:paraId="6E0CFC64" w14:textId="77777777" w:rsidR="007576B2" w:rsidRPr="00643861" w:rsidRDefault="007576B2" w:rsidP="007576B2">
                  <w:pPr>
                    <w:jc w:val="both"/>
                    <w:rPr>
                      <w:i/>
                    </w:rPr>
                  </w:pPr>
                  <w:r w:rsidRPr="00643861">
                    <w:rPr>
                      <w:i/>
                    </w:rPr>
                    <w:t>Administratívne náklady</w:t>
                  </w:r>
                </w:p>
              </w:tc>
              <w:tc>
                <w:tcPr>
                  <w:tcW w:w="2994" w:type="dxa"/>
                </w:tcPr>
                <w:p w14:paraId="033B78F3" w14:textId="01F5E95A" w:rsidR="007576B2" w:rsidRPr="00643861" w:rsidRDefault="00DE0A13" w:rsidP="00D4641D">
                  <w:pPr>
                    <w:jc w:val="center"/>
                    <w:rPr>
                      <w:i/>
                    </w:rPr>
                  </w:pPr>
                  <w:r w:rsidRPr="00643861">
                    <w:rPr>
                      <w:i/>
                    </w:rPr>
                    <w:t xml:space="preserve">- </w:t>
                  </w:r>
                  <w:r w:rsidR="00D4641D">
                    <w:rPr>
                      <w:i/>
                    </w:rPr>
                    <w:t>313,13</w:t>
                  </w:r>
                  <w:r w:rsidR="00B873F0" w:rsidRPr="00643861">
                    <w:rPr>
                      <w:i/>
                    </w:rPr>
                    <w:t xml:space="preserve"> </w:t>
                  </w:r>
                  <w:r w:rsidR="007576B2" w:rsidRPr="00643861">
                    <w:rPr>
                      <w:i/>
                    </w:rPr>
                    <w:t>EUR</w:t>
                  </w:r>
                </w:p>
              </w:tc>
              <w:tc>
                <w:tcPr>
                  <w:tcW w:w="2994" w:type="dxa"/>
                </w:tcPr>
                <w:p w14:paraId="1B9BB60E" w14:textId="27D4394C" w:rsidR="007576B2" w:rsidRPr="00643861" w:rsidRDefault="00DE0A13" w:rsidP="00D4641D">
                  <w:pPr>
                    <w:jc w:val="center"/>
                    <w:rPr>
                      <w:i/>
                    </w:rPr>
                  </w:pPr>
                  <w:r w:rsidRPr="00643861">
                    <w:rPr>
                      <w:i/>
                    </w:rPr>
                    <w:t xml:space="preserve">- </w:t>
                  </w:r>
                  <w:r w:rsidR="00D4641D">
                    <w:rPr>
                      <w:i/>
                    </w:rPr>
                    <w:t xml:space="preserve">62 626 </w:t>
                  </w:r>
                  <w:r w:rsidR="00B873F0" w:rsidRPr="00643861">
                    <w:rPr>
                      <w:i/>
                    </w:rPr>
                    <w:t>EUR</w:t>
                  </w:r>
                </w:p>
              </w:tc>
            </w:tr>
            <w:tr w:rsidR="007576B2" w:rsidRPr="00643861" w14:paraId="66482EB4" w14:textId="77777777" w:rsidTr="007576B2">
              <w:tc>
                <w:tcPr>
                  <w:tcW w:w="2993" w:type="dxa"/>
                </w:tcPr>
                <w:p w14:paraId="115E7CFA" w14:textId="77777777" w:rsidR="007576B2" w:rsidRPr="00643861" w:rsidRDefault="007576B2" w:rsidP="007576B2">
                  <w:pPr>
                    <w:jc w:val="both"/>
                    <w:rPr>
                      <w:b/>
                      <w:i/>
                    </w:rPr>
                  </w:pPr>
                  <w:r w:rsidRPr="00643861">
                    <w:rPr>
                      <w:b/>
                      <w:i/>
                    </w:rPr>
                    <w:t>Celkové náklady regulácie</w:t>
                  </w:r>
                </w:p>
              </w:tc>
              <w:tc>
                <w:tcPr>
                  <w:tcW w:w="2994" w:type="dxa"/>
                </w:tcPr>
                <w:p w14:paraId="70ED497A" w14:textId="06053CEC" w:rsidR="007576B2" w:rsidRPr="00D4641D" w:rsidRDefault="00040179" w:rsidP="00D4641D">
                  <w:pPr>
                    <w:jc w:val="center"/>
                    <w:rPr>
                      <w:b/>
                      <w:i/>
                    </w:rPr>
                  </w:pPr>
                  <w:r w:rsidRPr="00D4641D">
                    <w:rPr>
                      <w:b/>
                      <w:i/>
                    </w:rPr>
                    <w:t xml:space="preserve">- </w:t>
                  </w:r>
                  <w:r w:rsidR="00D4641D" w:rsidRPr="00D4641D">
                    <w:rPr>
                      <w:b/>
                      <w:i/>
                    </w:rPr>
                    <w:t>434,15</w:t>
                  </w:r>
                  <w:r w:rsidR="00B873F0" w:rsidRPr="00D4641D">
                    <w:rPr>
                      <w:b/>
                      <w:i/>
                    </w:rPr>
                    <w:t xml:space="preserve"> </w:t>
                  </w:r>
                  <w:r w:rsidR="007576B2" w:rsidRPr="00D4641D">
                    <w:rPr>
                      <w:b/>
                      <w:i/>
                    </w:rPr>
                    <w:t>EUR</w:t>
                  </w:r>
                </w:p>
              </w:tc>
              <w:tc>
                <w:tcPr>
                  <w:tcW w:w="2994" w:type="dxa"/>
                </w:tcPr>
                <w:p w14:paraId="5A28B22C" w14:textId="1205B582" w:rsidR="007576B2" w:rsidRPr="00643861" w:rsidRDefault="00040179" w:rsidP="00D4641D">
                  <w:pPr>
                    <w:jc w:val="center"/>
                    <w:rPr>
                      <w:b/>
                      <w:i/>
                    </w:rPr>
                  </w:pPr>
                  <w:r>
                    <w:rPr>
                      <w:b/>
                      <w:i/>
                    </w:rPr>
                    <w:t xml:space="preserve">- </w:t>
                  </w:r>
                  <w:r w:rsidR="00D4641D">
                    <w:rPr>
                      <w:b/>
                      <w:i/>
                    </w:rPr>
                    <w:t xml:space="preserve">86 830 </w:t>
                  </w:r>
                  <w:r w:rsidR="007576B2" w:rsidRPr="00643861">
                    <w:rPr>
                      <w:b/>
                      <w:i/>
                    </w:rPr>
                    <w:t xml:space="preserve"> EUR</w:t>
                  </w:r>
                </w:p>
              </w:tc>
            </w:tr>
          </w:tbl>
          <w:p w14:paraId="7A349EBB" w14:textId="77777777" w:rsidR="007576B2" w:rsidRPr="00643861" w:rsidRDefault="007576B2" w:rsidP="007576B2">
            <w:pPr>
              <w:rPr>
                <w:i/>
              </w:rPr>
            </w:pPr>
          </w:p>
        </w:tc>
      </w:tr>
      <w:tr w:rsidR="007576B2" w:rsidRPr="00643861" w14:paraId="31E6F1A9" w14:textId="77777777" w:rsidTr="007576B2">
        <w:tc>
          <w:tcPr>
            <w:tcW w:w="9212" w:type="dxa"/>
            <w:shd w:val="clear" w:color="auto" w:fill="D9D9D9" w:themeFill="background1" w:themeFillShade="D9"/>
          </w:tcPr>
          <w:p w14:paraId="3D5A91E5" w14:textId="77777777" w:rsidR="007576B2" w:rsidRPr="00643861" w:rsidRDefault="007576B2" w:rsidP="007576B2">
            <w:pPr>
              <w:rPr>
                <w:b/>
              </w:rPr>
            </w:pPr>
            <w:r w:rsidRPr="00643861">
              <w:rPr>
                <w:b/>
              </w:rPr>
              <w:t>3.4 Konkurencieschopnosť a správanie sa podnikov na trhu</w:t>
            </w:r>
          </w:p>
          <w:p w14:paraId="569BCBD1" w14:textId="77777777" w:rsidR="007576B2" w:rsidRPr="00643861" w:rsidRDefault="007576B2" w:rsidP="007576B2">
            <w:r w:rsidRPr="00643861">
              <w:rPr>
                <w:b/>
              </w:rPr>
              <w:t xml:space="preserve">       </w:t>
            </w:r>
            <w:r w:rsidRPr="00643861">
              <w:t xml:space="preserve">- </w:t>
            </w:r>
            <w:r w:rsidRPr="00643861">
              <w:rPr>
                <w:b/>
              </w:rPr>
              <w:t>z toho MSP</w:t>
            </w:r>
          </w:p>
        </w:tc>
      </w:tr>
      <w:tr w:rsidR="007576B2" w:rsidRPr="00643861" w14:paraId="0D68439A" w14:textId="77777777" w:rsidTr="007576B2">
        <w:tc>
          <w:tcPr>
            <w:tcW w:w="9212" w:type="dxa"/>
            <w:tcBorders>
              <w:bottom w:val="single" w:sz="4" w:space="0" w:color="auto"/>
            </w:tcBorders>
          </w:tcPr>
          <w:p w14:paraId="03D1A6FB" w14:textId="3E50C01D" w:rsidR="007576B2" w:rsidRPr="00643861" w:rsidRDefault="007576B2" w:rsidP="00D5364C">
            <w:pPr>
              <w:jc w:val="both"/>
              <w:rPr>
                <w:i/>
              </w:rPr>
            </w:pPr>
            <w:r w:rsidRPr="00643861">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w:t>
            </w:r>
            <w:r w:rsidR="00D5364C" w:rsidRPr="00643861">
              <w:rPr>
                <w:i/>
              </w:rPr>
              <w:t> </w:t>
            </w:r>
            <w:r w:rsidRPr="00643861">
              <w:rPr>
                <w:i/>
              </w:rPr>
              <w:t>porovnateľnej situácii rôzne (špeciálne režimy pre mikro, malé a stredné podniky tzv.</w:t>
            </w:r>
            <w:r w:rsidR="00D5364C" w:rsidRPr="00643861">
              <w:rPr>
                <w:i/>
              </w:rPr>
              <w:t> </w:t>
            </w:r>
            <w:r w:rsidRPr="00643861">
              <w:rPr>
                <w:i/>
              </w:rPr>
              <w:t>MSP)? Ak áno, popíšte.</w:t>
            </w:r>
          </w:p>
          <w:p w14:paraId="1CFFA2B5" w14:textId="77777777" w:rsidR="007576B2" w:rsidRPr="00643861" w:rsidRDefault="007576B2" w:rsidP="007576B2">
            <w:pPr>
              <w:jc w:val="both"/>
              <w:rPr>
                <w:i/>
              </w:rPr>
            </w:pPr>
            <w:r w:rsidRPr="00643861">
              <w:rPr>
                <w:i/>
              </w:rPr>
              <w:t>Aký vplyv bude mať navrhovaná zmena na obchodné bariéry? Bude mať vplyv na vyvolanie cezhraničných investícií (príliv /odliv zahraničných investícií resp. uplatnenie slovenských podnikov na zahraničných trhoch)? Ak áno, popíšte.</w:t>
            </w:r>
          </w:p>
          <w:p w14:paraId="1611C416" w14:textId="77777777" w:rsidR="007576B2" w:rsidRPr="00643861" w:rsidRDefault="007576B2" w:rsidP="007576B2">
            <w:pPr>
              <w:jc w:val="both"/>
              <w:rPr>
                <w:i/>
              </w:rPr>
            </w:pPr>
            <w:r w:rsidRPr="00643861">
              <w:rPr>
                <w:i/>
              </w:rPr>
              <w:t>Ako ovplyvní cenu alebo dostupnosť základných zdrojov (suroviny, mechanizmy, pracovná sila, energie atď.)?</w:t>
            </w:r>
          </w:p>
          <w:p w14:paraId="429C3AA9" w14:textId="77777777" w:rsidR="007576B2" w:rsidRPr="00643861" w:rsidRDefault="007576B2" w:rsidP="007576B2">
            <w:pPr>
              <w:jc w:val="both"/>
              <w:rPr>
                <w:i/>
              </w:rPr>
            </w:pPr>
            <w:r w:rsidRPr="00643861">
              <w:rPr>
                <w:i/>
              </w:rPr>
              <w:t>Ovplyvňuje prístup k financiám? Ak áno, ako?</w:t>
            </w:r>
          </w:p>
          <w:p w14:paraId="7E8347D9" w14:textId="77777777" w:rsidR="007576B2" w:rsidRPr="00643861" w:rsidRDefault="007576B2" w:rsidP="007576B2">
            <w:pPr>
              <w:jc w:val="both"/>
              <w:rPr>
                <w:i/>
              </w:rPr>
            </w:pPr>
          </w:p>
        </w:tc>
      </w:tr>
      <w:tr w:rsidR="007576B2" w:rsidRPr="00643861" w14:paraId="25241E3D" w14:textId="77777777" w:rsidTr="007576B2">
        <w:trPr>
          <w:trHeight w:val="1282"/>
        </w:trPr>
        <w:tc>
          <w:tcPr>
            <w:tcW w:w="9212" w:type="dxa"/>
            <w:tcBorders>
              <w:bottom w:val="single" w:sz="4" w:space="0" w:color="auto"/>
            </w:tcBorders>
          </w:tcPr>
          <w:p w14:paraId="41E33EF6" w14:textId="0E0288BF" w:rsidR="007576B2" w:rsidRPr="00643861" w:rsidRDefault="00643861" w:rsidP="007576B2">
            <w:pPr>
              <w:jc w:val="both"/>
            </w:pPr>
            <w:r>
              <w:t>Nie, nedochádza k vytvoreniu bariér pre vstup na trh</w:t>
            </w:r>
            <w:r w:rsidR="00162F4D">
              <w:t>. N</w:t>
            </w:r>
            <w:r>
              <w:t>avrhovaná zmena nebude mať vplyv na obchodné bariéry, neovplyvní cenu alebo dostupnosť základných zdrojov a neovplyvňuje prístup k financiám.</w:t>
            </w:r>
          </w:p>
          <w:p w14:paraId="45F33C02" w14:textId="77777777" w:rsidR="007576B2" w:rsidRPr="00643861" w:rsidRDefault="007576B2" w:rsidP="007576B2">
            <w:pPr>
              <w:jc w:val="both"/>
            </w:pPr>
          </w:p>
          <w:p w14:paraId="1F51EDFF" w14:textId="77777777" w:rsidR="007576B2" w:rsidRPr="00643861" w:rsidRDefault="007576B2" w:rsidP="007576B2">
            <w:pPr>
              <w:rPr>
                <w:i/>
              </w:rPr>
            </w:pPr>
          </w:p>
        </w:tc>
      </w:tr>
      <w:tr w:rsidR="007576B2" w:rsidRPr="00643861" w14:paraId="49205CA5" w14:textId="77777777" w:rsidTr="007576B2">
        <w:tc>
          <w:tcPr>
            <w:tcW w:w="9212" w:type="dxa"/>
            <w:shd w:val="clear" w:color="auto" w:fill="D9D9D9" w:themeFill="background1" w:themeFillShade="D9"/>
          </w:tcPr>
          <w:p w14:paraId="75A8D263" w14:textId="77777777" w:rsidR="007576B2" w:rsidRPr="00643861" w:rsidRDefault="007576B2" w:rsidP="007576B2">
            <w:pPr>
              <w:rPr>
                <w:b/>
              </w:rPr>
            </w:pPr>
            <w:r w:rsidRPr="00643861">
              <w:rPr>
                <w:b/>
              </w:rPr>
              <w:t xml:space="preserve">3.5 Inovácie </w:t>
            </w:r>
          </w:p>
          <w:p w14:paraId="689C2410" w14:textId="77777777" w:rsidR="007576B2" w:rsidRPr="00643861" w:rsidRDefault="007576B2" w:rsidP="007576B2">
            <w:pPr>
              <w:rPr>
                <w:b/>
              </w:rPr>
            </w:pPr>
            <w:r w:rsidRPr="00643861">
              <w:t xml:space="preserve">       - </w:t>
            </w:r>
            <w:r w:rsidRPr="00643861">
              <w:rPr>
                <w:b/>
              </w:rPr>
              <w:t>z toho MSP</w:t>
            </w:r>
          </w:p>
        </w:tc>
      </w:tr>
      <w:tr w:rsidR="007576B2" w:rsidRPr="00643861" w14:paraId="1F2DC987" w14:textId="77777777" w:rsidTr="007576B2">
        <w:tc>
          <w:tcPr>
            <w:tcW w:w="9212" w:type="dxa"/>
          </w:tcPr>
          <w:p w14:paraId="798EEFD1" w14:textId="77777777" w:rsidR="007576B2" w:rsidRPr="00643861" w:rsidRDefault="007576B2" w:rsidP="007576B2">
            <w:pPr>
              <w:jc w:val="both"/>
              <w:rPr>
                <w:i/>
              </w:rPr>
            </w:pPr>
            <w:r w:rsidRPr="00643861">
              <w:rPr>
                <w:i/>
              </w:rPr>
              <w:t>Uveďte, ako podporuje navrhovaná zmena inovácie.</w:t>
            </w:r>
          </w:p>
          <w:p w14:paraId="7B9328DF" w14:textId="56A19728" w:rsidR="007576B2" w:rsidRPr="00643861" w:rsidRDefault="007576B2" w:rsidP="007576B2">
            <w:pPr>
              <w:jc w:val="both"/>
              <w:rPr>
                <w:i/>
              </w:rPr>
            </w:pPr>
            <w:r w:rsidRPr="00643861">
              <w:rPr>
                <w:i/>
              </w:rPr>
              <w:t>Zjednodušuje uvedenie alebo rozšírenie nových výrobných metód, technológií a výrobkov na</w:t>
            </w:r>
            <w:r w:rsidR="000C1754" w:rsidRPr="00643861">
              <w:rPr>
                <w:i/>
              </w:rPr>
              <w:t> </w:t>
            </w:r>
            <w:r w:rsidRPr="00643861">
              <w:rPr>
                <w:i/>
              </w:rPr>
              <w:t>trh?</w:t>
            </w:r>
          </w:p>
          <w:p w14:paraId="5793EE45" w14:textId="39803C9D" w:rsidR="007576B2" w:rsidRPr="00643861" w:rsidRDefault="007576B2" w:rsidP="007576B2">
            <w:pPr>
              <w:jc w:val="both"/>
              <w:rPr>
                <w:i/>
              </w:rPr>
            </w:pPr>
            <w:r w:rsidRPr="00643861">
              <w:rPr>
                <w:i/>
              </w:rPr>
              <w:t>Uveďte, ako vplýva navrhovaná zmena na jednotlivé práva duševného vlastníctva (napr.</w:t>
            </w:r>
            <w:r w:rsidR="000C1754" w:rsidRPr="00643861">
              <w:rPr>
                <w:i/>
              </w:rPr>
              <w:t> </w:t>
            </w:r>
            <w:r w:rsidRPr="00643861">
              <w:rPr>
                <w:i/>
              </w:rPr>
              <w:t>patenty, ochranné známky, autorské práva, vlastníctvo know-how).</w:t>
            </w:r>
          </w:p>
          <w:p w14:paraId="61289F43" w14:textId="77777777" w:rsidR="007576B2" w:rsidRPr="00643861" w:rsidRDefault="007576B2" w:rsidP="007576B2">
            <w:pPr>
              <w:jc w:val="both"/>
              <w:rPr>
                <w:i/>
              </w:rPr>
            </w:pPr>
            <w:r w:rsidRPr="00643861">
              <w:rPr>
                <w:i/>
              </w:rPr>
              <w:t>Podporuje vyššiu efektivitu výroby/využívania zdrojov? Ak áno, ako?</w:t>
            </w:r>
          </w:p>
          <w:p w14:paraId="6E72B124" w14:textId="77777777" w:rsidR="007576B2" w:rsidRPr="00643861" w:rsidRDefault="007576B2" w:rsidP="007576B2">
            <w:pPr>
              <w:jc w:val="both"/>
              <w:rPr>
                <w:i/>
              </w:rPr>
            </w:pPr>
            <w:r w:rsidRPr="00643861">
              <w:rPr>
                <w:i/>
              </w:rPr>
              <w:t>Vytvorí zmena nové pracovné miesta pre zamestnancov výskumu a vývoja v SR?</w:t>
            </w:r>
          </w:p>
          <w:p w14:paraId="4102B02F" w14:textId="77777777" w:rsidR="007576B2" w:rsidRPr="00643861" w:rsidRDefault="007576B2" w:rsidP="007576B2"/>
        </w:tc>
      </w:tr>
      <w:tr w:rsidR="007576B2" w:rsidRPr="00643861" w14:paraId="19C89B39" w14:textId="77777777" w:rsidTr="007576B2">
        <w:trPr>
          <w:trHeight w:val="800"/>
        </w:trPr>
        <w:tc>
          <w:tcPr>
            <w:tcW w:w="9212" w:type="dxa"/>
          </w:tcPr>
          <w:p w14:paraId="3A98FA56" w14:textId="77777777" w:rsidR="007576B2" w:rsidRPr="00643861" w:rsidRDefault="007576B2" w:rsidP="00432804">
            <w:pPr>
              <w:jc w:val="both"/>
            </w:pPr>
            <w:r w:rsidRPr="00643861">
              <w:t xml:space="preserve">Návrh </w:t>
            </w:r>
            <w:r w:rsidR="00432804" w:rsidRPr="00643861">
              <w:t xml:space="preserve">nariadenia </w:t>
            </w:r>
            <w:r w:rsidRPr="00643861">
              <w:t>nemá vplyv na inovácie podnikateľov.</w:t>
            </w:r>
          </w:p>
        </w:tc>
      </w:tr>
    </w:tbl>
    <w:p w14:paraId="3FF7955A" w14:textId="77777777" w:rsidR="007576B2" w:rsidRPr="00643861" w:rsidRDefault="007576B2" w:rsidP="007576B2">
      <w:pPr>
        <w:jc w:val="both"/>
      </w:pPr>
    </w:p>
    <w:p w14:paraId="0EBC864C" w14:textId="2169D780" w:rsidR="004854EF" w:rsidRPr="00796AB5" w:rsidRDefault="00796AB5" w:rsidP="00796AB5">
      <w:pPr>
        <w:ind w:right="-2"/>
        <w:jc w:val="center"/>
        <w:rPr>
          <w:b/>
          <w:bCs/>
          <w:szCs w:val="22"/>
          <w:u w:val="single"/>
        </w:rPr>
      </w:pPr>
      <w:r w:rsidRPr="00796AB5">
        <w:rPr>
          <w:b/>
          <w:bCs/>
          <w:szCs w:val="22"/>
          <w:u w:val="single"/>
        </w:rPr>
        <w:t>Stanovisko Stálej pracovnej komisii na posudzovanie vybraných vplyvov</w:t>
      </w:r>
    </w:p>
    <w:p w14:paraId="747D1241" w14:textId="77777777" w:rsidR="00796AB5" w:rsidRPr="00796AB5" w:rsidRDefault="00796AB5" w:rsidP="004854EF">
      <w:pPr>
        <w:ind w:right="-2"/>
        <w:jc w:val="both"/>
        <w:rPr>
          <w:b/>
          <w:bCs/>
        </w:rPr>
      </w:pPr>
    </w:p>
    <w:p w14:paraId="57326CA4" w14:textId="77777777" w:rsidR="00796AB5" w:rsidRPr="00796AB5" w:rsidRDefault="00796AB5" w:rsidP="00796AB5">
      <w:pPr>
        <w:tabs>
          <w:tab w:val="center" w:pos="6379"/>
        </w:tabs>
        <w:ind w:right="-2"/>
        <w:jc w:val="both"/>
        <w:rPr>
          <w:bCs/>
          <w:szCs w:val="22"/>
        </w:rPr>
      </w:pPr>
      <w:r w:rsidRPr="00796AB5">
        <w:rPr>
          <w:b/>
          <w:bCs/>
        </w:rPr>
        <w:t>II. P</w:t>
      </w:r>
      <w:r w:rsidRPr="00796AB5">
        <w:rPr>
          <w:b/>
        </w:rPr>
        <w:t>r</w:t>
      </w:r>
      <w:r w:rsidRPr="00796AB5">
        <w:rPr>
          <w:b/>
          <w:bCs/>
        </w:rPr>
        <w:t>ipomienky a návrhy zm</w:t>
      </w:r>
      <w:r w:rsidRPr="00796AB5">
        <w:rPr>
          <w:b/>
        </w:rPr>
        <w:t>ie</w:t>
      </w:r>
      <w:r w:rsidRPr="00796AB5">
        <w:rPr>
          <w:b/>
          <w:bCs/>
        </w:rPr>
        <w:t xml:space="preserve">n: </w:t>
      </w:r>
      <w:r w:rsidRPr="00796AB5">
        <w:rPr>
          <w:bCs/>
          <w:szCs w:val="22"/>
        </w:rPr>
        <w:t>Komisia uplatňuje k materiálu nasledovné pripomienky a odporúčania:</w:t>
      </w:r>
    </w:p>
    <w:p w14:paraId="2242ACD8" w14:textId="77777777" w:rsidR="00356937" w:rsidRDefault="00356937" w:rsidP="00796AB5">
      <w:pPr>
        <w:tabs>
          <w:tab w:val="center" w:pos="6379"/>
        </w:tabs>
        <w:ind w:right="-2"/>
        <w:jc w:val="both"/>
        <w:rPr>
          <w:b/>
          <w:bCs/>
          <w:szCs w:val="22"/>
        </w:rPr>
      </w:pPr>
    </w:p>
    <w:p w14:paraId="4CD9C127" w14:textId="77777777" w:rsidR="00796AB5" w:rsidRPr="00796AB5" w:rsidRDefault="00796AB5" w:rsidP="00796AB5">
      <w:pPr>
        <w:tabs>
          <w:tab w:val="center" w:pos="6379"/>
        </w:tabs>
        <w:ind w:right="-2"/>
        <w:jc w:val="both"/>
        <w:rPr>
          <w:b/>
          <w:bCs/>
          <w:szCs w:val="22"/>
        </w:rPr>
      </w:pPr>
      <w:r w:rsidRPr="00796AB5">
        <w:rPr>
          <w:b/>
          <w:bCs/>
          <w:szCs w:val="22"/>
        </w:rPr>
        <w:t>K vplyvom na životné prostredie</w:t>
      </w:r>
    </w:p>
    <w:p w14:paraId="58D3C531" w14:textId="77777777" w:rsidR="00796AB5" w:rsidRPr="00796AB5" w:rsidRDefault="00796AB5" w:rsidP="00796AB5">
      <w:pPr>
        <w:tabs>
          <w:tab w:val="center" w:pos="6379"/>
        </w:tabs>
        <w:ind w:right="-2"/>
        <w:jc w:val="both"/>
        <w:rPr>
          <w:bCs/>
          <w:szCs w:val="22"/>
        </w:rPr>
      </w:pPr>
      <w:r w:rsidRPr="00796AB5">
        <w:rPr>
          <w:bCs/>
          <w:szCs w:val="22"/>
        </w:rPr>
        <w:t xml:space="preserve">Komisia má za to, že predkladaný materiál má vplyvy na životné prostredie. Sám predkladateľ uvádza, že tento návrh je súčasťou druhého balíka mobility, ktorého zámerom je bojovať proti zmene klímy. Je možné očakávať zníženie nákladov na emisie CO2, ako aj </w:t>
      </w:r>
      <w:r w:rsidRPr="00796AB5">
        <w:rPr>
          <w:bCs/>
          <w:szCs w:val="22"/>
        </w:rPr>
        <w:lastRenderedPageBreak/>
        <w:t>ochranu ovzdušia. Z tohto dôvodu žiada Komisia prehodnotiť vplyvy na životné prostredie a vypracovať príslušnú analýzu.</w:t>
      </w:r>
    </w:p>
    <w:p w14:paraId="4F40C257" w14:textId="77777777" w:rsidR="00796AB5" w:rsidRPr="00796AB5" w:rsidRDefault="00796AB5" w:rsidP="00796AB5">
      <w:pPr>
        <w:tabs>
          <w:tab w:val="center" w:pos="6379"/>
        </w:tabs>
        <w:ind w:right="-2"/>
        <w:jc w:val="both"/>
        <w:rPr>
          <w:b/>
          <w:bCs/>
          <w:szCs w:val="22"/>
        </w:rPr>
      </w:pPr>
    </w:p>
    <w:p w14:paraId="026C5FC5" w14:textId="77777777" w:rsidR="00796AB5" w:rsidRPr="00796AB5" w:rsidRDefault="00796AB5" w:rsidP="00796AB5">
      <w:pPr>
        <w:ind w:right="-2"/>
        <w:jc w:val="both"/>
        <w:rPr>
          <w:bCs/>
        </w:rPr>
      </w:pPr>
      <w:r w:rsidRPr="00796AB5">
        <w:rPr>
          <w:b/>
          <w:bCs/>
        </w:rPr>
        <w:t xml:space="preserve">III. Záver: </w:t>
      </w:r>
      <w:r w:rsidRPr="00796AB5">
        <w:rPr>
          <w:bCs/>
        </w:rPr>
        <w:t xml:space="preserve">Stála pracovná komisia na posudzovanie vybraných vplyvov vyjadruje </w:t>
      </w:r>
    </w:p>
    <w:p w14:paraId="4E7FEC1D" w14:textId="77777777" w:rsidR="00796AB5" w:rsidRPr="00796AB5" w:rsidRDefault="00796AB5" w:rsidP="00796AB5">
      <w:pPr>
        <w:tabs>
          <w:tab w:val="center" w:pos="6379"/>
        </w:tabs>
        <w:jc w:val="center"/>
        <w:rPr>
          <w:b/>
          <w:bCs/>
          <w:szCs w:val="22"/>
        </w:rPr>
      </w:pPr>
      <w:r w:rsidRPr="00796AB5">
        <w:rPr>
          <w:b/>
          <w:bCs/>
          <w:szCs w:val="22"/>
        </w:rPr>
        <w:t>súhlasné stanovisko s návrhom na dopracovanie</w:t>
      </w:r>
    </w:p>
    <w:p w14:paraId="1C920382" w14:textId="77777777" w:rsidR="00796AB5" w:rsidRPr="00796AB5" w:rsidRDefault="00796AB5" w:rsidP="00796AB5">
      <w:pPr>
        <w:tabs>
          <w:tab w:val="center" w:pos="6379"/>
        </w:tabs>
        <w:jc w:val="both"/>
        <w:rPr>
          <w:bCs/>
          <w:szCs w:val="22"/>
        </w:rPr>
      </w:pPr>
    </w:p>
    <w:p w14:paraId="34963B6B" w14:textId="77777777" w:rsidR="00796AB5" w:rsidRPr="00796AB5" w:rsidRDefault="00796AB5" w:rsidP="00796AB5">
      <w:pPr>
        <w:tabs>
          <w:tab w:val="center" w:pos="6379"/>
        </w:tabs>
        <w:jc w:val="both"/>
        <w:rPr>
          <w:bCs/>
        </w:rPr>
      </w:pPr>
      <w:r w:rsidRPr="00796AB5">
        <w:rPr>
          <w:bCs/>
        </w:rPr>
        <w:t>s materiálom predloženým na predbežné pripomienkové konanie s odporúčaním na jeho dopracovanie podľa pripomienok v bode II.</w:t>
      </w:r>
    </w:p>
    <w:p w14:paraId="1808BA7A" w14:textId="77777777" w:rsidR="00600091" w:rsidRPr="00643861" w:rsidRDefault="00600091"/>
    <w:p w14:paraId="5E03FEAB" w14:textId="08510B14" w:rsidR="00600091" w:rsidRPr="00356937" w:rsidRDefault="00356937" w:rsidP="00600091">
      <w:pPr>
        <w:rPr>
          <w:i/>
        </w:rPr>
      </w:pPr>
      <w:r w:rsidRPr="00356937">
        <w:rPr>
          <w:i/>
        </w:rPr>
        <w:t>Vyhodnotenie pripomienky:</w:t>
      </w:r>
    </w:p>
    <w:p w14:paraId="2822A72E" w14:textId="7760FA9B" w:rsidR="00356937" w:rsidRDefault="00356937" w:rsidP="00356937">
      <w:pPr>
        <w:jc w:val="both"/>
        <w:rPr>
          <w:i/>
          <w:color w:val="000000"/>
          <w:u w:color="000000"/>
          <w:bdr w:val="nil"/>
        </w:rPr>
      </w:pPr>
      <w:r w:rsidRPr="00356937">
        <w:rPr>
          <w:i/>
          <w:color w:val="000000"/>
          <w:u w:color="000000"/>
          <w:bdr w:val="nil"/>
        </w:rPr>
        <w:t xml:space="preserve">V predbežnom stanovisku predpokladáme, že tento návrh nariadenia nebude mať vplyv na životné prostredie. Povoľovanie autobusových liniek je v súčasnosti bez obmedzení. Určité limity sú iba v kolidovaní s linkami vnútroštátnej dopravy, kde v určitých prípadoch sa vyžaduje súhlas dopravných správnych orgánov v územných obvodoch na trase autobusovej linky, ktorá je prevádzkovaná prostredníctvom zmluvy o službách vo verejnom záujme. Čiže zásadný vplyv na individuálnu dopravu tento návrh nariadenia podľa nášho stanoviska mať nebude a z tohto dôvodu ani neočakávame vplyv na životné prostredie, či už negatívny alebo pozitívny. </w:t>
      </w:r>
      <w:r>
        <w:rPr>
          <w:i/>
          <w:color w:val="000000"/>
          <w:u w:color="000000"/>
          <w:bdr w:val="nil"/>
        </w:rPr>
        <w:t xml:space="preserve">V tomto znení sme doplnili poznámku v tabuľke pod vplyvy na vybraté oblasti. </w:t>
      </w:r>
    </w:p>
    <w:p w14:paraId="50423206" w14:textId="1685F93B" w:rsidR="00356937" w:rsidRPr="00356937" w:rsidRDefault="00356937" w:rsidP="00356937">
      <w:pPr>
        <w:jc w:val="both"/>
        <w:rPr>
          <w:i/>
        </w:rPr>
      </w:pPr>
      <w:r>
        <w:rPr>
          <w:i/>
          <w:color w:val="000000"/>
          <w:u w:color="000000"/>
          <w:bdr w:val="nil"/>
        </w:rPr>
        <w:t>Pripomienka čiastočne akceptovaná.</w:t>
      </w:r>
    </w:p>
    <w:p w14:paraId="5A4DC774" w14:textId="77777777" w:rsidR="00600091" w:rsidRPr="00643861" w:rsidRDefault="00600091" w:rsidP="00600091"/>
    <w:p w14:paraId="26FFA415" w14:textId="77777777" w:rsidR="00600091" w:rsidRPr="00643861" w:rsidRDefault="00600091" w:rsidP="00600091">
      <w:r w:rsidRPr="00643861">
        <w:t>Riadne predbežné stanovisko Slovenskej republiky schválené ministrom dopravy a výstavby :</w:t>
      </w:r>
    </w:p>
    <w:p w14:paraId="38467F2A" w14:textId="77777777" w:rsidR="00600091" w:rsidRPr="00643861" w:rsidRDefault="00600091" w:rsidP="00600091">
      <w:pPr>
        <w:rPr>
          <w:rStyle w:val="Siln"/>
        </w:rPr>
      </w:pPr>
    </w:p>
    <w:p w14:paraId="03893751" w14:textId="77777777" w:rsidR="00600091" w:rsidRPr="00643861" w:rsidRDefault="00600091" w:rsidP="00600091">
      <w:pPr>
        <w:rPr>
          <w:rStyle w:val="Siln"/>
        </w:rPr>
      </w:pPr>
    </w:p>
    <w:p w14:paraId="421BD5B9" w14:textId="77777777" w:rsidR="00600091" w:rsidRPr="00643861" w:rsidRDefault="00600091" w:rsidP="00600091">
      <w:pPr>
        <w:jc w:val="center"/>
        <w:rPr>
          <w:bCs/>
        </w:rPr>
      </w:pPr>
      <w:r w:rsidRPr="00643861">
        <w:rPr>
          <w:bCs/>
        </w:rPr>
        <w:t xml:space="preserve">Arpád Érsek, </w:t>
      </w:r>
    </w:p>
    <w:p w14:paraId="40E2F5FF" w14:textId="77777777" w:rsidR="00600091" w:rsidRPr="00FE0EE1" w:rsidRDefault="00600091" w:rsidP="00600091">
      <w:pPr>
        <w:jc w:val="center"/>
      </w:pPr>
      <w:r w:rsidRPr="00643861">
        <w:rPr>
          <w:bCs/>
        </w:rPr>
        <w:t>minister dopravy a výstavby SR</w:t>
      </w:r>
    </w:p>
    <w:p w14:paraId="21E69C1C" w14:textId="77777777" w:rsidR="00600091" w:rsidRPr="00FE0EE1" w:rsidRDefault="00600091"/>
    <w:sectPr w:rsidR="00600091" w:rsidRPr="00FE0EE1" w:rsidSect="000B0D1A">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60AEE" w14:textId="77777777" w:rsidR="0015301A" w:rsidRDefault="0015301A" w:rsidP="00EF3934">
      <w:r>
        <w:separator/>
      </w:r>
    </w:p>
  </w:endnote>
  <w:endnote w:type="continuationSeparator" w:id="0">
    <w:p w14:paraId="33DFC839" w14:textId="77777777" w:rsidR="0015301A" w:rsidRDefault="0015301A" w:rsidP="00EF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880008"/>
      <w:docPartObj>
        <w:docPartGallery w:val="Page Numbers (Bottom of Page)"/>
        <w:docPartUnique/>
      </w:docPartObj>
    </w:sdtPr>
    <w:sdtEndPr/>
    <w:sdtContent>
      <w:p w14:paraId="6F2BB8C5" w14:textId="030BBB35" w:rsidR="00765A7C" w:rsidRDefault="00765A7C">
        <w:pPr>
          <w:pStyle w:val="Pta"/>
          <w:jc w:val="center"/>
        </w:pPr>
        <w:r>
          <w:fldChar w:fldCharType="begin"/>
        </w:r>
        <w:r>
          <w:instrText>PAGE   \* MERGEFORMAT</w:instrText>
        </w:r>
        <w:r>
          <w:fldChar w:fldCharType="separate"/>
        </w:r>
        <w:r w:rsidR="005F09BF">
          <w:rPr>
            <w:noProof/>
          </w:rPr>
          <w:t>2</w:t>
        </w:r>
        <w:r>
          <w:fldChar w:fldCharType="end"/>
        </w:r>
      </w:p>
    </w:sdtContent>
  </w:sdt>
  <w:p w14:paraId="7B5C45CA" w14:textId="77777777" w:rsidR="00765A7C" w:rsidRDefault="00765A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7F760" w14:textId="77777777" w:rsidR="0015301A" w:rsidRDefault="0015301A" w:rsidP="00EF3934">
      <w:r>
        <w:separator/>
      </w:r>
    </w:p>
  </w:footnote>
  <w:footnote w:type="continuationSeparator" w:id="0">
    <w:p w14:paraId="44E33749" w14:textId="77777777" w:rsidR="0015301A" w:rsidRDefault="0015301A" w:rsidP="00EF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slovanzoznam4"/>
      <w:lvlText w:val="%1."/>
      <w:lvlJc w:val="left"/>
      <w:pPr>
        <w:tabs>
          <w:tab w:val="num" w:pos="1209"/>
        </w:tabs>
        <w:ind w:left="1209" w:hanging="360"/>
      </w:pPr>
    </w:lvl>
  </w:abstractNum>
  <w:abstractNum w:abstractNumId="1" w15:restartNumberingAfterBreak="0">
    <w:nsid w:val="FFFFFF83"/>
    <w:multiLevelType w:val="singleLevel"/>
    <w:tmpl w:val="B35A2B56"/>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70F6D7F"/>
    <w:multiLevelType w:val="hybridMultilevel"/>
    <w:tmpl w:val="0696FF4A"/>
    <w:lvl w:ilvl="0" w:tplc="041B0001">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3" w15:restartNumberingAfterBreak="0">
    <w:nsid w:val="0F891AD4"/>
    <w:multiLevelType w:val="hybridMultilevel"/>
    <w:tmpl w:val="C706B238"/>
    <w:lvl w:ilvl="0" w:tplc="0A607712">
      <w:start w:val="1"/>
      <w:numFmt w:val="bullet"/>
      <w:lvlText w:val=""/>
      <w:lvlJc w:val="left"/>
      <w:pPr>
        <w:ind w:left="4755" w:hanging="360"/>
      </w:pPr>
      <w:rPr>
        <w:rFonts w:ascii="Symbol" w:hAnsi="Symbol" w:hint="default"/>
      </w:rPr>
    </w:lvl>
    <w:lvl w:ilvl="1" w:tplc="041B0003">
      <w:start w:val="1"/>
      <w:numFmt w:val="bullet"/>
      <w:lvlText w:val="o"/>
      <w:lvlJc w:val="left"/>
      <w:pPr>
        <w:ind w:left="5475" w:hanging="360"/>
      </w:pPr>
      <w:rPr>
        <w:rFonts w:ascii="Courier New" w:hAnsi="Courier New" w:cs="Times New Roman" w:hint="default"/>
      </w:rPr>
    </w:lvl>
    <w:lvl w:ilvl="2" w:tplc="041B0005">
      <w:start w:val="1"/>
      <w:numFmt w:val="bullet"/>
      <w:lvlText w:val=""/>
      <w:lvlJc w:val="left"/>
      <w:pPr>
        <w:ind w:left="6195" w:hanging="360"/>
      </w:pPr>
      <w:rPr>
        <w:rFonts w:ascii="Wingdings" w:hAnsi="Wingdings" w:hint="default"/>
      </w:rPr>
    </w:lvl>
    <w:lvl w:ilvl="3" w:tplc="041B0001">
      <w:start w:val="1"/>
      <w:numFmt w:val="bullet"/>
      <w:lvlText w:val=""/>
      <w:lvlJc w:val="left"/>
      <w:pPr>
        <w:ind w:left="6915" w:hanging="360"/>
      </w:pPr>
      <w:rPr>
        <w:rFonts w:ascii="Symbol" w:hAnsi="Symbol" w:hint="default"/>
      </w:rPr>
    </w:lvl>
    <w:lvl w:ilvl="4" w:tplc="041B0003">
      <w:start w:val="1"/>
      <w:numFmt w:val="bullet"/>
      <w:lvlText w:val="o"/>
      <w:lvlJc w:val="left"/>
      <w:pPr>
        <w:ind w:left="7635" w:hanging="360"/>
      </w:pPr>
      <w:rPr>
        <w:rFonts w:ascii="Courier New" w:hAnsi="Courier New" w:cs="Times New Roman" w:hint="default"/>
      </w:rPr>
    </w:lvl>
    <w:lvl w:ilvl="5" w:tplc="041B0005">
      <w:start w:val="1"/>
      <w:numFmt w:val="bullet"/>
      <w:lvlText w:val=""/>
      <w:lvlJc w:val="left"/>
      <w:pPr>
        <w:ind w:left="8355" w:hanging="360"/>
      </w:pPr>
      <w:rPr>
        <w:rFonts w:ascii="Wingdings" w:hAnsi="Wingdings" w:hint="default"/>
      </w:rPr>
    </w:lvl>
    <w:lvl w:ilvl="6" w:tplc="041B0001">
      <w:start w:val="1"/>
      <w:numFmt w:val="bullet"/>
      <w:lvlText w:val=""/>
      <w:lvlJc w:val="left"/>
      <w:pPr>
        <w:ind w:left="9075" w:hanging="360"/>
      </w:pPr>
      <w:rPr>
        <w:rFonts w:ascii="Symbol" w:hAnsi="Symbol" w:hint="default"/>
      </w:rPr>
    </w:lvl>
    <w:lvl w:ilvl="7" w:tplc="041B0003">
      <w:start w:val="1"/>
      <w:numFmt w:val="bullet"/>
      <w:lvlText w:val="o"/>
      <w:lvlJc w:val="left"/>
      <w:pPr>
        <w:ind w:left="9795" w:hanging="360"/>
      </w:pPr>
      <w:rPr>
        <w:rFonts w:ascii="Courier New" w:hAnsi="Courier New" w:cs="Times New Roman" w:hint="default"/>
      </w:rPr>
    </w:lvl>
    <w:lvl w:ilvl="8" w:tplc="041B0005">
      <w:start w:val="1"/>
      <w:numFmt w:val="bullet"/>
      <w:lvlText w:val=""/>
      <w:lvlJc w:val="left"/>
      <w:pPr>
        <w:ind w:left="10515" w:hanging="360"/>
      </w:pPr>
      <w:rPr>
        <w:rFonts w:ascii="Wingdings" w:hAnsi="Wingdings" w:hint="default"/>
      </w:rPr>
    </w:lvl>
  </w:abstractNum>
  <w:abstractNum w:abstractNumId="4" w15:restartNumberingAfterBreak="0">
    <w:nsid w:val="12DF3B6E"/>
    <w:multiLevelType w:val="hybridMultilevel"/>
    <w:tmpl w:val="6A36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A1D32"/>
    <w:multiLevelType w:val="hybridMultilevel"/>
    <w:tmpl w:val="558C5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511CC"/>
    <w:multiLevelType w:val="hybridMultilevel"/>
    <w:tmpl w:val="D1EAA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E4FB0"/>
    <w:multiLevelType w:val="hybridMultilevel"/>
    <w:tmpl w:val="C69037F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15:restartNumberingAfterBreak="0">
    <w:nsid w:val="2C6305A5"/>
    <w:multiLevelType w:val="hybridMultilevel"/>
    <w:tmpl w:val="7BDC4D0E"/>
    <w:lvl w:ilvl="0" w:tplc="041B0017">
      <w:start w:val="1"/>
      <w:numFmt w:val="lowerLetter"/>
      <w:lvlText w:val="%1)"/>
      <w:lvlJc w:val="left"/>
      <w:pPr>
        <w:ind w:left="720" w:hanging="360"/>
      </w:pPr>
      <w:rPr>
        <w:rFonts w:hint="default"/>
      </w:rPr>
    </w:lvl>
    <w:lvl w:ilvl="1" w:tplc="971CA2AA">
      <w:start w:val="1"/>
      <w:numFmt w:val="decimal"/>
      <w:lvlText w:val="%2."/>
      <w:lvlJc w:val="left"/>
      <w:pPr>
        <w:ind w:left="1440" w:hanging="360"/>
      </w:pPr>
      <w:rPr>
        <w:rFonts w:hint="default"/>
      </w:rPr>
    </w:lvl>
    <w:lvl w:ilvl="2" w:tplc="30F48A9C">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3EF15A62"/>
    <w:multiLevelType w:val="hybridMultilevel"/>
    <w:tmpl w:val="4420F844"/>
    <w:lvl w:ilvl="0" w:tplc="D652A4D6">
      <w:start w:val="1"/>
      <w:numFmt w:val="bullet"/>
      <w:pStyle w:val="Odsekzoznamu"/>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15:restartNumberingAfterBreak="0">
    <w:nsid w:val="403D1571"/>
    <w:multiLevelType w:val="hybridMultilevel"/>
    <w:tmpl w:val="7F264D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15A6DCA"/>
    <w:multiLevelType w:val="hybridMultilevel"/>
    <w:tmpl w:val="57A4B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481B7092"/>
    <w:multiLevelType w:val="hybridMultilevel"/>
    <w:tmpl w:val="0DE461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0B6EE7"/>
    <w:multiLevelType w:val="hybridMultilevel"/>
    <w:tmpl w:val="1F463450"/>
    <w:lvl w:ilvl="0" w:tplc="A0545B3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93958B1"/>
    <w:multiLevelType w:val="hybridMultilevel"/>
    <w:tmpl w:val="7BDC4D0E"/>
    <w:lvl w:ilvl="0" w:tplc="041B0017">
      <w:start w:val="1"/>
      <w:numFmt w:val="lowerLetter"/>
      <w:lvlText w:val="%1)"/>
      <w:lvlJc w:val="left"/>
      <w:pPr>
        <w:ind w:left="720" w:hanging="360"/>
      </w:pPr>
      <w:rPr>
        <w:rFonts w:hint="default"/>
      </w:rPr>
    </w:lvl>
    <w:lvl w:ilvl="1" w:tplc="971CA2AA">
      <w:start w:val="1"/>
      <w:numFmt w:val="decimal"/>
      <w:lvlText w:val="%2."/>
      <w:lvlJc w:val="left"/>
      <w:pPr>
        <w:ind w:left="1440" w:hanging="360"/>
      </w:pPr>
      <w:rPr>
        <w:rFonts w:hint="default"/>
      </w:rPr>
    </w:lvl>
    <w:lvl w:ilvl="2" w:tplc="30F48A9C">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3479EB"/>
    <w:multiLevelType w:val="hybridMultilevel"/>
    <w:tmpl w:val="9F9E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47B36"/>
    <w:multiLevelType w:val="hybridMultilevel"/>
    <w:tmpl w:val="A13E7154"/>
    <w:lvl w:ilvl="0" w:tplc="B878879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B339A9"/>
    <w:multiLevelType w:val="hybridMultilevel"/>
    <w:tmpl w:val="8ECCC1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B50C8A"/>
    <w:multiLevelType w:val="hybridMultilevel"/>
    <w:tmpl w:val="626A05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771725"/>
    <w:multiLevelType w:val="hybridMultilevel"/>
    <w:tmpl w:val="373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A7F33"/>
    <w:multiLevelType w:val="hybridMultilevel"/>
    <w:tmpl w:val="28E093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547080"/>
    <w:multiLevelType w:val="hybridMultilevel"/>
    <w:tmpl w:val="4F62FA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063661B"/>
    <w:multiLevelType w:val="hybridMultilevel"/>
    <w:tmpl w:val="9BF81384"/>
    <w:lvl w:ilvl="0" w:tplc="8432EEE6">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6" w15:restartNumberingAfterBreak="0">
    <w:nsid w:val="7218429B"/>
    <w:multiLevelType w:val="hybridMultilevel"/>
    <w:tmpl w:val="F658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
  </w:num>
  <w:num w:numId="6">
    <w:abstractNumId w:val="18"/>
  </w:num>
  <w:num w:numId="7">
    <w:abstractNumId w:val="16"/>
  </w:num>
  <w:num w:numId="8">
    <w:abstractNumId w:val="9"/>
  </w:num>
  <w:num w:numId="9">
    <w:abstractNumId w:val="7"/>
  </w:num>
  <w:num w:numId="10">
    <w:abstractNumId w:val="0"/>
  </w:num>
  <w:num w:numId="11">
    <w:abstractNumId w:val="19"/>
  </w:num>
  <w:num w:numId="12">
    <w:abstractNumId w:val="14"/>
  </w:num>
  <w:num w:numId="13">
    <w:abstractNumId w:val="2"/>
  </w:num>
  <w:num w:numId="14">
    <w:abstractNumId w:val="12"/>
  </w:num>
  <w:num w:numId="15">
    <w:abstractNumId w:val="23"/>
  </w:num>
  <w:num w:numId="16">
    <w:abstractNumId w:val="20"/>
  </w:num>
  <w:num w:numId="17">
    <w:abstractNumId w:val="24"/>
  </w:num>
  <w:num w:numId="18">
    <w:abstractNumId w:val="4"/>
  </w:num>
  <w:num w:numId="19">
    <w:abstractNumId w:val="6"/>
  </w:num>
  <w:num w:numId="20">
    <w:abstractNumId w:val="5"/>
  </w:num>
  <w:num w:numId="21">
    <w:abstractNumId w:val="26"/>
  </w:num>
  <w:num w:numId="22">
    <w:abstractNumId w:val="22"/>
  </w:num>
  <w:num w:numId="23">
    <w:abstractNumId w:val="8"/>
  </w:num>
  <w:num w:numId="24">
    <w:abstractNumId w:val="17"/>
  </w:num>
  <w:num w:numId="25">
    <w:abstractNumId w:val="21"/>
  </w:num>
  <w:num w:numId="26">
    <w:abstractNumId w:val="25"/>
  </w:num>
  <w:num w:numId="27">
    <w:abstractNumId w:val="11"/>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DB"/>
    <w:rsid w:val="00002905"/>
    <w:rsid w:val="00003508"/>
    <w:rsid w:val="00006783"/>
    <w:rsid w:val="0001123F"/>
    <w:rsid w:val="00012BD3"/>
    <w:rsid w:val="00020081"/>
    <w:rsid w:val="00040179"/>
    <w:rsid w:val="00057B1E"/>
    <w:rsid w:val="00060102"/>
    <w:rsid w:val="0007716F"/>
    <w:rsid w:val="00094290"/>
    <w:rsid w:val="000A0140"/>
    <w:rsid w:val="000A2DD2"/>
    <w:rsid w:val="000A5644"/>
    <w:rsid w:val="000B0D1A"/>
    <w:rsid w:val="000B17A5"/>
    <w:rsid w:val="000B2C79"/>
    <w:rsid w:val="000C1754"/>
    <w:rsid w:val="000C23E1"/>
    <w:rsid w:val="000E2C9E"/>
    <w:rsid w:val="000E2F07"/>
    <w:rsid w:val="000E54E0"/>
    <w:rsid w:val="000E593E"/>
    <w:rsid w:val="000F5796"/>
    <w:rsid w:val="00101588"/>
    <w:rsid w:val="00103619"/>
    <w:rsid w:val="001216F8"/>
    <w:rsid w:val="00124BE4"/>
    <w:rsid w:val="001255B1"/>
    <w:rsid w:val="001266AD"/>
    <w:rsid w:val="001475E6"/>
    <w:rsid w:val="00150DFC"/>
    <w:rsid w:val="0015301A"/>
    <w:rsid w:val="001562BB"/>
    <w:rsid w:val="00162F4D"/>
    <w:rsid w:val="00163FB1"/>
    <w:rsid w:val="00166A03"/>
    <w:rsid w:val="00167D34"/>
    <w:rsid w:val="001723DA"/>
    <w:rsid w:val="0017534D"/>
    <w:rsid w:val="00183BEE"/>
    <w:rsid w:val="00186252"/>
    <w:rsid w:val="001B2089"/>
    <w:rsid w:val="001B5FEC"/>
    <w:rsid w:val="001C1D36"/>
    <w:rsid w:val="001C3AFF"/>
    <w:rsid w:val="001C56DB"/>
    <w:rsid w:val="001E14C2"/>
    <w:rsid w:val="00202FA7"/>
    <w:rsid w:val="002148E1"/>
    <w:rsid w:val="00214B5F"/>
    <w:rsid w:val="00215A34"/>
    <w:rsid w:val="00224BC6"/>
    <w:rsid w:val="002257E7"/>
    <w:rsid w:val="002310FF"/>
    <w:rsid w:val="002478AD"/>
    <w:rsid w:val="00252CB4"/>
    <w:rsid w:val="00256D45"/>
    <w:rsid w:val="002625B2"/>
    <w:rsid w:val="00263146"/>
    <w:rsid w:val="00275964"/>
    <w:rsid w:val="00277F4D"/>
    <w:rsid w:val="00280CF0"/>
    <w:rsid w:val="00282D6E"/>
    <w:rsid w:val="00296EE3"/>
    <w:rsid w:val="002A298F"/>
    <w:rsid w:val="002A3C67"/>
    <w:rsid w:val="002A671D"/>
    <w:rsid w:val="002C1D4A"/>
    <w:rsid w:val="002C4F60"/>
    <w:rsid w:val="002C6BFE"/>
    <w:rsid w:val="002E025F"/>
    <w:rsid w:val="002E25B8"/>
    <w:rsid w:val="002E6687"/>
    <w:rsid w:val="002E7B45"/>
    <w:rsid w:val="003020D5"/>
    <w:rsid w:val="00342A44"/>
    <w:rsid w:val="00343D88"/>
    <w:rsid w:val="00352614"/>
    <w:rsid w:val="003565AC"/>
    <w:rsid w:val="00356937"/>
    <w:rsid w:val="0036128D"/>
    <w:rsid w:val="003614A3"/>
    <w:rsid w:val="00367EC0"/>
    <w:rsid w:val="003714AE"/>
    <w:rsid w:val="0037364F"/>
    <w:rsid w:val="00376C1E"/>
    <w:rsid w:val="00376CB2"/>
    <w:rsid w:val="00396D87"/>
    <w:rsid w:val="003A11EA"/>
    <w:rsid w:val="003C4C7F"/>
    <w:rsid w:val="003D1A28"/>
    <w:rsid w:val="003D2BEE"/>
    <w:rsid w:val="003E1691"/>
    <w:rsid w:val="00417D0C"/>
    <w:rsid w:val="004200C4"/>
    <w:rsid w:val="00420AB1"/>
    <w:rsid w:val="00432804"/>
    <w:rsid w:val="00441931"/>
    <w:rsid w:val="00453CB5"/>
    <w:rsid w:val="004568AE"/>
    <w:rsid w:val="00466D86"/>
    <w:rsid w:val="00483AF4"/>
    <w:rsid w:val="004854EF"/>
    <w:rsid w:val="0048603E"/>
    <w:rsid w:val="00486624"/>
    <w:rsid w:val="004934D8"/>
    <w:rsid w:val="0049727D"/>
    <w:rsid w:val="004B7E20"/>
    <w:rsid w:val="004C3829"/>
    <w:rsid w:val="004C46F8"/>
    <w:rsid w:val="004D261D"/>
    <w:rsid w:val="004D331D"/>
    <w:rsid w:val="004D6122"/>
    <w:rsid w:val="004D6C7A"/>
    <w:rsid w:val="004E4FA4"/>
    <w:rsid w:val="004F5540"/>
    <w:rsid w:val="005028DF"/>
    <w:rsid w:val="00511233"/>
    <w:rsid w:val="00521BF3"/>
    <w:rsid w:val="00522CAE"/>
    <w:rsid w:val="00523BEB"/>
    <w:rsid w:val="00523E5D"/>
    <w:rsid w:val="0052578F"/>
    <w:rsid w:val="0052603A"/>
    <w:rsid w:val="0053301E"/>
    <w:rsid w:val="00533EA8"/>
    <w:rsid w:val="00552B51"/>
    <w:rsid w:val="00552DEB"/>
    <w:rsid w:val="00563234"/>
    <w:rsid w:val="00573643"/>
    <w:rsid w:val="005740E8"/>
    <w:rsid w:val="00575278"/>
    <w:rsid w:val="005841A2"/>
    <w:rsid w:val="0059016D"/>
    <w:rsid w:val="00596772"/>
    <w:rsid w:val="005B29C2"/>
    <w:rsid w:val="005E4D06"/>
    <w:rsid w:val="005E5F71"/>
    <w:rsid w:val="005F09BF"/>
    <w:rsid w:val="00600091"/>
    <w:rsid w:val="006242A6"/>
    <w:rsid w:val="00637BE5"/>
    <w:rsid w:val="00643861"/>
    <w:rsid w:val="006502C9"/>
    <w:rsid w:val="00675C36"/>
    <w:rsid w:val="00677601"/>
    <w:rsid w:val="00677CD9"/>
    <w:rsid w:val="00686C2F"/>
    <w:rsid w:val="00687DC9"/>
    <w:rsid w:val="00693478"/>
    <w:rsid w:val="006979EB"/>
    <w:rsid w:val="006A74A0"/>
    <w:rsid w:val="006B1F40"/>
    <w:rsid w:val="006B2199"/>
    <w:rsid w:val="006C01B5"/>
    <w:rsid w:val="006C70B5"/>
    <w:rsid w:val="006D69DA"/>
    <w:rsid w:val="006E0811"/>
    <w:rsid w:val="006E3717"/>
    <w:rsid w:val="006E56A2"/>
    <w:rsid w:val="006E629F"/>
    <w:rsid w:val="006F0933"/>
    <w:rsid w:val="006F7A43"/>
    <w:rsid w:val="007246C3"/>
    <w:rsid w:val="0074012D"/>
    <w:rsid w:val="007468A7"/>
    <w:rsid w:val="007468E9"/>
    <w:rsid w:val="00750548"/>
    <w:rsid w:val="007576B2"/>
    <w:rsid w:val="00757BBF"/>
    <w:rsid w:val="00762BC9"/>
    <w:rsid w:val="00765A7C"/>
    <w:rsid w:val="00767361"/>
    <w:rsid w:val="00772992"/>
    <w:rsid w:val="007807A2"/>
    <w:rsid w:val="00790048"/>
    <w:rsid w:val="0079338E"/>
    <w:rsid w:val="00796AB5"/>
    <w:rsid w:val="007B2DB2"/>
    <w:rsid w:val="007B7AD9"/>
    <w:rsid w:val="007C08E5"/>
    <w:rsid w:val="007C4A95"/>
    <w:rsid w:val="007E5250"/>
    <w:rsid w:val="007F60ED"/>
    <w:rsid w:val="007F6A25"/>
    <w:rsid w:val="00806A92"/>
    <w:rsid w:val="008140FB"/>
    <w:rsid w:val="0083276A"/>
    <w:rsid w:val="00837C02"/>
    <w:rsid w:val="00842E53"/>
    <w:rsid w:val="00844193"/>
    <w:rsid w:val="00846EEC"/>
    <w:rsid w:val="00847BED"/>
    <w:rsid w:val="00855111"/>
    <w:rsid w:val="008624A9"/>
    <w:rsid w:val="00880366"/>
    <w:rsid w:val="008822A8"/>
    <w:rsid w:val="00895BE8"/>
    <w:rsid w:val="008A20D1"/>
    <w:rsid w:val="008B169E"/>
    <w:rsid w:val="008D296F"/>
    <w:rsid w:val="009007A5"/>
    <w:rsid w:val="00902BEC"/>
    <w:rsid w:val="0091400A"/>
    <w:rsid w:val="00921C6A"/>
    <w:rsid w:val="00932AFE"/>
    <w:rsid w:val="00937989"/>
    <w:rsid w:val="009410B3"/>
    <w:rsid w:val="00946F16"/>
    <w:rsid w:val="0094722E"/>
    <w:rsid w:val="009513AA"/>
    <w:rsid w:val="00954743"/>
    <w:rsid w:val="009965D3"/>
    <w:rsid w:val="009A400F"/>
    <w:rsid w:val="009A595B"/>
    <w:rsid w:val="009B4E84"/>
    <w:rsid w:val="009B73CE"/>
    <w:rsid w:val="009C771D"/>
    <w:rsid w:val="009D2CFA"/>
    <w:rsid w:val="009E1F1D"/>
    <w:rsid w:val="009E2772"/>
    <w:rsid w:val="009E77E7"/>
    <w:rsid w:val="009F218A"/>
    <w:rsid w:val="009F382E"/>
    <w:rsid w:val="00A13CD2"/>
    <w:rsid w:val="00A14FC4"/>
    <w:rsid w:val="00A31BD6"/>
    <w:rsid w:val="00A50142"/>
    <w:rsid w:val="00A631DB"/>
    <w:rsid w:val="00A74011"/>
    <w:rsid w:val="00A804C2"/>
    <w:rsid w:val="00A87C8C"/>
    <w:rsid w:val="00AB7F8B"/>
    <w:rsid w:val="00AC1B53"/>
    <w:rsid w:val="00AC27FF"/>
    <w:rsid w:val="00AD161D"/>
    <w:rsid w:val="00AD5717"/>
    <w:rsid w:val="00AF41B2"/>
    <w:rsid w:val="00B12461"/>
    <w:rsid w:val="00B12EEA"/>
    <w:rsid w:val="00B148D8"/>
    <w:rsid w:val="00B20DA9"/>
    <w:rsid w:val="00B23583"/>
    <w:rsid w:val="00B560BA"/>
    <w:rsid w:val="00B578CA"/>
    <w:rsid w:val="00B72BB8"/>
    <w:rsid w:val="00B76BD8"/>
    <w:rsid w:val="00B8456B"/>
    <w:rsid w:val="00B873F0"/>
    <w:rsid w:val="00B904F2"/>
    <w:rsid w:val="00B92FF1"/>
    <w:rsid w:val="00B93181"/>
    <w:rsid w:val="00BA4CCB"/>
    <w:rsid w:val="00BA63D6"/>
    <w:rsid w:val="00BB28FB"/>
    <w:rsid w:val="00BD33DB"/>
    <w:rsid w:val="00BD4B49"/>
    <w:rsid w:val="00BE770D"/>
    <w:rsid w:val="00C025EC"/>
    <w:rsid w:val="00C113FF"/>
    <w:rsid w:val="00C14F6F"/>
    <w:rsid w:val="00C32865"/>
    <w:rsid w:val="00C344E7"/>
    <w:rsid w:val="00C40B5D"/>
    <w:rsid w:val="00C4279B"/>
    <w:rsid w:val="00C46005"/>
    <w:rsid w:val="00C50BF2"/>
    <w:rsid w:val="00C72D81"/>
    <w:rsid w:val="00C80D33"/>
    <w:rsid w:val="00C821F7"/>
    <w:rsid w:val="00C84CE9"/>
    <w:rsid w:val="00C85694"/>
    <w:rsid w:val="00C87BDC"/>
    <w:rsid w:val="00C903FF"/>
    <w:rsid w:val="00C96F7E"/>
    <w:rsid w:val="00C97292"/>
    <w:rsid w:val="00CC54AE"/>
    <w:rsid w:val="00CD4186"/>
    <w:rsid w:val="00CD7236"/>
    <w:rsid w:val="00CD7CE9"/>
    <w:rsid w:val="00CE3B4C"/>
    <w:rsid w:val="00CE5D46"/>
    <w:rsid w:val="00CF344A"/>
    <w:rsid w:val="00CF5A20"/>
    <w:rsid w:val="00D13BD8"/>
    <w:rsid w:val="00D20655"/>
    <w:rsid w:val="00D22C5A"/>
    <w:rsid w:val="00D25387"/>
    <w:rsid w:val="00D34E8E"/>
    <w:rsid w:val="00D366BA"/>
    <w:rsid w:val="00D40020"/>
    <w:rsid w:val="00D4641D"/>
    <w:rsid w:val="00D5364C"/>
    <w:rsid w:val="00D57A51"/>
    <w:rsid w:val="00D61452"/>
    <w:rsid w:val="00D734B9"/>
    <w:rsid w:val="00D84F1F"/>
    <w:rsid w:val="00D86972"/>
    <w:rsid w:val="00D9166E"/>
    <w:rsid w:val="00D93605"/>
    <w:rsid w:val="00DA4F4E"/>
    <w:rsid w:val="00DA7C21"/>
    <w:rsid w:val="00DB4EEA"/>
    <w:rsid w:val="00DB5807"/>
    <w:rsid w:val="00DC46CC"/>
    <w:rsid w:val="00DE0A13"/>
    <w:rsid w:val="00DE2EF7"/>
    <w:rsid w:val="00DF6460"/>
    <w:rsid w:val="00DF6B09"/>
    <w:rsid w:val="00E00A4B"/>
    <w:rsid w:val="00E036BC"/>
    <w:rsid w:val="00E04EF4"/>
    <w:rsid w:val="00E06FD9"/>
    <w:rsid w:val="00E15500"/>
    <w:rsid w:val="00E219E6"/>
    <w:rsid w:val="00E22186"/>
    <w:rsid w:val="00E23AA6"/>
    <w:rsid w:val="00E36605"/>
    <w:rsid w:val="00E468CB"/>
    <w:rsid w:val="00E57A94"/>
    <w:rsid w:val="00E61212"/>
    <w:rsid w:val="00E62828"/>
    <w:rsid w:val="00E65301"/>
    <w:rsid w:val="00EA1458"/>
    <w:rsid w:val="00EA63BA"/>
    <w:rsid w:val="00EC08A9"/>
    <w:rsid w:val="00EC1448"/>
    <w:rsid w:val="00ED0A27"/>
    <w:rsid w:val="00ED2CCC"/>
    <w:rsid w:val="00ED327B"/>
    <w:rsid w:val="00EF3934"/>
    <w:rsid w:val="00EF5251"/>
    <w:rsid w:val="00F16697"/>
    <w:rsid w:val="00F16838"/>
    <w:rsid w:val="00F44527"/>
    <w:rsid w:val="00F56F35"/>
    <w:rsid w:val="00F81B6C"/>
    <w:rsid w:val="00F81D4E"/>
    <w:rsid w:val="00FA1FB5"/>
    <w:rsid w:val="00FB722A"/>
    <w:rsid w:val="00FE0EE1"/>
    <w:rsid w:val="00FE2DC4"/>
    <w:rsid w:val="00FE78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2955"/>
  <w15:docId w15:val="{A8C65DAE-50D3-445E-8411-FEE95F5C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07A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80D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687DC9"/>
    <w:pPr>
      <w:keepNext/>
      <w:overflowPunct w:val="0"/>
      <w:autoSpaceDE w:val="0"/>
      <w:autoSpaceDN w:val="0"/>
      <w:adjustRightInd w:val="0"/>
      <w:jc w:val="both"/>
      <w:textAlignment w:val="baseline"/>
      <w:outlineLvl w:val="2"/>
    </w:pPr>
    <w:rPr>
      <w:b/>
      <w:bCs/>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807A2"/>
    <w:rPr>
      <w:rFonts w:ascii="Times New Roman" w:hAnsi="Times New Roman" w:cs="Times New Roman" w:hint="default"/>
      <w:color w:val="0000FF"/>
      <w:u w:val="single"/>
    </w:rPr>
  </w:style>
  <w:style w:type="paragraph" w:styleId="Pta">
    <w:name w:val="footer"/>
    <w:basedOn w:val="Normlny"/>
    <w:link w:val="PtaChar"/>
    <w:uiPriority w:val="99"/>
    <w:unhideWhenUsed/>
    <w:rsid w:val="007807A2"/>
    <w:pPr>
      <w:tabs>
        <w:tab w:val="center" w:pos="4536"/>
        <w:tab w:val="right" w:pos="9072"/>
      </w:tabs>
    </w:pPr>
  </w:style>
  <w:style w:type="character" w:customStyle="1" w:styleId="PtaChar">
    <w:name w:val="Päta Char"/>
    <w:basedOn w:val="Predvolenpsmoodseku"/>
    <w:link w:val="Pta"/>
    <w:uiPriority w:val="99"/>
    <w:rsid w:val="007807A2"/>
    <w:rPr>
      <w:rFonts w:ascii="Times New Roman" w:eastAsia="Times New Roman" w:hAnsi="Times New Roman" w:cs="Times New Roman"/>
      <w:sz w:val="24"/>
      <w:szCs w:val="24"/>
      <w:lang w:eastAsia="sk-SK"/>
    </w:rPr>
  </w:style>
  <w:style w:type="paragraph" w:styleId="Odsekzoznamu">
    <w:name w:val="List Paragraph"/>
    <w:basedOn w:val="Normlny"/>
    <w:autoRedefine/>
    <w:uiPriority w:val="34"/>
    <w:qFormat/>
    <w:rsid w:val="001B2089"/>
    <w:pPr>
      <w:numPr>
        <w:numId w:val="29"/>
      </w:numPr>
      <w:pBdr>
        <w:top w:val="nil"/>
        <w:left w:val="nil"/>
        <w:bottom w:val="nil"/>
        <w:right w:val="nil"/>
        <w:between w:val="nil"/>
        <w:bar w:val="nil"/>
      </w:pBdr>
      <w:spacing w:after="120"/>
      <w:ind w:left="567" w:hanging="283"/>
      <w:jc w:val="both"/>
    </w:pPr>
    <w:rPr>
      <w:szCs w:val="22"/>
      <w:lang w:eastAsia="en-US"/>
    </w:rPr>
  </w:style>
  <w:style w:type="paragraph" w:customStyle="1" w:styleId="Tiret1">
    <w:name w:val="Tiret 1"/>
    <w:basedOn w:val="Normlny"/>
    <w:rsid w:val="007807A2"/>
    <w:pPr>
      <w:numPr>
        <w:numId w:val="1"/>
      </w:numPr>
      <w:spacing w:before="120" w:after="120"/>
      <w:jc w:val="both"/>
    </w:pPr>
    <w:rPr>
      <w:szCs w:val="20"/>
      <w:lang w:eastAsia="en-GB"/>
    </w:rPr>
  </w:style>
  <w:style w:type="paragraph" w:customStyle="1" w:styleId="Statut">
    <w:name w:val="Statut"/>
    <w:basedOn w:val="Normlny"/>
    <w:next w:val="Normlny"/>
    <w:rsid w:val="007807A2"/>
    <w:pPr>
      <w:spacing w:before="360"/>
      <w:jc w:val="center"/>
    </w:pPr>
    <w:rPr>
      <w:szCs w:val="22"/>
      <w:lang w:val="en-GB" w:eastAsia="en-US"/>
    </w:rPr>
  </w:style>
  <w:style w:type="character" w:styleId="Siln">
    <w:name w:val="Strong"/>
    <w:uiPriority w:val="22"/>
    <w:qFormat/>
    <w:rsid w:val="007807A2"/>
    <w:rPr>
      <w:b/>
      <w:bCs/>
    </w:rPr>
  </w:style>
  <w:style w:type="paragraph" w:customStyle="1" w:styleId="Titreobjet">
    <w:name w:val="Titre objet"/>
    <w:basedOn w:val="Normlny"/>
    <w:next w:val="Normlny"/>
    <w:rsid w:val="007807A2"/>
    <w:pPr>
      <w:spacing w:before="360" w:after="360"/>
      <w:jc w:val="center"/>
    </w:pPr>
    <w:rPr>
      <w:rFonts w:eastAsiaTheme="minorHAnsi"/>
      <w:b/>
      <w:szCs w:val="22"/>
      <w:lang w:val="en-GB" w:eastAsia="en-US"/>
    </w:rPr>
  </w:style>
  <w:style w:type="paragraph" w:customStyle="1" w:styleId="Typedudocument">
    <w:name w:val="Type du document"/>
    <w:basedOn w:val="Normlny"/>
    <w:next w:val="Titreobjet"/>
    <w:rsid w:val="007807A2"/>
    <w:pPr>
      <w:spacing w:before="360"/>
      <w:jc w:val="center"/>
    </w:pPr>
    <w:rPr>
      <w:rFonts w:eastAsiaTheme="minorHAnsi"/>
      <w:b/>
      <w:szCs w:val="22"/>
      <w:lang w:val="en-GB" w:eastAsia="en-US"/>
    </w:rPr>
  </w:style>
  <w:style w:type="paragraph" w:customStyle="1" w:styleId="Default">
    <w:name w:val="Default"/>
    <w:link w:val="DefaultChar"/>
    <w:rsid w:val="00263146"/>
    <w:pPr>
      <w:autoSpaceDE w:val="0"/>
      <w:autoSpaceDN w:val="0"/>
      <w:adjustRightInd w:val="0"/>
      <w:spacing w:after="0" w:line="240" w:lineRule="auto"/>
    </w:pPr>
    <w:rPr>
      <w:rFonts w:ascii="Calibri" w:hAnsi="Calibri" w:cs="Calibri"/>
      <w:color w:val="000000"/>
      <w:sz w:val="24"/>
      <w:szCs w:val="24"/>
      <w:lang w:eastAsia="sk-SK" w:bidi="sk-SK"/>
    </w:rPr>
  </w:style>
  <w:style w:type="character" w:customStyle="1" w:styleId="DefaultChar">
    <w:name w:val="Default Char"/>
    <w:basedOn w:val="Predvolenpsmoodseku"/>
    <w:link w:val="Default"/>
    <w:rsid w:val="00263146"/>
    <w:rPr>
      <w:rFonts w:ascii="Calibri" w:hAnsi="Calibri" w:cs="Calibri"/>
      <w:color w:val="000000"/>
      <w:sz w:val="24"/>
      <w:szCs w:val="24"/>
      <w:lang w:eastAsia="sk-SK" w:bidi="sk-SK"/>
    </w:rPr>
  </w:style>
  <w:style w:type="paragraph" w:styleId="Textpoznmkypodiarou">
    <w:name w:val="footnote text"/>
    <w:basedOn w:val="Normlny"/>
    <w:link w:val="TextpoznmkypodiarouChar"/>
    <w:uiPriority w:val="99"/>
    <w:semiHidden/>
    <w:unhideWhenUsed/>
    <w:rsid w:val="00EF3934"/>
    <w:pPr>
      <w:ind w:left="720" w:hanging="720"/>
      <w:jc w:val="both"/>
    </w:pPr>
    <w:rPr>
      <w:rFonts w:eastAsiaTheme="minorHAnsi"/>
      <w:sz w:val="20"/>
      <w:szCs w:val="20"/>
      <w:lang w:bidi="sk-SK"/>
    </w:rPr>
  </w:style>
  <w:style w:type="character" w:customStyle="1" w:styleId="TextpoznmkypodiarouChar">
    <w:name w:val="Text poznámky pod čiarou Char"/>
    <w:basedOn w:val="Predvolenpsmoodseku"/>
    <w:link w:val="Textpoznmkypodiarou"/>
    <w:uiPriority w:val="99"/>
    <w:semiHidden/>
    <w:rsid w:val="00EF3934"/>
    <w:rPr>
      <w:rFonts w:ascii="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EF3934"/>
    <w:rPr>
      <w:shd w:val="clear" w:color="auto" w:fill="auto"/>
      <w:vertAlign w:val="superscript"/>
    </w:rPr>
  </w:style>
  <w:style w:type="paragraph" w:styleId="Zoznamsodrkami2">
    <w:name w:val="List Bullet 2"/>
    <w:basedOn w:val="Normlny"/>
    <w:uiPriority w:val="99"/>
    <w:unhideWhenUsed/>
    <w:rsid w:val="00575278"/>
    <w:pPr>
      <w:numPr>
        <w:numId w:val="5"/>
      </w:numPr>
      <w:spacing w:before="120" w:after="120"/>
      <w:contextualSpacing/>
      <w:jc w:val="both"/>
    </w:pPr>
    <w:rPr>
      <w:rFonts w:eastAsiaTheme="minorHAnsi"/>
      <w:szCs w:val="22"/>
      <w:lang w:bidi="sk-SK"/>
    </w:rPr>
  </w:style>
  <w:style w:type="paragraph" w:customStyle="1" w:styleId="Text1">
    <w:name w:val="Text 1"/>
    <w:basedOn w:val="Normlny"/>
    <w:rsid w:val="004C3829"/>
    <w:pPr>
      <w:spacing w:before="120" w:after="120"/>
      <w:ind w:left="850"/>
      <w:jc w:val="both"/>
    </w:pPr>
    <w:rPr>
      <w:rFonts w:eastAsiaTheme="minorHAnsi"/>
      <w:szCs w:val="22"/>
      <w:lang w:bidi="sk-SK"/>
    </w:rPr>
  </w:style>
  <w:style w:type="paragraph" w:styleId="Hlavika">
    <w:name w:val="header"/>
    <w:basedOn w:val="Normlny"/>
    <w:link w:val="HlavikaChar"/>
    <w:uiPriority w:val="99"/>
    <w:unhideWhenUsed/>
    <w:rsid w:val="00844193"/>
    <w:pPr>
      <w:tabs>
        <w:tab w:val="center" w:pos="4536"/>
        <w:tab w:val="right" w:pos="9072"/>
      </w:tabs>
    </w:pPr>
  </w:style>
  <w:style w:type="character" w:customStyle="1" w:styleId="HlavikaChar">
    <w:name w:val="Hlavička Char"/>
    <w:basedOn w:val="Predvolenpsmoodseku"/>
    <w:link w:val="Hlavika"/>
    <w:uiPriority w:val="99"/>
    <w:rsid w:val="00844193"/>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44193"/>
    <w:rPr>
      <w:rFonts w:ascii="Tahoma" w:hAnsi="Tahoma" w:cs="Tahoma"/>
      <w:sz w:val="16"/>
      <w:szCs w:val="16"/>
    </w:rPr>
  </w:style>
  <w:style w:type="character" w:customStyle="1" w:styleId="TextbublinyChar">
    <w:name w:val="Text bubliny Char"/>
    <w:basedOn w:val="Predvolenpsmoodseku"/>
    <w:link w:val="Textbubliny"/>
    <w:uiPriority w:val="99"/>
    <w:semiHidden/>
    <w:rsid w:val="00844193"/>
    <w:rPr>
      <w:rFonts w:ascii="Tahoma" w:eastAsia="Times New Roman" w:hAnsi="Tahoma" w:cs="Tahoma"/>
      <w:sz w:val="16"/>
      <w:szCs w:val="16"/>
      <w:lang w:eastAsia="sk-SK"/>
    </w:rPr>
  </w:style>
  <w:style w:type="paragraph" w:customStyle="1" w:styleId="Body">
    <w:name w:val="Body"/>
    <w:rsid w:val="00CE5D46"/>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sk-SK" w:bidi="sk-SK"/>
    </w:rPr>
  </w:style>
  <w:style w:type="paragraph" w:styleId="slovanzoznam4">
    <w:name w:val="List Number 4"/>
    <w:basedOn w:val="Normlny"/>
    <w:rsid w:val="00376C1E"/>
    <w:pPr>
      <w:numPr>
        <w:numId w:val="10"/>
      </w:numPr>
      <w:spacing w:before="120" w:after="120"/>
      <w:jc w:val="both"/>
    </w:pPr>
    <w:rPr>
      <w:szCs w:val="22"/>
      <w:lang w:bidi="sk-SK"/>
    </w:rPr>
  </w:style>
  <w:style w:type="paragraph" w:customStyle="1" w:styleId="Fotenote">
    <w:name w:val="Fotenote"/>
    <w:basedOn w:val="Textpoznmkypodiarou"/>
    <w:autoRedefine/>
    <w:uiPriority w:val="99"/>
    <w:qFormat/>
    <w:rsid w:val="00376C1E"/>
    <w:pPr>
      <w:spacing w:before="120"/>
      <w:ind w:left="227" w:hanging="227"/>
    </w:pPr>
    <w:rPr>
      <w:rFonts w:eastAsia="Calibri"/>
      <w:sz w:val="16"/>
      <w:szCs w:val="16"/>
    </w:rPr>
  </w:style>
  <w:style w:type="paragraph" w:customStyle="1" w:styleId="ManualHeading2">
    <w:name w:val="Manual Heading 2"/>
    <w:basedOn w:val="Normlny"/>
    <w:next w:val="Text1"/>
    <w:rsid w:val="00376C1E"/>
    <w:pPr>
      <w:keepNext/>
      <w:tabs>
        <w:tab w:val="left" w:pos="850"/>
      </w:tabs>
      <w:spacing w:before="120" w:after="120"/>
      <w:ind w:left="850" w:hanging="850"/>
      <w:jc w:val="both"/>
      <w:outlineLvl w:val="1"/>
    </w:pPr>
    <w:rPr>
      <w:rFonts w:eastAsiaTheme="minorHAnsi"/>
      <w:b/>
      <w:szCs w:val="22"/>
      <w:lang w:bidi="sk-SK"/>
    </w:rPr>
  </w:style>
  <w:style w:type="character" w:styleId="Odkaznakomentr">
    <w:name w:val="annotation reference"/>
    <w:basedOn w:val="Predvolenpsmoodseku"/>
    <w:uiPriority w:val="99"/>
    <w:semiHidden/>
    <w:unhideWhenUsed/>
    <w:rsid w:val="00F81B6C"/>
    <w:rPr>
      <w:sz w:val="16"/>
      <w:szCs w:val="16"/>
    </w:rPr>
  </w:style>
  <w:style w:type="paragraph" w:styleId="Textkomentra">
    <w:name w:val="annotation text"/>
    <w:basedOn w:val="Normlny"/>
    <w:link w:val="TextkomentraChar"/>
    <w:uiPriority w:val="99"/>
    <w:semiHidden/>
    <w:unhideWhenUsed/>
    <w:rsid w:val="00F81B6C"/>
    <w:pPr>
      <w:spacing w:before="120" w:after="120"/>
      <w:jc w:val="both"/>
    </w:pPr>
    <w:rPr>
      <w:rFonts w:eastAsiaTheme="minorHAnsi"/>
      <w:sz w:val="20"/>
      <w:szCs w:val="20"/>
      <w:lang w:bidi="sk-SK"/>
    </w:rPr>
  </w:style>
  <w:style w:type="character" w:customStyle="1" w:styleId="TextkomentraChar">
    <w:name w:val="Text komentára Char"/>
    <w:basedOn w:val="Predvolenpsmoodseku"/>
    <w:link w:val="Textkomentra"/>
    <w:uiPriority w:val="99"/>
    <w:semiHidden/>
    <w:rsid w:val="00F81B6C"/>
    <w:rPr>
      <w:rFonts w:ascii="Times New Roman" w:hAnsi="Times New Roman" w:cs="Times New Roman"/>
      <w:sz w:val="20"/>
      <w:szCs w:val="20"/>
      <w:lang w:eastAsia="sk-SK" w:bidi="sk-SK"/>
    </w:rPr>
  </w:style>
  <w:style w:type="paragraph" w:customStyle="1" w:styleId="Text2">
    <w:name w:val="Text 2"/>
    <w:basedOn w:val="Normlny"/>
    <w:rsid w:val="00F81B6C"/>
    <w:pPr>
      <w:spacing w:before="120" w:after="120"/>
      <w:ind w:left="1417"/>
      <w:jc w:val="both"/>
    </w:pPr>
    <w:rPr>
      <w:rFonts w:eastAsiaTheme="minorHAnsi"/>
      <w:szCs w:val="22"/>
      <w:lang w:bidi="sk-SK"/>
    </w:rPr>
  </w:style>
  <w:style w:type="paragraph" w:customStyle="1" w:styleId="Point0">
    <w:name w:val="Point 0"/>
    <w:basedOn w:val="Normlny"/>
    <w:rsid w:val="00F81B6C"/>
    <w:pPr>
      <w:spacing w:before="120" w:after="120"/>
      <w:ind w:left="850" w:hanging="850"/>
      <w:jc w:val="both"/>
    </w:pPr>
    <w:rPr>
      <w:rFonts w:eastAsiaTheme="minorHAnsi"/>
      <w:szCs w:val="22"/>
      <w:lang w:bidi="sk-SK"/>
    </w:rPr>
  </w:style>
  <w:style w:type="paragraph" w:customStyle="1" w:styleId="Point1">
    <w:name w:val="Point 1"/>
    <w:basedOn w:val="Normlny"/>
    <w:rsid w:val="00F81B6C"/>
    <w:pPr>
      <w:spacing w:before="120" w:after="120"/>
      <w:ind w:left="1417" w:hanging="567"/>
      <w:jc w:val="both"/>
    </w:pPr>
    <w:rPr>
      <w:rFonts w:eastAsiaTheme="minorHAnsi"/>
      <w:szCs w:val="22"/>
      <w:lang w:bidi="sk-SK"/>
    </w:rPr>
  </w:style>
  <w:style w:type="paragraph" w:customStyle="1" w:styleId="Point2">
    <w:name w:val="Point 2"/>
    <w:basedOn w:val="Normlny"/>
    <w:rsid w:val="00F81B6C"/>
    <w:pPr>
      <w:spacing w:before="120" w:after="120"/>
      <w:ind w:left="1984" w:hanging="567"/>
      <w:jc w:val="both"/>
    </w:pPr>
    <w:rPr>
      <w:rFonts w:eastAsiaTheme="minorHAnsi"/>
      <w:szCs w:val="22"/>
      <w:lang w:bidi="sk-SK"/>
    </w:rPr>
  </w:style>
  <w:style w:type="character" w:customStyle="1" w:styleId="Nadpis3Char">
    <w:name w:val="Nadpis 3 Char"/>
    <w:basedOn w:val="Predvolenpsmoodseku"/>
    <w:link w:val="Nadpis3"/>
    <w:rsid w:val="00687DC9"/>
    <w:rPr>
      <w:rFonts w:ascii="Times New Roman" w:eastAsia="Times New Roman" w:hAnsi="Times New Roman" w:cs="Times New Roman"/>
      <w:b/>
      <w:bCs/>
      <w:sz w:val="24"/>
      <w:szCs w:val="20"/>
      <w:lang w:val="x-none" w:eastAsia="cs-CZ"/>
    </w:rPr>
  </w:style>
  <w:style w:type="paragraph" w:customStyle="1" w:styleId="Bullet0">
    <w:name w:val="Bullet 0"/>
    <w:basedOn w:val="Normlny"/>
    <w:rsid w:val="00C344E7"/>
    <w:pPr>
      <w:numPr>
        <w:numId w:val="12"/>
      </w:numPr>
      <w:spacing w:before="120" w:after="120"/>
      <w:jc w:val="both"/>
    </w:pPr>
    <w:rPr>
      <w:rFonts w:eastAsiaTheme="minorHAnsi"/>
      <w:szCs w:val="22"/>
      <w:lang w:bidi="sk-SK"/>
    </w:rPr>
  </w:style>
  <w:style w:type="paragraph" w:styleId="Obyajntext">
    <w:name w:val="Plain Text"/>
    <w:basedOn w:val="Normlny"/>
    <w:link w:val="ObyajntextChar"/>
    <w:uiPriority w:val="99"/>
    <w:semiHidden/>
    <w:unhideWhenUsed/>
    <w:rsid w:val="004E4FA4"/>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semiHidden/>
    <w:rsid w:val="004E4FA4"/>
    <w:rPr>
      <w:rFonts w:ascii="Calibri" w:hAnsi="Calibri" w:cs="Times New Roman"/>
    </w:rPr>
  </w:style>
  <w:style w:type="table" w:styleId="Mriekatabuky">
    <w:name w:val="Table Grid"/>
    <w:basedOn w:val="Normlnatabuka"/>
    <w:uiPriority w:val="59"/>
    <w:rsid w:val="0075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
    <w:name w:val="Odstavec se seznamem"/>
    <w:basedOn w:val="Normlny"/>
    <w:uiPriority w:val="34"/>
    <w:qFormat/>
    <w:rsid w:val="007576B2"/>
    <w:pPr>
      <w:spacing w:after="200" w:line="276" w:lineRule="auto"/>
      <w:ind w:left="720"/>
      <w:contextualSpacing/>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unhideWhenUsed/>
    <w:rsid w:val="003020D5"/>
    <w:pPr>
      <w:spacing w:before="0" w:after="0"/>
      <w:jc w:val="left"/>
    </w:pPr>
    <w:rPr>
      <w:rFonts w:eastAsia="Times New Roman"/>
      <w:b/>
      <w:bCs/>
      <w:lang w:bidi="ar-SA"/>
    </w:rPr>
  </w:style>
  <w:style w:type="character" w:customStyle="1" w:styleId="PredmetkomentraChar">
    <w:name w:val="Predmet komentára Char"/>
    <w:basedOn w:val="TextkomentraChar"/>
    <w:link w:val="Predmetkomentra"/>
    <w:uiPriority w:val="99"/>
    <w:semiHidden/>
    <w:rsid w:val="003020D5"/>
    <w:rPr>
      <w:rFonts w:ascii="Times New Roman" w:eastAsia="Times New Roman" w:hAnsi="Times New Roman" w:cs="Times New Roman"/>
      <w:b/>
      <w:bCs/>
      <w:sz w:val="20"/>
      <w:szCs w:val="20"/>
      <w:lang w:eastAsia="sk-SK" w:bidi="sk-SK"/>
    </w:rPr>
  </w:style>
  <w:style w:type="character" w:customStyle="1" w:styleId="Nadpis1Char">
    <w:name w:val="Nadpis 1 Char"/>
    <w:basedOn w:val="Predvolenpsmoodseku"/>
    <w:link w:val="Nadpis1"/>
    <w:uiPriority w:val="9"/>
    <w:rsid w:val="00C80D33"/>
    <w:rPr>
      <w:rFonts w:asciiTheme="majorHAnsi" w:eastAsiaTheme="majorEastAsia" w:hAnsiTheme="majorHAnsi" w:cstheme="majorBidi"/>
      <w:color w:val="365F91"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0383">
      <w:bodyDiv w:val="1"/>
      <w:marLeft w:val="0"/>
      <w:marRight w:val="0"/>
      <w:marTop w:val="0"/>
      <w:marBottom w:val="0"/>
      <w:divBdr>
        <w:top w:val="none" w:sz="0" w:space="0" w:color="auto"/>
        <w:left w:val="none" w:sz="0" w:space="0" w:color="auto"/>
        <w:bottom w:val="none" w:sz="0" w:space="0" w:color="auto"/>
        <w:right w:val="none" w:sz="0" w:space="0" w:color="auto"/>
      </w:divBdr>
    </w:div>
    <w:div w:id="77020499">
      <w:bodyDiv w:val="1"/>
      <w:marLeft w:val="0"/>
      <w:marRight w:val="0"/>
      <w:marTop w:val="0"/>
      <w:marBottom w:val="0"/>
      <w:divBdr>
        <w:top w:val="none" w:sz="0" w:space="0" w:color="auto"/>
        <w:left w:val="none" w:sz="0" w:space="0" w:color="auto"/>
        <w:bottom w:val="none" w:sz="0" w:space="0" w:color="auto"/>
        <w:right w:val="none" w:sz="0" w:space="0" w:color="auto"/>
      </w:divBdr>
    </w:div>
    <w:div w:id="110832090">
      <w:bodyDiv w:val="1"/>
      <w:marLeft w:val="0"/>
      <w:marRight w:val="0"/>
      <w:marTop w:val="0"/>
      <w:marBottom w:val="0"/>
      <w:divBdr>
        <w:top w:val="none" w:sz="0" w:space="0" w:color="auto"/>
        <w:left w:val="none" w:sz="0" w:space="0" w:color="auto"/>
        <w:bottom w:val="none" w:sz="0" w:space="0" w:color="auto"/>
        <w:right w:val="none" w:sz="0" w:space="0" w:color="auto"/>
      </w:divBdr>
    </w:div>
    <w:div w:id="142625213">
      <w:bodyDiv w:val="1"/>
      <w:marLeft w:val="0"/>
      <w:marRight w:val="0"/>
      <w:marTop w:val="0"/>
      <w:marBottom w:val="0"/>
      <w:divBdr>
        <w:top w:val="none" w:sz="0" w:space="0" w:color="auto"/>
        <w:left w:val="none" w:sz="0" w:space="0" w:color="auto"/>
        <w:bottom w:val="none" w:sz="0" w:space="0" w:color="auto"/>
        <w:right w:val="none" w:sz="0" w:space="0" w:color="auto"/>
      </w:divBdr>
    </w:div>
    <w:div w:id="220941409">
      <w:bodyDiv w:val="1"/>
      <w:marLeft w:val="0"/>
      <w:marRight w:val="0"/>
      <w:marTop w:val="0"/>
      <w:marBottom w:val="0"/>
      <w:divBdr>
        <w:top w:val="none" w:sz="0" w:space="0" w:color="auto"/>
        <w:left w:val="none" w:sz="0" w:space="0" w:color="auto"/>
        <w:bottom w:val="none" w:sz="0" w:space="0" w:color="auto"/>
        <w:right w:val="none" w:sz="0" w:space="0" w:color="auto"/>
      </w:divBdr>
    </w:div>
    <w:div w:id="239288728">
      <w:bodyDiv w:val="1"/>
      <w:marLeft w:val="0"/>
      <w:marRight w:val="0"/>
      <w:marTop w:val="0"/>
      <w:marBottom w:val="0"/>
      <w:divBdr>
        <w:top w:val="none" w:sz="0" w:space="0" w:color="auto"/>
        <w:left w:val="none" w:sz="0" w:space="0" w:color="auto"/>
        <w:bottom w:val="none" w:sz="0" w:space="0" w:color="auto"/>
        <w:right w:val="none" w:sz="0" w:space="0" w:color="auto"/>
      </w:divBdr>
    </w:div>
    <w:div w:id="412048808">
      <w:bodyDiv w:val="1"/>
      <w:marLeft w:val="0"/>
      <w:marRight w:val="0"/>
      <w:marTop w:val="0"/>
      <w:marBottom w:val="0"/>
      <w:divBdr>
        <w:top w:val="none" w:sz="0" w:space="0" w:color="auto"/>
        <w:left w:val="none" w:sz="0" w:space="0" w:color="auto"/>
        <w:bottom w:val="none" w:sz="0" w:space="0" w:color="auto"/>
        <w:right w:val="none" w:sz="0" w:space="0" w:color="auto"/>
      </w:divBdr>
    </w:div>
    <w:div w:id="459417468">
      <w:bodyDiv w:val="1"/>
      <w:marLeft w:val="0"/>
      <w:marRight w:val="0"/>
      <w:marTop w:val="0"/>
      <w:marBottom w:val="0"/>
      <w:divBdr>
        <w:top w:val="none" w:sz="0" w:space="0" w:color="auto"/>
        <w:left w:val="none" w:sz="0" w:space="0" w:color="auto"/>
        <w:bottom w:val="none" w:sz="0" w:space="0" w:color="auto"/>
        <w:right w:val="none" w:sz="0" w:space="0" w:color="auto"/>
      </w:divBdr>
    </w:div>
    <w:div w:id="499270393">
      <w:bodyDiv w:val="1"/>
      <w:marLeft w:val="0"/>
      <w:marRight w:val="0"/>
      <w:marTop w:val="0"/>
      <w:marBottom w:val="0"/>
      <w:divBdr>
        <w:top w:val="none" w:sz="0" w:space="0" w:color="auto"/>
        <w:left w:val="none" w:sz="0" w:space="0" w:color="auto"/>
        <w:bottom w:val="none" w:sz="0" w:space="0" w:color="auto"/>
        <w:right w:val="none" w:sz="0" w:space="0" w:color="auto"/>
      </w:divBdr>
    </w:div>
    <w:div w:id="540868890">
      <w:bodyDiv w:val="1"/>
      <w:marLeft w:val="0"/>
      <w:marRight w:val="0"/>
      <w:marTop w:val="0"/>
      <w:marBottom w:val="0"/>
      <w:divBdr>
        <w:top w:val="none" w:sz="0" w:space="0" w:color="auto"/>
        <w:left w:val="none" w:sz="0" w:space="0" w:color="auto"/>
        <w:bottom w:val="none" w:sz="0" w:space="0" w:color="auto"/>
        <w:right w:val="none" w:sz="0" w:space="0" w:color="auto"/>
      </w:divBdr>
    </w:div>
    <w:div w:id="595554429">
      <w:bodyDiv w:val="1"/>
      <w:marLeft w:val="0"/>
      <w:marRight w:val="0"/>
      <w:marTop w:val="0"/>
      <w:marBottom w:val="0"/>
      <w:divBdr>
        <w:top w:val="none" w:sz="0" w:space="0" w:color="auto"/>
        <w:left w:val="none" w:sz="0" w:space="0" w:color="auto"/>
        <w:bottom w:val="none" w:sz="0" w:space="0" w:color="auto"/>
        <w:right w:val="none" w:sz="0" w:space="0" w:color="auto"/>
      </w:divBdr>
    </w:div>
    <w:div w:id="659577320">
      <w:bodyDiv w:val="1"/>
      <w:marLeft w:val="0"/>
      <w:marRight w:val="0"/>
      <w:marTop w:val="0"/>
      <w:marBottom w:val="0"/>
      <w:divBdr>
        <w:top w:val="none" w:sz="0" w:space="0" w:color="auto"/>
        <w:left w:val="none" w:sz="0" w:space="0" w:color="auto"/>
        <w:bottom w:val="none" w:sz="0" w:space="0" w:color="auto"/>
        <w:right w:val="none" w:sz="0" w:space="0" w:color="auto"/>
      </w:divBdr>
    </w:div>
    <w:div w:id="755249300">
      <w:bodyDiv w:val="1"/>
      <w:marLeft w:val="0"/>
      <w:marRight w:val="0"/>
      <w:marTop w:val="0"/>
      <w:marBottom w:val="0"/>
      <w:divBdr>
        <w:top w:val="none" w:sz="0" w:space="0" w:color="auto"/>
        <w:left w:val="none" w:sz="0" w:space="0" w:color="auto"/>
        <w:bottom w:val="none" w:sz="0" w:space="0" w:color="auto"/>
        <w:right w:val="none" w:sz="0" w:space="0" w:color="auto"/>
      </w:divBdr>
    </w:div>
    <w:div w:id="907152303">
      <w:bodyDiv w:val="1"/>
      <w:marLeft w:val="0"/>
      <w:marRight w:val="0"/>
      <w:marTop w:val="0"/>
      <w:marBottom w:val="0"/>
      <w:divBdr>
        <w:top w:val="none" w:sz="0" w:space="0" w:color="auto"/>
        <w:left w:val="none" w:sz="0" w:space="0" w:color="auto"/>
        <w:bottom w:val="none" w:sz="0" w:space="0" w:color="auto"/>
        <w:right w:val="none" w:sz="0" w:space="0" w:color="auto"/>
      </w:divBdr>
    </w:div>
    <w:div w:id="1022708152">
      <w:bodyDiv w:val="1"/>
      <w:marLeft w:val="0"/>
      <w:marRight w:val="0"/>
      <w:marTop w:val="0"/>
      <w:marBottom w:val="0"/>
      <w:divBdr>
        <w:top w:val="none" w:sz="0" w:space="0" w:color="auto"/>
        <w:left w:val="none" w:sz="0" w:space="0" w:color="auto"/>
        <w:bottom w:val="none" w:sz="0" w:space="0" w:color="auto"/>
        <w:right w:val="none" w:sz="0" w:space="0" w:color="auto"/>
      </w:divBdr>
    </w:div>
    <w:div w:id="1053819380">
      <w:bodyDiv w:val="1"/>
      <w:marLeft w:val="0"/>
      <w:marRight w:val="0"/>
      <w:marTop w:val="0"/>
      <w:marBottom w:val="0"/>
      <w:divBdr>
        <w:top w:val="none" w:sz="0" w:space="0" w:color="auto"/>
        <w:left w:val="none" w:sz="0" w:space="0" w:color="auto"/>
        <w:bottom w:val="none" w:sz="0" w:space="0" w:color="auto"/>
        <w:right w:val="none" w:sz="0" w:space="0" w:color="auto"/>
      </w:divBdr>
    </w:div>
    <w:div w:id="1090465718">
      <w:bodyDiv w:val="1"/>
      <w:marLeft w:val="0"/>
      <w:marRight w:val="0"/>
      <w:marTop w:val="0"/>
      <w:marBottom w:val="0"/>
      <w:divBdr>
        <w:top w:val="none" w:sz="0" w:space="0" w:color="auto"/>
        <w:left w:val="none" w:sz="0" w:space="0" w:color="auto"/>
        <w:bottom w:val="none" w:sz="0" w:space="0" w:color="auto"/>
        <w:right w:val="none" w:sz="0" w:space="0" w:color="auto"/>
      </w:divBdr>
    </w:div>
    <w:div w:id="1232540168">
      <w:bodyDiv w:val="1"/>
      <w:marLeft w:val="0"/>
      <w:marRight w:val="0"/>
      <w:marTop w:val="0"/>
      <w:marBottom w:val="0"/>
      <w:divBdr>
        <w:top w:val="none" w:sz="0" w:space="0" w:color="auto"/>
        <w:left w:val="none" w:sz="0" w:space="0" w:color="auto"/>
        <w:bottom w:val="none" w:sz="0" w:space="0" w:color="auto"/>
        <w:right w:val="none" w:sz="0" w:space="0" w:color="auto"/>
      </w:divBdr>
    </w:div>
    <w:div w:id="1246036357">
      <w:bodyDiv w:val="1"/>
      <w:marLeft w:val="0"/>
      <w:marRight w:val="0"/>
      <w:marTop w:val="0"/>
      <w:marBottom w:val="0"/>
      <w:divBdr>
        <w:top w:val="none" w:sz="0" w:space="0" w:color="auto"/>
        <w:left w:val="none" w:sz="0" w:space="0" w:color="auto"/>
        <w:bottom w:val="none" w:sz="0" w:space="0" w:color="auto"/>
        <w:right w:val="none" w:sz="0" w:space="0" w:color="auto"/>
      </w:divBdr>
    </w:div>
    <w:div w:id="1334213679">
      <w:bodyDiv w:val="1"/>
      <w:marLeft w:val="0"/>
      <w:marRight w:val="0"/>
      <w:marTop w:val="0"/>
      <w:marBottom w:val="0"/>
      <w:divBdr>
        <w:top w:val="none" w:sz="0" w:space="0" w:color="auto"/>
        <w:left w:val="none" w:sz="0" w:space="0" w:color="auto"/>
        <w:bottom w:val="none" w:sz="0" w:space="0" w:color="auto"/>
        <w:right w:val="none" w:sz="0" w:space="0" w:color="auto"/>
      </w:divBdr>
    </w:div>
    <w:div w:id="1380276481">
      <w:bodyDiv w:val="1"/>
      <w:marLeft w:val="0"/>
      <w:marRight w:val="0"/>
      <w:marTop w:val="0"/>
      <w:marBottom w:val="0"/>
      <w:divBdr>
        <w:top w:val="none" w:sz="0" w:space="0" w:color="auto"/>
        <w:left w:val="none" w:sz="0" w:space="0" w:color="auto"/>
        <w:bottom w:val="none" w:sz="0" w:space="0" w:color="auto"/>
        <w:right w:val="none" w:sz="0" w:space="0" w:color="auto"/>
      </w:divBdr>
      <w:divsChild>
        <w:div w:id="1609581738">
          <w:marLeft w:val="0"/>
          <w:marRight w:val="0"/>
          <w:marTop w:val="0"/>
          <w:marBottom w:val="0"/>
          <w:divBdr>
            <w:top w:val="none" w:sz="0" w:space="0" w:color="auto"/>
            <w:left w:val="none" w:sz="0" w:space="0" w:color="auto"/>
            <w:bottom w:val="none" w:sz="0" w:space="0" w:color="auto"/>
            <w:right w:val="none" w:sz="0" w:space="0" w:color="auto"/>
          </w:divBdr>
          <w:divsChild>
            <w:div w:id="96147186">
              <w:marLeft w:val="0"/>
              <w:marRight w:val="0"/>
              <w:marTop w:val="0"/>
              <w:marBottom w:val="0"/>
              <w:divBdr>
                <w:top w:val="none" w:sz="0" w:space="0" w:color="auto"/>
                <w:left w:val="none" w:sz="0" w:space="0" w:color="auto"/>
                <w:bottom w:val="none" w:sz="0" w:space="0" w:color="auto"/>
                <w:right w:val="none" w:sz="0" w:space="0" w:color="auto"/>
              </w:divBdr>
              <w:divsChild>
                <w:div w:id="2014992617">
                  <w:marLeft w:val="0"/>
                  <w:marRight w:val="0"/>
                  <w:marTop w:val="0"/>
                  <w:marBottom w:val="0"/>
                  <w:divBdr>
                    <w:top w:val="none" w:sz="0" w:space="0" w:color="auto"/>
                    <w:left w:val="none" w:sz="0" w:space="0" w:color="auto"/>
                    <w:bottom w:val="none" w:sz="0" w:space="0" w:color="auto"/>
                    <w:right w:val="none" w:sz="0" w:space="0" w:color="auto"/>
                  </w:divBdr>
                  <w:divsChild>
                    <w:div w:id="1611930472">
                      <w:marLeft w:val="0"/>
                      <w:marRight w:val="0"/>
                      <w:marTop w:val="0"/>
                      <w:marBottom w:val="120"/>
                      <w:divBdr>
                        <w:top w:val="none" w:sz="0" w:space="0" w:color="auto"/>
                        <w:left w:val="none" w:sz="0" w:space="0" w:color="auto"/>
                        <w:bottom w:val="none" w:sz="0" w:space="0" w:color="auto"/>
                        <w:right w:val="none" w:sz="0" w:space="0" w:color="auto"/>
                      </w:divBdr>
                      <w:divsChild>
                        <w:div w:id="486937644">
                          <w:marLeft w:val="0"/>
                          <w:marRight w:val="0"/>
                          <w:marTop w:val="0"/>
                          <w:marBottom w:val="0"/>
                          <w:divBdr>
                            <w:top w:val="none" w:sz="0" w:space="0" w:color="auto"/>
                            <w:left w:val="none" w:sz="0" w:space="0" w:color="auto"/>
                            <w:bottom w:val="none" w:sz="0" w:space="0" w:color="auto"/>
                            <w:right w:val="none" w:sz="0" w:space="0" w:color="auto"/>
                          </w:divBdr>
                          <w:divsChild>
                            <w:div w:id="1569461227">
                              <w:marLeft w:val="0"/>
                              <w:marRight w:val="0"/>
                              <w:marTop w:val="0"/>
                              <w:marBottom w:val="0"/>
                              <w:divBdr>
                                <w:top w:val="none" w:sz="0" w:space="0" w:color="auto"/>
                                <w:left w:val="none" w:sz="0" w:space="0" w:color="auto"/>
                                <w:bottom w:val="none" w:sz="0" w:space="0" w:color="auto"/>
                                <w:right w:val="none" w:sz="0" w:space="0" w:color="auto"/>
                              </w:divBdr>
                              <w:divsChild>
                                <w:div w:id="625888851">
                                  <w:marLeft w:val="0"/>
                                  <w:marRight w:val="0"/>
                                  <w:marTop w:val="0"/>
                                  <w:marBottom w:val="0"/>
                                  <w:divBdr>
                                    <w:top w:val="none" w:sz="0" w:space="0" w:color="auto"/>
                                    <w:left w:val="none" w:sz="0" w:space="0" w:color="auto"/>
                                    <w:bottom w:val="none" w:sz="0" w:space="0" w:color="auto"/>
                                    <w:right w:val="none" w:sz="0" w:space="0" w:color="auto"/>
                                  </w:divBdr>
                                  <w:divsChild>
                                    <w:div w:id="1319311309">
                                      <w:marLeft w:val="0"/>
                                      <w:marRight w:val="0"/>
                                      <w:marTop w:val="0"/>
                                      <w:marBottom w:val="0"/>
                                      <w:divBdr>
                                        <w:top w:val="none" w:sz="0" w:space="0" w:color="auto"/>
                                        <w:left w:val="none" w:sz="0" w:space="0" w:color="auto"/>
                                        <w:bottom w:val="none" w:sz="0" w:space="0" w:color="auto"/>
                                        <w:right w:val="none" w:sz="0" w:space="0" w:color="auto"/>
                                      </w:divBdr>
                                      <w:divsChild>
                                        <w:div w:id="959844111">
                                          <w:marLeft w:val="0"/>
                                          <w:marRight w:val="0"/>
                                          <w:marTop w:val="0"/>
                                          <w:marBottom w:val="0"/>
                                          <w:divBdr>
                                            <w:top w:val="none" w:sz="0" w:space="0" w:color="auto"/>
                                            <w:left w:val="none" w:sz="0" w:space="0" w:color="auto"/>
                                            <w:bottom w:val="none" w:sz="0" w:space="0" w:color="auto"/>
                                            <w:right w:val="none" w:sz="0" w:space="0" w:color="auto"/>
                                          </w:divBdr>
                                          <w:divsChild>
                                            <w:div w:id="1940796382">
                                              <w:marLeft w:val="0"/>
                                              <w:marRight w:val="0"/>
                                              <w:marTop w:val="0"/>
                                              <w:marBottom w:val="0"/>
                                              <w:divBdr>
                                                <w:top w:val="none" w:sz="0" w:space="0" w:color="auto"/>
                                                <w:left w:val="none" w:sz="0" w:space="0" w:color="auto"/>
                                                <w:bottom w:val="none" w:sz="0" w:space="0" w:color="auto"/>
                                                <w:right w:val="none" w:sz="0" w:space="0" w:color="auto"/>
                                              </w:divBdr>
                                              <w:divsChild>
                                                <w:div w:id="543253681">
                                                  <w:marLeft w:val="0"/>
                                                  <w:marRight w:val="0"/>
                                                  <w:marTop w:val="0"/>
                                                  <w:marBottom w:val="0"/>
                                                  <w:divBdr>
                                                    <w:top w:val="none" w:sz="0" w:space="0" w:color="auto"/>
                                                    <w:left w:val="none" w:sz="0" w:space="0" w:color="auto"/>
                                                    <w:bottom w:val="none" w:sz="0" w:space="0" w:color="auto"/>
                                                    <w:right w:val="none" w:sz="0" w:space="0" w:color="auto"/>
                                                  </w:divBdr>
                                                </w:div>
                                                <w:div w:id="204099323">
                                                  <w:marLeft w:val="0"/>
                                                  <w:marRight w:val="0"/>
                                                  <w:marTop w:val="0"/>
                                                  <w:marBottom w:val="0"/>
                                                  <w:divBdr>
                                                    <w:top w:val="none" w:sz="0" w:space="0" w:color="auto"/>
                                                    <w:left w:val="none" w:sz="0" w:space="0" w:color="auto"/>
                                                    <w:bottom w:val="none" w:sz="0" w:space="0" w:color="auto"/>
                                                    <w:right w:val="none" w:sz="0" w:space="0" w:color="auto"/>
                                                  </w:divBdr>
                                                </w:div>
                                                <w:div w:id="386879696">
                                                  <w:marLeft w:val="0"/>
                                                  <w:marRight w:val="0"/>
                                                  <w:marTop w:val="0"/>
                                                  <w:marBottom w:val="0"/>
                                                  <w:divBdr>
                                                    <w:top w:val="none" w:sz="0" w:space="0" w:color="auto"/>
                                                    <w:left w:val="none" w:sz="0" w:space="0" w:color="auto"/>
                                                    <w:bottom w:val="none" w:sz="0" w:space="0" w:color="auto"/>
                                                    <w:right w:val="none" w:sz="0" w:space="0" w:color="auto"/>
                                                  </w:divBdr>
                                                </w:div>
                                                <w:div w:id="1524250387">
                                                  <w:marLeft w:val="0"/>
                                                  <w:marRight w:val="0"/>
                                                  <w:marTop w:val="0"/>
                                                  <w:marBottom w:val="0"/>
                                                  <w:divBdr>
                                                    <w:top w:val="none" w:sz="0" w:space="0" w:color="auto"/>
                                                    <w:left w:val="none" w:sz="0" w:space="0" w:color="auto"/>
                                                    <w:bottom w:val="none" w:sz="0" w:space="0" w:color="auto"/>
                                                    <w:right w:val="none" w:sz="0" w:space="0" w:color="auto"/>
                                                  </w:divBdr>
                                                </w:div>
                                                <w:div w:id="1591935245">
                                                  <w:marLeft w:val="0"/>
                                                  <w:marRight w:val="0"/>
                                                  <w:marTop w:val="0"/>
                                                  <w:marBottom w:val="0"/>
                                                  <w:divBdr>
                                                    <w:top w:val="none" w:sz="0" w:space="0" w:color="auto"/>
                                                    <w:left w:val="none" w:sz="0" w:space="0" w:color="auto"/>
                                                    <w:bottom w:val="none" w:sz="0" w:space="0" w:color="auto"/>
                                                    <w:right w:val="none" w:sz="0" w:space="0" w:color="auto"/>
                                                  </w:divBdr>
                                                </w:div>
                                                <w:div w:id="1278486297">
                                                  <w:marLeft w:val="0"/>
                                                  <w:marRight w:val="0"/>
                                                  <w:marTop w:val="0"/>
                                                  <w:marBottom w:val="0"/>
                                                  <w:divBdr>
                                                    <w:top w:val="none" w:sz="0" w:space="0" w:color="auto"/>
                                                    <w:left w:val="none" w:sz="0" w:space="0" w:color="auto"/>
                                                    <w:bottom w:val="none" w:sz="0" w:space="0" w:color="auto"/>
                                                    <w:right w:val="none" w:sz="0" w:space="0" w:color="auto"/>
                                                  </w:divBdr>
                                                </w:div>
                                                <w:div w:id="1963609870">
                                                  <w:marLeft w:val="0"/>
                                                  <w:marRight w:val="0"/>
                                                  <w:marTop w:val="0"/>
                                                  <w:marBottom w:val="0"/>
                                                  <w:divBdr>
                                                    <w:top w:val="none" w:sz="0" w:space="0" w:color="auto"/>
                                                    <w:left w:val="none" w:sz="0" w:space="0" w:color="auto"/>
                                                    <w:bottom w:val="none" w:sz="0" w:space="0" w:color="auto"/>
                                                    <w:right w:val="none" w:sz="0" w:space="0" w:color="auto"/>
                                                  </w:divBdr>
                                                </w:div>
                                                <w:div w:id="1747847925">
                                                  <w:marLeft w:val="0"/>
                                                  <w:marRight w:val="0"/>
                                                  <w:marTop w:val="0"/>
                                                  <w:marBottom w:val="0"/>
                                                  <w:divBdr>
                                                    <w:top w:val="none" w:sz="0" w:space="0" w:color="auto"/>
                                                    <w:left w:val="none" w:sz="0" w:space="0" w:color="auto"/>
                                                    <w:bottom w:val="none" w:sz="0" w:space="0" w:color="auto"/>
                                                    <w:right w:val="none" w:sz="0" w:space="0" w:color="auto"/>
                                                  </w:divBdr>
                                                </w:div>
                                                <w:div w:id="1946375518">
                                                  <w:marLeft w:val="0"/>
                                                  <w:marRight w:val="0"/>
                                                  <w:marTop w:val="0"/>
                                                  <w:marBottom w:val="0"/>
                                                  <w:divBdr>
                                                    <w:top w:val="none" w:sz="0" w:space="0" w:color="auto"/>
                                                    <w:left w:val="none" w:sz="0" w:space="0" w:color="auto"/>
                                                    <w:bottom w:val="none" w:sz="0" w:space="0" w:color="auto"/>
                                                    <w:right w:val="none" w:sz="0" w:space="0" w:color="auto"/>
                                                  </w:divBdr>
                                                </w:div>
                                                <w:div w:id="314333333">
                                                  <w:marLeft w:val="0"/>
                                                  <w:marRight w:val="0"/>
                                                  <w:marTop w:val="0"/>
                                                  <w:marBottom w:val="0"/>
                                                  <w:divBdr>
                                                    <w:top w:val="none" w:sz="0" w:space="0" w:color="auto"/>
                                                    <w:left w:val="none" w:sz="0" w:space="0" w:color="auto"/>
                                                    <w:bottom w:val="none" w:sz="0" w:space="0" w:color="auto"/>
                                                    <w:right w:val="none" w:sz="0" w:space="0" w:color="auto"/>
                                                  </w:divBdr>
                                                </w:div>
                                              </w:divsChild>
                                            </w:div>
                                            <w:div w:id="1633632926">
                                              <w:marLeft w:val="0"/>
                                              <w:marRight w:val="0"/>
                                              <w:marTop w:val="0"/>
                                              <w:marBottom w:val="0"/>
                                              <w:divBdr>
                                                <w:top w:val="none" w:sz="0" w:space="0" w:color="auto"/>
                                                <w:left w:val="none" w:sz="0" w:space="0" w:color="auto"/>
                                                <w:bottom w:val="none" w:sz="0" w:space="0" w:color="auto"/>
                                                <w:right w:val="none" w:sz="0" w:space="0" w:color="auto"/>
                                              </w:divBdr>
                                            </w:div>
                                            <w:div w:id="985088964">
                                              <w:marLeft w:val="0"/>
                                              <w:marRight w:val="0"/>
                                              <w:marTop w:val="0"/>
                                              <w:marBottom w:val="0"/>
                                              <w:divBdr>
                                                <w:top w:val="none" w:sz="0" w:space="0" w:color="auto"/>
                                                <w:left w:val="none" w:sz="0" w:space="0" w:color="auto"/>
                                                <w:bottom w:val="none" w:sz="0" w:space="0" w:color="auto"/>
                                                <w:right w:val="none" w:sz="0" w:space="0" w:color="auto"/>
                                              </w:divBdr>
                                            </w:div>
                                            <w:div w:id="13203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288696">
      <w:bodyDiv w:val="1"/>
      <w:marLeft w:val="0"/>
      <w:marRight w:val="0"/>
      <w:marTop w:val="0"/>
      <w:marBottom w:val="0"/>
      <w:divBdr>
        <w:top w:val="none" w:sz="0" w:space="0" w:color="auto"/>
        <w:left w:val="none" w:sz="0" w:space="0" w:color="auto"/>
        <w:bottom w:val="none" w:sz="0" w:space="0" w:color="auto"/>
        <w:right w:val="none" w:sz="0" w:space="0" w:color="auto"/>
      </w:divBdr>
    </w:div>
    <w:div w:id="1454402208">
      <w:bodyDiv w:val="1"/>
      <w:marLeft w:val="0"/>
      <w:marRight w:val="0"/>
      <w:marTop w:val="0"/>
      <w:marBottom w:val="0"/>
      <w:divBdr>
        <w:top w:val="none" w:sz="0" w:space="0" w:color="auto"/>
        <w:left w:val="none" w:sz="0" w:space="0" w:color="auto"/>
        <w:bottom w:val="none" w:sz="0" w:space="0" w:color="auto"/>
        <w:right w:val="none" w:sz="0" w:space="0" w:color="auto"/>
      </w:divBdr>
    </w:div>
    <w:div w:id="1588271914">
      <w:bodyDiv w:val="1"/>
      <w:marLeft w:val="0"/>
      <w:marRight w:val="0"/>
      <w:marTop w:val="0"/>
      <w:marBottom w:val="0"/>
      <w:divBdr>
        <w:top w:val="none" w:sz="0" w:space="0" w:color="auto"/>
        <w:left w:val="none" w:sz="0" w:space="0" w:color="auto"/>
        <w:bottom w:val="none" w:sz="0" w:space="0" w:color="auto"/>
        <w:right w:val="none" w:sz="0" w:space="0" w:color="auto"/>
      </w:divBdr>
    </w:div>
    <w:div w:id="1617566827">
      <w:bodyDiv w:val="1"/>
      <w:marLeft w:val="0"/>
      <w:marRight w:val="0"/>
      <w:marTop w:val="0"/>
      <w:marBottom w:val="0"/>
      <w:divBdr>
        <w:top w:val="none" w:sz="0" w:space="0" w:color="auto"/>
        <w:left w:val="none" w:sz="0" w:space="0" w:color="auto"/>
        <w:bottom w:val="none" w:sz="0" w:space="0" w:color="auto"/>
        <w:right w:val="none" w:sz="0" w:space="0" w:color="auto"/>
      </w:divBdr>
    </w:div>
    <w:div w:id="1689717043">
      <w:bodyDiv w:val="1"/>
      <w:marLeft w:val="0"/>
      <w:marRight w:val="0"/>
      <w:marTop w:val="0"/>
      <w:marBottom w:val="0"/>
      <w:divBdr>
        <w:top w:val="none" w:sz="0" w:space="0" w:color="auto"/>
        <w:left w:val="none" w:sz="0" w:space="0" w:color="auto"/>
        <w:bottom w:val="none" w:sz="0" w:space="0" w:color="auto"/>
        <w:right w:val="none" w:sz="0" w:space="0" w:color="auto"/>
      </w:divBdr>
    </w:div>
    <w:div w:id="1798984621">
      <w:bodyDiv w:val="1"/>
      <w:marLeft w:val="0"/>
      <w:marRight w:val="0"/>
      <w:marTop w:val="0"/>
      <w:marBottom w:val="0"/>
      <w:divBdr>
        <w:top w:val="none" w:sz="0" w:space="0" w:color="auto"/>
        <w:left w:val="none" w:sz="0" w:space="0" w:color="auto"/>
        <w:bottom w:val="none" w:sz="0" w:space="0" w:color="auto"/>
        <w:right w:val="none" w:sz="0" w:space="0" w:color="auto"/>
      </w:divBdr>
    </w:div>
    <w:div w:id="1853177453">
      <w:bodyDiv w:val="1"/>
      <w:marLeft w:val="0"/>
      <w:marRight w:val="0"/>
      <w:marTop w:val="0"/>
      <w:marBottom w:val="0"/>
      <w:divBdr>
        <w:top w:val="none" w:sz="0" w:space="0" w:color="auto"/>
        <w:left w:val="none" w:sz="0" w:space="0" w:color="auto"/>
        <w:bottom w:val="none" w:sz="0" w:space="0" w:color="auto"/>
        <w:right w:val="none" w:sz="0" w:space="0" w:color="auto"/>
      </w:divBdr>
    </w:div>
    <w:div w:id="1962492465">
      <w:bodyDiv w:val="1"/>
      <w:marLeft w:val="0"/>
      <w:marRight w:val="0"/>
      <w:marTop w:val="0"/>
      <w:marBottom w:val="0"/>
      <w:divBdr>
        <w:top w:val="none" w:sz="0" w:space="0" w:color="auto"/>
        <w:left w:val="none" w:sz="0" w:space="0" w:color="auto"/>
        <w:bottom w:val="none" w:sz="0" w:space="0" w:color="auto"/>
        <w:right w:val="none" w:sz="0" w:space="0" w:color="auto"/>
      </w:divBdr>
    </w:div>
    <w:div w:id="1967739762">
      <w:bodyDiv w:val="1"/>
      <w:marLeft w:val="0"/>
      <w:marRight w:val="0"/>
      <w:marTop w:val="0"/>
      <w:marBottom w:val="0"/>
      <w:divBdr>
        <w:top w:val="none" w:sz="0" w:space="0" w:color="auto"/>
        <w:left w:val="none" w:sz="0" w:space="0" w:color="auto"/>
        <w:bottom w:val="none" w:sz="0" w:space="0" w:color="auto"/>
        <w:right w:val="none" w:sz="0" w:space="0" w:color="auto"/>
      </w:divBdr>
    </w:div>
    <w:div w:id="1986230926">
      <w:bodyDiv w:val="1"/>
      <w:marLeft w:val="0"/>
      <w:marRight w:val="0"/>
      <w:marTop w:val="0"/>
      <w:marBottom w:val="0"/>
      <w:divBdr>
        <w:top w:val="none" w:sz="0" w:space="0" w:color="auto"/>
        <w:left w:val="none" w:sz="0" w:space="0" w:color="auto"/>
        <w:bottom w:val="none" w:sz="0" w:space="0" w:color="auto"/>
        <w:right w:val="none" w:sz="0" w:space="0" w:color="auto"/>
      </w:divBdr>
    </w:div>
    <w:div w:id="2052608364">
      <w:bodyDiv w:val="1"/>
      <w:marLeft w:val="0"/>
      <w:marRight w:val="0"/>
      <w:marTop w:val="0"/>
      <w:marBottom w:val="0"/>
      <w:divBdr>
        <w:top w:val="none" w:sz="0" w:space="0" w:color="auto"/>
        <w:left w:val="none" w:sz="0" w:space="0" w:color="auto"/>
        <w:bottom w:val="none" w:sz="0" w:space="0" w:color="auto"/>
        <w:right w:val="none" w:sz="0" w:space="0" w:color="auto"/>
      </w:divBdr>
    </w:div>
    <w:div w:id="21243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na.jurkovicova@mindop.sk" TargetMode="External"/><Relationship Id="rId4" Type="http://schemas.openxmlformats.org/officeDocument/2006/relationships/styles" Target="styles.xml"/><Relationship Id="rId9" Type="http://schemas.openxmlformats.org/officeDocument/2006/relationships/hyperlink" Target="mailto:marek.hudec@mindo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_material"/>
    <f:field ref="objsubject" par="" edit="true" text=""/>
    <f:field ref="objcreatedby" par="" text="Gavalcová, Eva"/>
    <f:field ref="objcreatedat" par="" text="23.2.2018 8:51:43"/>
    <f:field ref="objchangedby" par="" text="Administrator, System"/>
    <f:field ref="objmodifiedat" par="" text="23.2.2018 8:51: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EB3E783-BE27-4216-A1F9-52203B4E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4983</Words>
  <Characters>28407</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Hana.Jurkovicova@mindop.sk</dc:creator>
  <cp:lastModifiedBy>Frič, Michal</cp:lastModifiedBy>
  <cp:revision>2</cp:revision>
  <cp:lastPrinted>2018-02-01T08:40:00Z</cp:lastPrinted>
  <dcterms:created xsi:type="dcterms:W3CDTF">2018-02-23T13:08:00Z</dcterms:created>
  <dcterms:modified xsi:type="dcterms:W3CDTF">2018-02-23T13:08:00Z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Cestná 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Eva Gavalcová</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Návrh riadneho predbežného stanoviska Slovenskej republiky k návrhu nariadenia Európskeho parlamentu a Rady, ktorým sa mení nariadenie (ES) č. 1073/2009 o spoločných pravidlách prístupu na medzinárodný trh autokarovej a autobusovej dopravy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627/2013 z 23. októbra 2013 k Systému tvorby stanovísk k návrhom aktov EÚ a stavu koordinácie realizácie politík EÚ</vt:lpwstr>
  </property>
  <property fmtid="{D5CDD505-2E9C-101B-9397-08002B2CF9AE}" pid="23" name="FSC#SKEDITIONSLOVLEX@103.510:plnynazovpredpis">
    <vt:lpwstr> Návrh riadneho predbežného stanoviska Slovenskej republiky k návrhu nariadenia Európskeho parlamentu a Rady, ktorým sa mení nariadenie (ES) č. 1073/2009 o spoločných pravidlách prístupu na medzinárodný trh autokarovej a autobusovej dopravy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09561/2018/SCDPK/09039-M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LP/2018/113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23. 2. 2018</vt:lpwstr>
  </property>
  <property fmtid="{D5CDD505-2E9C-101B-9397-08002B2CF9AE}" pid="151" name="FSC#COOSYSTEM@1.1:Container">
    <vt:lpwstr>COO.2145.1000.3.2446656</vt:lpwstr>
  </property>
  <property fmtid="{D5CDD505-2E9C-101B-9397-08002B2CF9AE}" pid="152" name="FSC#FSCFOLIO@1.1001:docpropproject">
    <vt:lpwstr/>
  </property>
</Properties>
</file>