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2B48" w:rsidRPr="008930A7" w:rsidP="00CF2B48">
      <w:pPr>
        <w:pStyle w:val="Title"/>
        <w:bidi w:val="0"/>
        <w:jc w:val="left"/>
        <w:rPr>
          <w:sz w:val="24"/>
          <w:szCs w:val="24"/>
        </w:rPr>
      </w:pPr>
      <w:r>
        <w:rPr>
          <w:rFonts w:ascii="Arial" w:hAnsi="Arial" w:cs="Arial"/>
          <w:b/>
          <w:bCs/>
          <w:noProof/>
          <w:kern w:val="28"/>
          <w:sz w:val="24"/>
          <w:szCs w:val="24"/>
          <w:rtl w:val="0"/>
          <w:cs w:val="0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87.75pt;height:91.5pt;margin-top:13.45pt;margin-left:-36.75pt;position:absolute;z-index:251658240" o:preferrelative="t" stroked="f">
            <v:imagedata r:id="rId5" o:title=""/>
            <o:diagram v:ext="edit"/>
            <w10:wrap type="square"/>
          </v:shape>
          <o:OLEObject Type="Embed" ProgID="PBrush" ShapeID="_x0000_s1025" DrawAspect="Content" ObjectID="_1" r:id="rId6"/>
        </w:pict>
      </w:r>
      <w:r w:rsidRPr="008930A7">
        <w:rPr>
          <w:sz w:val="24"/>
          <w:szCs w:val="24"/>
        </w:rPr>
        <w:t>Ústav pamäti národa</w:t>
      </w:r>
    </w:p>
    <w:p w:rsidR="00CF2B48" w:rsidRPr="008930A7" w:rsidP="00CF2B48">
      <w:pPr>
        <w:pStyle w:val="Title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Miletičová 19</w:t>
      </w:r>
      <w:r w:rsidRPr="008930A7">
        <w:rPr>
          <w:sz w:val="24"/>
          <w:szCs w:val="24"/>
        </w:rPr>
        <w:t xml:space="preserve">, </w:t>
      </w:r>
    </w:p>
    <w:p w:rsidR="00CF2B48" w:rsidRPr="008930A7" w:rsidP="00CF2B48">
      <w:pPr>
        <w:pStyle w:val="Title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820 18 </w:t>
      </w:r>
      <w:r w:rsidRPr="008930A7">
        <w:rPr>
          <w:sz w:val="24"/>
          <w:szCs w:val="24"/>
        </w:rPr>
        <w:t xml:space="preserve">  Bratislava </w:t>
      </w:r>
      <w:r>
        <w:rPr>
          <w:sz w:val="24"/>
          <w:szCs w:val="24"/>
        </w:rPr>
        <w:t>218</w:t>
      </w:r>
    </w:p>
    <w:p w:rsidR="00CF2B48" w:rsidRPr="008930A7" w:rsidP="00CF2B48">
      <w:pPr>
        <w:bidi w:val="0"/>
        <w:rPr>
          <w:rFonts w:ascii="Arial" w:hAnsi="Arial" w:cs="Arial"/>
        </w:rPr>
      </w:pPr>
    </w:p>
    <w:p w:rsidR="00CF2B48" w:rsidRPr="008930A7" w:rsidP="00CF2B48">
      <w:pPr>
        <w:pBdr>
          <w:top w:val="single" w:sz="4" w:space="1" w:color="auto"/>
        </w:pBdr>
        <w:bidi w:val="0"/>
        <w:rPr>
          <w:rFonts w:ascii="Arial" w:hAnsi="Arial" w:cs="Arial"/>
        </w:rPr>
      </w:pPr>
    </w:p>
    <w:p w:rsidR="00CF2B48" w:rsidRPr="008930A7" w:rsidP="00CF2B48">
      <w:pPr>
        <w:bidi w:val="0"/>
        <w:rPr>
          <w:rFonts w:ascii="Arial" w:hAnsi="Arial" w:cs="Arial"/>
        </w:rPr>
      </w:pPr>
    </w:p>
    <w:p w:rsidR="00CF2B48" w:rsidRPr="008930A7" w:rsidP="00CF2B48">
      <w:pPr>
        <w:bidi w:val="0"/>
        <w:rPr>
          <w:rFonts w:ascii="Arial" w:hAnsi="Arial" w:cs="Arial"/>
        </w:rPr>
      </w:pPr>
    </w:p>
    <w:p w:rsidR="00CF2B48" w:rsidRPr="008930A7" w:rsidP="00CF2B48">
      <w:pPr>
        <w:bidi w:val="0"/>
        <w:rPr>
          <w:rFonts w:ascii="Arial" w:hAnsi="Arial" w:cs="Arial"/>
        </w:rPr>
      </w:pPr>
      <w:r w:rsidRPr="008930A7">
        <w:rPr>
          <w:rFonts w:ascii="Arial" w:hAnsi="Arial" w:cs="Arial"/>
        </w:rPr>
        <w:t xml:space="preserve">                                                              </w:t>
      </w:r>
    </w:p>
    <w:p w:rsidR="00CF2B48" w:rsidRPr="008930A7" w:rsidP="00CF2B48">
      <w:pPr>
        <w:bidi w:val="0"/>
        <w:rPr>
          <w:rFonts w:ascii="Arial" w:hAnsi="Arial" w:cs="Arial"/>
        </w:rPr>
      </w:pPr>
    </w:p>
    <w:p w:rsidR="00CF2B48" w:rsidRPr="008930A7" w:rsidP="00CF2B48">
      <w:pPr>
        <w:bidi w:val="0"/>
        <w:rPr>
          <w:rFonts w:ascii="Arial" w:hAnsi="Arial" w:cs="Arial"/>
        </w:rPr>
      </w:pPr>
    </w:p>
    <w:p w:rsidR="00CF2B48" w:rsidRPr="008930A7" w:rsidP="00CF2B48">
      <w:pPr>
        <w:bidi w:val="0"/>
        <w:rPr>
          <w:rFonts w:ascii="Arial" w:hAnsi="Arial" w:cs="Arial"/>
        </w:rPr>
      </w:pPr>
    </w:p>
    <w:p w:rsidR="00CF2B48" w:rsidRPr="008930A7" w:rsidP="00CF2B48">
      <w:pPr>
        <w:bidi w:val="0"/>
        <w:rPr>
          <w:rFonts w:ascii="Arial" w:hAnsi="Arial" w:cs="Arial"/>
        </w:rPr>
      </w:pPr>
    </w:p>
    <w:p w:rsidR="00CF2B48" w:rsidRPr="008930A7" w:rsidP="00CF2B48">
      <w:pPr>
        <w:bidi w:val="0"/>
        <w:rPr>
          <w:rFonts w:ascii="Arial" w:hAnsi="Arial" w:cs="Arial"/>
        </w:rPr>
      </w:pPr>
    </w:p>
    <w:p w:rsidR="00CF2B48" w:rsidRPr="008930A7" w:rsidP="00CF2B48">
      <w:pPr>
        <w:bidi w:val="0"/>
        <w:rPr>
          <w:rFonts w:ascii="Arial" w:hAnsi="Arial" w:cs="Arial"/>
        </w:rPr>
      </w:pPr>
    </w:p>
    <w:p w:rsidR="00CF2B48" w:rsidRPr="008930A7" w:rsidP="00CF2B48">
      <w:pPr>
        <w:bidi w:val="0"/>
        <w:rPr>
          <w:rFonts w:ascii="Arial" w:hAnsi="Arial" w:cs="Arial"/>
        </w:rPr>
      </w:pPr>
    </w:p>
    <w:p w:rsidR="00CF2B48" w:rsidRPr="008930A7" w:rsidP="00CF2B48">
      <w:pPr>
        <w:bidi w:val="0"/>
        <w:rPr>
          <w:rFonts w:ascii="Arial" w:hAnsi="Arial" w:cs="Arial"/>
        </w:rPr>
      </w:pPr>
    </w:p>
    <w:p w:rsidR="00CF2B48" w:rsidRPr="008930A7" w:rsidP="00CF2B48">
      <w:pPr>
        <w:bidi w:val="0"/>
        <w:rPr>
          <w:rFonts w:ascii="Arial" w:hAnsi="Arial" w:cs="Arial"/>
        </w:rPr>
      </w:pPr>
    </w:p>
    <w:p w:rsidR="00CF2B48" w:rsidRPr="008930A7" w:rsidP="00CF2B48">
      <w:pPr>
        <w:bidi w:val="0"/>
        <w:jc w:val="center"/>
        <w:rPr>
          <w:rFonts w:ascii="Arial" w:hAnsi="Arial" w:cs="Arial"/>
          <w:b/>
        </w:rPr>
      </w:pPr>
      <w:r w:rsidRPr="008930A7">
        <w:rPr>
          <w:rFonts w:ascii="Arial" w:hAnsi="Arial" w:cs="Arial"/>
          <w:b/>
        </w:rPr>
        <w:t>Ročná účtovná závierka  za rok  201</w:t>
      </w:r>
      <w:r>
        <w:rPr>
          <w:rFonts w:ascii="Arial" w:hAnsi="Arial" w:cs="Arial"/>
          <w:b/>
        </w:rPr>
        <w:t>5</w:t>
      </w:r>
    </w:p>
    <w:p w:rsidR="00CF2B48" w:rsidRPr="008930A7" w:rsidP="00CF2B48">
      <w:pPr>
        <w:pBdr>
          <w:bottom w:val="single" w:sz="4" w:space="1" w:color="auto"/>
        </w:pBdr>
        <w:bidi w:val="0"/>
        <w:jc w:val="center"/>
        <w:rPr>
          <w:rFonts w:ascii="Arial" w:hAnsi="Arial" w:cs="Arial"/>
          <w:b/>
        </w:rPr>
      </w:pPr>
    </w:p>
    <w:p w:rsidR="00CF2B48" w:rsidRPr="008930A7" w:rsidP="00CF2B48">
      <w:pPr>
        <w:bidi w:val="0"/>
        <w:jc w:val="both"/>
        <w:rPr>
          <w:rFonts w:ascii="Arial" w:hAnsi="Arial" w:cs="Arial"/>
        </w:rPr>
      </w:pPr>
    </w:p>
    <w:p w:rsidR="00CF2B48" w:rsidRPr="008930A7" w:rsidP="00CF2B48">
      <w:pPr>
        <w:bidi w:val="0"/>
        <w:jc w:val="both"/>
        <w:rPr>
          <w:rFonts w:ascii="Arial" w:hAnsi="Arial" w:cs="Arial"/>
        </w:rPr>
      </w:pPr>
    </w:p>
    <w:p w:rsidR="00CF2B48" w:rsidRPr="008930A7" w:rsidP="00CF2B48">
      <w:pPr>
        <w:bidi w:val="0"/>
        <w:jc w:val="both"/>
        <w:rPr>
          <w:rFonts w:ascii="Arial" w:hAnsi="Arial" w:cs="Arial"/>
        </w:rPr>
      </w:pPr>
    </w:p>
    <w:p w:rsidR="00CF2B48" w:rsidRPr="008930A7" w:rsidP="00CF2B48">
      <w:pPr>
        <w:bidi w:val="0"/>
        <w:jc w:val="both"/>
        <w:rPr>
          <w:rFonts w:ascii="Arial" w:hAnsi="Arial" w:cs="Arial"/>
          <w:b/>
        </w:rPr>
      </w:pPr>
    </w:p>
    <w:p w:rsidR="00CF2B48" w:rsidRPr="008930A7" w:rsidP="00CF2B48">
      <w:pPr>
        <w:pStyle w:val="Heading3"/>
        <w:bidi w:val="0"/>
        <w:jc w:val="center"/>
        <w:rPr>
          <w:sz w:val="24"/>
          <w:szCs w:val="24"/>
        </w:rPr>
      </w:pPr>
    </w:p>
    <w:p w:rsidR="00CF2B48" w:rsidRPr="008930A7" w:rsidP="00CF2B48">
      <w:pPr>
        <w:bidi w:val="0"/>
        <w:rPr>
          <w:rFonts w:ascii="Arial" w:hAnsi="Arial" w:cs="Arial"/>
        </w:rPr>
      </w:pPr>
    </w:p>
    <w:p w:rsidR="00CF2B48" w:rsidRPr="008930A7" w:rsidP="00CF2B48">
      <w:pPr>
        <w:bidi w:val="0"/>
        <w:rPr>
          <w:rFonts w:ascii="Arial" w:hAnsi="Arial" w:cs="Arial"/>
        </w:rPr>
      </w:pPr>
    </w:p>
    <w:p w:rsidR="00CF2B48" w:rsidRPr="008930A7" w:rsidP="00CF2B48">
      <w:pPr>
        <w:bidi w:val="0"/>
        <w:rPr>
          <w:rFonts w:ascii="Arial" w:hAnsi="Arial" w:cs="Arial"/>
        </w:rPr>
      </w:pPr>
    </w:p>
    <w:p w:rsidR="00CF2B48" w:rsidRPr="008930A7" w:rsidP="00CF2B48">
      <w:pPr>
        <w:bidi w:val="0"/>
        <w:rPr>
          <w:rFonts w:ascii="Arial" w:hAnsi="Arial" w:cs="Arial"/>
        </w:rPr>
      </w:pPr>
    </w:p>
    <w:p w:rsidR="00CF2B48" w:rsidRPr="008930A7" w:rsidP="00CF2B48">
      <w:pPr>
        <w:bidi w:val="0"/>
        <w:rPr>
          <w:rFonts w:ascii="Arial" w:hAnsi="Arial" w:cs="Arial"/>
        </w:rPr>
      </w:pPr>
    </w:p>
    <w:p w:rsidR="00CF2B48" w:rsidRPr="008930A7" w:rsidP="00CF2B48">
      <w:pPr>
        <w:bidi w:val="0"/>
        <w:rPr>
          <w:rFonts w:ascii="Arial" w:hAnsi="Arial" w:cs="Arial"/>
        </w:rPr>
      </w:pPr>
    </w:p>
    <w:p w:rsidR="00CF2B48" w:rsidRPr="008930A7" w:rsidP="00CF2B48">
      <w:pPr>
        <w:bidi w:val="0"/>
        <w:rPr>
          <w:rFonts w:ascii="Arial" w:hAnsi="Arial" w:cs="Arial"/>
        </w:rPr>
      </w:pPr>
    </w:p>
    <w:p w:rsidR="00CF2B48" w:rsidRPr="008930A7" w:rsidP="00CF2B48">
      <w:pPr>
        <w:bidi w:val="0"/>
        <w:rPr>
          <w:rFonts w:ascii="Arial" w:hAnsi="Arial" w:cs="Arial"/>
        </w:rPr>
      </w:pPr>
    </w:p>
    <w:p w:rsidR="00CF2B48" w:rsidRPr="008930A7" w:rsidP="00CF2B48">
      <w:pPr>
        <w:bidi w:val="0"/>
        <w:rPr>
          <w:rFonts w:ascii="Arial" w:hAnsi="Arial" w:cs="Arial"/>
        </w:rPr>
      </w:pPr>
    </w:p>
    <w:p w:rsidR="00CF2B48" w:rsidRPr="008930A7" w:rsidP="00CF2B48">
      <w:pPr>
        <w:bidi w:val="0"/>
        <w:rPr>
          <w:rFonts w:ascii="Arial" w:hAnsi="Arial" w:cs="Arial"/>
        </w:rPr>
      </w:pPr>
    </w:p>
    <w:p w:rsidR="00CF2B48" w:rsidRPr="008930A7" w:rsidP="00CF2B48">
      <w:pPr>
        <w:bidi w:val="0"/>
        <w:rPr>
          <w:rFonts w:ascii="Arial" w:hAnsi="Arial" w:cs="Arial"/>
        </w:rPr>
      </w:pPr>
    </w:p>
    <w:p w:rsidR="00CF2B48" w:rsidRPr="008930A7" w:rsidP="00CF2B48">
      <w:pPr>
        <w:bidi w:val="0"/>
        <w:rPr>
          <w:rFonts w:ascii="Arial" w:hAnsi="Arial" w:cs="Arial"/>
        </w:rPr>
      </w:pPr>
    </w:p>
    <w:p w:rsidR="00CF2B48" w:rsidRPr="008930A7" w:rsidP="00CF2B48">
      <w:pPr>
        <w:bidi w:val="0"/>
        <w:rPr>
          <w:rFonts w:ascii="Arial" w:hAnsi="Arial" w:cs="Arial"/>
        </w:rPr>
      </w:pPr>
    </w:p>
    <w:p w:rsidR="00CF2B48" w:rsidRPr="008930A7" w:rsidP="00CF2B48">
      <w:pPr>
        <w:bidi w:val="0"/>
        <w:rPr>
          <w:rFonts w:ascii="Arial" w:hAnsi="Arial" w:cs="Arial"/>
        </w:rPr>
      </w:pPr>
    </w:p>
    <w:p w:rsidR="00CF2B48" w:rsidRPr="008930A7" w:rsidP="00CF2B48">
      <w:pPr>
        <w:bidi w:val="0"/>
        <w:rPr>
          <w:rFonts w:ascii="Arial" w:hAnsi="Arial" w:cs="Arial"/>
        </w:rPr>
      </w:pPr>
    </w:p>
    <w:p w:rsidR="00CF2B48" w:rsidRPr="008930A7" w:rsidP="00CF2B48">
      <w:pPr>
        <w:bidi w:val="0"/>
        <w:rPr>
          <w:rFonts w:ascii="Arial" w:hAnsi="Arial" w:cs="Arial"/>
        </w:rPr>
      </w:pPr>
    </w:p>
    <w:p w:rsidR="00CF2B48" w:rsidRPr="008930A7" w:rsidP="00CF2B48">
      <w:pPr>
        <w:pStyle w:val="Heading3"/>
        <w:bidi w:val="0"/>
        <w:jc w:val="center"/>
        <w:rPr>
          <w:sz w:val="24"/>
          <w:szCs w:val="24"/>
        </w:rPr>
      </w:pPr>
      <w:r w:rsidRPr="008930A7">
        <w:rPr>
          <w:sz w:val="24"/>
          <w:szCs w:val="24"/>
        </w:rPr>
        <w:t xml:space="preserve">Bratislava,  </w:t>
      </w:r>
      <w:r w:rsidR="008F25C9">
        <w:rPr>
          <w:sz w:val="24"/>
          <w:szCs w:val="24"/>
        </w:rPr>
        <w:t xml:space="preserve">apríl </w:t>
      </w:r>
      <w:r w:rsidRPr="008930A7">
        <w:rPr>
          <w:sz w:val="24"/>
          <w:szCs w:val="24"/>
        </w:rPr>
        <w:t>201</w:t>
      </w:r>
      <w:r>
        <w:rPr>
          <w:sz w:val="24"/>
          <w:szCs w:val="24"/>
        </w:rPr>
        <w:t>6</w:t>
      </w:r>
    </w:p>
    <w:p w:rsidR="00CF2B48" w:rsidRPr="008930A7" w:rsidP="00CF2B48">
      <w:pPr>
        <w:bidi w:val="0"/>
        <w:rPr>
          <w:rFonts w:ascii="Arial" w:hAnsi="Arial" w:cs="Arial"/>
        </w:rPr>
      </w:pPr>
    </w:p>
    <w:p w:rsidR="00CF2B48" w:rsidP="00B60E60">
      <w:pPr>
        <w:pStyle w:val="Title"/>
        <w:bidi w:val="0"/>
        <w:ind w:left="-142"/>
        <w:rPr>
          <w:sz w:val="22"/>
          <w:szCs w:val="22"/>
        </w:rPr>
      </w:pPr>
    </w:p>
    <w:p w:rsidR="00CF2B48">
      <w:pPr>
        <w:bidi w:val="0"/>
        <w:spacing w:after="200" w:line="276" w:lineRule="auto"/>
        <w:rPr>
          <w:rFonts w:ascii="Arial" w:hAnsi="Arial" w:cs="Arial"/>
          <w:b/>
          <w:bCs/>
          <w:kern w:val="28"/>
          <w:sz w:val="22"/>
          <w:szCs w:val="22"/>
        </w:rPr>
      </w:pPr>
    </w:p>
    <w:p w:rsidR="008F25C9" w:rsidP="008F25C9">
      <w:pPr>
        <w:pStyle w:val="Title"/>
        <w:bidi w:val="0"/>
        <w:ind w:left="-142"/>
        <w:jc w:val="left"/>
        <w:rPr>
          <w:sz w:val="22"/>
          <w:szCs w:val="22"/>
        </w:rPr>
      </w:pPr>
      <w:r>
        <w:rPr>
          <w:sz w:val="22"/>
          <w:szCs w:val="22"/>
        </w:rPr>
        <w:t>Úvod</w:t>
      </w:r>
    </w:p>
    <w:p w:rsidR="008F25C9" w:rsidP="008F25C9">
      <w:pPr>
        <w:widowControl w:val="0"/>
        <w:autoSpaceDE w:val="0"/>
        <w:bidi w:val="0"/>
        <w:ind w:left="-142"/>
        <w:jc w:val="center"/>
        <w:rPr>
          <w:rFonts w:ascii="Arial" w:hAnsi="Arial" w:cs="Arial"/>
          <w:sz w:val="22"/>
          <w:szCs w:val="22"/>
        </w:rPr>
      </w:pPr>
    </w:p>
    <w:p w:rsidR="008F25C9" w:rsidP="008F25C9">
      <w:pPr>
        <w:pStyle w:val="BodyText"/>
        <w:bidi w:val="0"/>
        <w:ind w:left="-142" w:firstLine="85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Ústav pamäti národa bol zriadený zákonom č. 553/2002 Z. z. o sprístupnení dokumentov o činnosti bezpečnostných zložiek štátu 1939 - 1989 a o založení Ústavu pamäti národa a o doplnení niektorých zákonov (zákon o pamäti národa) v znení neskorších predpisov. Hlavnou činnosťou ústavu je zabezpečiť plnenie úloh zverených zákonom</w:t>
      </w:r>
      <w:r>
        <w:rPr>
          <w:sz w:val="22"/>
          <w:szCs w:val="22"/>
        </w:rPr>
        <w:t>.</w:t>
      </w:r>
    </w:p>
    <w:p w:rsidR="008F25C9" w:rsidP="008F25C9">
      <w:pPr>
        <w:pStyle w:val="BodyText"/>
        <w:bidi w:val="0"/>
        <w:ind w:left="-142"/>
        <w:jc w:val="both"/>
        <w:rPr>
          <w:b w:val="0"/>
          <w:sz w:val="22"/>
          <w:szCs w:val="22"/>
        </w:rPr>
      </w:pPr>
    </w:p>
    <w:p w:rsidR="008F25C9" w:rsidP="008F25C9">
      <w:pPr>
        <w:pStyle w:val="BodyText"/>
        <w:widowControl/>
        <w:suppressAutoHyphens w:val="0"/>
        <w:autoSpaceDE/>
        <w:autoSpaceDN w:val="0"/>
        <w:bidi w:val="0"/>
        <w:ind w:left="-142" w:firstLine="85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Zhodnotenie plnenia transferu prideleného na financovanie činnosti ÚPN za rok 2015 z kapitoly „Všeobecná pokladničná správa“ MFSR spis č. MF/027037/2014-442 zo dňa 19.12.2014*.</w:t>
      </w:r>
    </w:p>
    <w:p w:rsidR="008F25C9" w:rsidP="008F25C9">
      <w:pPr>
        <w:pStyle w:val="BodyText"/>
        <w:widowControl/>
        <w:suppressAutoHyphens w:val="0"/>
        <w:autoSpaceDE/>
        <w:autoSpaceDN w:val="0"/>
        <w:bidi w:val="0"/>
        <w:ind w:left="-142" w:firstLine="85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 </w:t>
      </w:r>
    </w:p>
    <w:tbl>
      <w:tblPr>
        <w:tblStyle w:val="TableNormal"/>
        <w:tblpPr w:leftFromText="141" w:rightFromText="141" w:vertAnchor="text" w:horzAnchor="margin" w:tblpX="-68" w:tblpY="-7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63"/>
        <w:gridCol w:w="1843"/>
        <w:gridCol w:w="1559"/>
      </w:tblGrid>
      <w:tr>
        <w:tblPrEx>
          <w:tblW w:w="94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5C9">
            <w:pPr>
              <w:bidi w:val="0"/>
              <w:ind w:left="142"/>
              <w:rPr>
                <w:rFonts w:ascii="Arial" w:hAnsi="Arial" w:cs="Arial"/>
              </w:rPr>
            </w:pPr>
          </w:p>
          <w:p w:rsidR="008F25C9">
            <w:pPr>
              <w:bidi w:val="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Transfer finančných prostriedkov zo štátneho rozpočtu v €</w:t>
            </w:r>
          </w:p>
          <w:p w:rsidR="008F25C9">
            <w:pPr>
              <w:bidi w:val="0"/>
              <w:ind w:left="142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5C9">
            <w:pPr>
              <w:bidi w:val="0"/>
              <w:ind w:left="-142"/>
              <w:jc w:val="center"/>
              <w:rPr>
                <w:rFonts w:ascii="Arial" w:hAnsi="Arial" w:cs="Arial"/>
              </w:rPr>
            </w:pPr>
          </w:p>
          <w:p w:rsidR="008F25C9">
            <w:pPr>
              <w:bidi w:val="0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Schválený </w:t>
            </w:r>
          </w:p>
          <w:p w:rsidR="008F25C9">
            <w:pPr>
              <w:bidi w:val="0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limit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5C9">
            <w:pPr>
              <w:bidi w:val="0"/>
              <w:ind w:left="-142"/>
              <w:jc w:val="center"/>
              <w:rPr>
                <w:rFonts w:ascii="Arial" w:hAnsi="Arial" w:cs="Arial"/>
              </w:rPr>
            </w:pPr>
          </w:p>
          <w:p w:rsidR="008F25C9">
            <w:pPr>
              <w:bidi w:val="0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Upravený </w:t>
            </w:r>
          </w:p>
          <w:p w:rsidR="008F25C9">
            <w:pPr>
              <w:bidi w:val="0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limit</w:t>
            </w:r>
          </w:p>
        </w:tc>
      </w:tr>
      <w:tr>
        <w:tblPrEx>
          <w:tblW w:w="9465" w:type="dxa"/>
          <w:tblLayout w:type="fixed"/>
          <w:tblLook w:val="00A0"/>
        </w:tblPrEx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5C9">
            <w:pPr>
              <w:bidi w:val="0"/>
              <w:ind w:left="142"/>
              <w:rPr>
                <w:rFonts w:ascii="Arial" w:hAnsi="Arial" w:cs="Arial"/>
              </w:rPr>
            </w:pPr>
          </w:p>
          <w:p w:rsidR="008F25C9">
            <w:pPr>
              <w:bidi w:val="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Transfer na </w:t>
            </w:r>
            <w:r>
              <w:rPr>
                <w:rFonts w:ascii="Arial" w:hAnsi="Arial" w:cs="Arial"/>
                <w:b/>
                <w:sz w:val="22"/>
                <w:szCs w:val="22"/>
              </w:rPr>
              <w:t>bežné výdavky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  <w:b/>
              </w:rPr>
            </w:pPr>
          </w:p>
          <w:p w:rsidR="008F25C9">
            <w:pPr>
              <w:bidi w:val="0"/>
              <w:ind w:left="-14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1.480,730,00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</w:p>
        </w:tc>
      </w:tr>
      <w:tr>
        <w:tblPrEx>
          <w:tblW w:w="9465" w:type="dxa"/>
          <w:tblLayout w:type="fixed"/>
          <w:tblLook w:val="00A0"/>
        </w:tblPrEx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5C9">
            <w:pPr>
              <w:bidi w:val="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Úprava transferu </w:t>
            </w:r>
          </w:p>
          <w:p w:rsidR="008F25C9">
            <w:pPr>
              <w:bidi w:val="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Oznámenie spis č. MF/008283/2015-442 z 19.5.2015</w:t>
            </w:r>
          </w:p>
          <w:p w:rsidR="008F25C9">
            <w:pPr>
              <w:bidi w:val="0"/>
              <w:ind w:left="142"/>
              <w:rPr>
                <w:rFonts w:ascii="Arial" w:hAnsi="Arial" w:cs="Arial"/>
              </w:rPr>
            </w:pPr>
          </w:p>
          <w:p w:rsidR="008F25C9">
            <w:pPr>
              <w:bidi w:val="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Navýšenie prostriedkov na  </w:t>
            </w:r>
            <w:r>
              <w:rPr>
                <w:rFonts w:ascii="Arial" w:hAnsi="Arial" w:cs="Arial"/>
                <w:b/>
                <w:sz w:val="22"/>
                <w:szCs w:val="22"/>
              </w:rPr>
              <w:t>bežné výdavky</w:t>
            </w:r>
          </w:p>
          <w:p w:rsidR="008F25C9">
            <w:pPr>
              <w:bidi w:val="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Navýšenie prostriedkov na </w:t>
            </w:r>
            <w:r>
              <w:rPr>
                <w:rFonts w:ascii="Arial" w:hAnsi="Arial" w:cs="Arial"/>
                <w:b/>
                <w:sz w:val="22"/>
                <w:szCs w:val="22"/>
              </w:rPr>
              <w:t>kapitálové výdavky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</w:p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</w:p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</w:p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100.332,24</w:t>
            </w:r>
          </w:p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29.500,00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</w:p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</w:p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</w:p>
          <w:p w:rsidR="008F25C9">
            <w:pPr>
              <w:bidi w:val="0"/>
              <w:ind w:left="-14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1.581.062,24</w:t>
            </w:r>
          </w:p>
          <w:p w:rsidR="008F25C9">
            <w:pPr>
              <w:bidi w:val="0"/>
              <w:ind w:left="-14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29.500,00</w:t>
            </w:r>
          </w:p>
        </w:tc>
      </w:tr>
      <w:tr>
        <w:tblPrEx>
          <w:tblW w:w="9465" w:type="dxa"/>
          <w:tblLayout w:type="fixed"/>
          <w:tblLook w:val="00A0"/>
        </w:tblPrEx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Úprava transferu</w:t>
            </w:r>
          </w:p>
          <w:p w:rsidR="008F25C9">
            <w:pPr>
              <w:bidi w:val="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oznámenie spis č. MF/009793/2015-442 na účel spolufinancovania aktivít Slovenska v rámci Európskej siete Pamäť a solidarita z 24.7.2015</w:t>
            </w:r>
          </w:p>
          <w:p w:rsidR="008F25C9">
            <w:pPr>
              <w:bidi w:val="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navýšenie  prostriedkov na </w:t>
            </w:r>
            <w:r>
              <w:rPr>
                <w:rFonts w:ascii="Arial" w:hAnsi="Arial" w:cs="Arial"/>
                <w:b/>
                <w:sz w:val="22"/>
                <w:szCs w:val="22"/>
              </w:rPr>
              <w:t>bežné výdavky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</w:p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</w:p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</w:p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</w:p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</w:p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</w:p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</w:p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</w:p>
          <w:p w:rsidR="008F25C9">
            <w:pPr>
              <w:bidi w:val="0"/>
              <w:ind w:left="-14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1.631.062,24</w:t>
            </w:r>
          </w:p>
        </w:tc>
      </w:tr>
      <w:tr>
        <w:tblPrEx>
          <w:tblW w:w="9465" w:type="dxa"/>
          <w:tblLayout w:type="fixed"/>
          <w:tblLook w:val="00A0"/>
        </w:tblPrEx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Úprava transferu</w:t>
            </w:r>
          </w:p>
          <w:p w:rsidR="008F25C9">
            <w:pPr>
              <w:bidi w:val="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odsúhlasenie </w:t>
            </w:r>
            <w:r>
              <w:rPr>
                <w:rFonts w:ascii="Arial" w:hAnsi="Arial" w:cs="Arial"/>
                <w:b/>
                <w:sz w:val="22"/>
                <w:szCs w:val="22"/>
              </w:rPr>
              <w:t>preklasifikovania</w:t>
            </w:r>
            <w:r>
              <w:rPr>
                <w:rFonts w:ascii="Arial" w:hAnsi="Arial" w:cs="Arial"/>
                <w:sz w:val="22"/>
                <w:szCs w:val="22"/>
              </w:rPr>
              <w:t xml:space="preserve"> časti dotácie poskytnutej na bežné výdavky listom č. MF/026305/2015-442 z 30.12.2015 na kapitálové výdavky.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Preklasifikovanie bolo účelovo určené na zabezpečenie diskového pola t.j. preklasifikovanie bolo v sume skutočných výdavkov.</w:t>
            </w:r>
          </w:p>
          <w:p w:rsidR="008F25C9">
            <w:pPr>
              <w:bidi w:val="0"/>
              <w:ind w:lef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Bežné výdavky </w:t>
            </w:r>
          </w:p>
          <w:p w:rsidR="008F25C9">
            <w:pPr>
              <w:bidi w:val="0"/>
              <w:ind w:lef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Kapitálové výdavky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</w:p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</w:p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</w:p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</w:p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</w:p>
          <w:p w:rsidR="008F25C9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-2.677,00</w:t>
            </w:r>
          </w:p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2.677,00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</w:p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</w:p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</w:p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</w:p>
          <w:p w:rsidR="008F25C9">
            <w:pPr>
              <w:bidi w:val="0"/>
              <w:ind w:left="-142"/>
              <w:jc w:val="right"/>
              <w:rPr>
                <w:rFonts w:ascii="Arial" w:hAnsi="Arial" w:cs="Arial"/>
                <w:b/>
              </w:rPr>
            </w:pPr>
          </w:p>
          <w:p w:rsidR="008F25C9">
            <w:pPr>
              <w:bidi w:val="0"/>
              <w:ind w:left="-14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1.628.385,24</w:t>
            </w:r>
          </w:p>
          <w:p w:rsidR="008F25C9">
            <w:pPr>
              <w:bidi w:val="0"/>
              <w:ind w:left="-14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32.177,00</w:t>
            </w:r>
          </w:p>
        </w:tc>
      </w:tr>
      <w:tr>
        <w:tblPrEx>
          <w:tblW w:w="9465" w:type="dxa"/>
          <w:tblLayout w:type="fixed"/>
          <w:tblLook w:val="00A0"/>
        </w:tblPrEx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5C9">
            <w:pPr>
              <w:pStyle w:val="BodyText"/>
              <w:bidi w:val="0"/>
              <w:jc w:val="left"/>
              <w:rPr>
                <w:b w:val="0"/>
                <w:sz w:val="22"/>
              </w:rPr>
            </w:pPr>
          </w:p>
          <w:p w:rsidR="008F25C9">
            <w:pPr>
              <w:pStyle w:val="BodyText"/>
              <w:bidi w:val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Transfer zo štátneho rozpočtu na rok 2015 celkom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5C9">
            <w:pPr>
              <w:bidi w:val="0"/>
              <w:jc w:val="right"/>
              <w:rPr>
                <w:rFonts w:ascii="Arial" w:hAnsi="Arial" w:cs="Arial"/>
                <w:b/>
              </w:rPr>
            </w:pPr>
          </w:p>
          <w:p w:rsidR="008F25C9">
            <w:pPr>
              <w:bidi w:val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1.660.562,24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  <w:b/>
              </w:rPr>
            </w:pPr>
          </w:p>
          <w:p w:rsidR="008F25C9">
            <w:pPr>
              <w:bidi w:val="0"/>
              <w:ind w:left="-14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1.660.562,24</w:t>
            </w:r>
          </w:p>
        </w:tc>
      </w:tr>
    </w:tbl>
    <w:p w:rsidR="008F25C9" w:rsidP="008F25C9">
      <w:pPr>
        <w:bidi w:val="0"/>
        <w:ind w:firstLine="708"/>
        <w:rPr>
          <w:rFonts w:ascii="Arial" w:hAnsi="Arial" w:cs="Arial"/>
          <w:b/>
          <w:sz w:val="22"/>
          <w:szCs w:val="22"/>
        </w:rPr>
      </w:pPr>
    </w:p>
    <w:p w:rsidR="008F25C9" w:rsidP="008F25C9">
      <w:pPr>
        <w:bidi w:val="0"/>
        <w:ind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Rozpočtované prostriedky ÚPN v €: </w:t>
      </w:r>
    </w:p>
    <w:p w:rsidR="008F25C9" w:rsidP="008F25C9">
      <w:pPr>
        <w:bidi w:val="0"/>
        <w:ind w:firstLine="708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54"/>
        <w:gridCol w:w="1843"/>
        <w:gridCol w:w="1559"/>
      </w:tblGrid>
      <w:tr>
        <w:tblPrEx>
          <w:tblW w:w="9356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5C9">
            <w:pPr>
              <w:bidi w:val="0"/>
              <w:ind w:left="176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Schválený</w:t>
            </w:r>
          </w:p>
          <w:p w:rsidR="008F25C9">
            <w:pPr>
              <w:bidi w:val="0"/>
              <w:ind w:left="-14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limit*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Upravený</w:t>
            </w:r>
          </w:p>
          <w:p w:rsidR="008F25C9">
            <w:pPr>
              <w:bidi w:val="0"/>
              <w:ind w:left="-14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limit</w:t>
            </w:r>
          </w:p>
        </w:tc>
      </w:tr>
      <w:tr>
        <w:tblPrEx>
          <w:tblW w:w="9356" w:type="dxa"/>
          <w:tblInd w:w="-34" w:type="dxa"/>
          <w:tblLook w:val="04A0"/>
        </w:tblPrEx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1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Mzdy zamestnancov  (64)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703.000,00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702.997,80</w:t>
            </w:r>
          </w:p>
        </w:tc>
      </w:tr>
      <w:tr>
        <w:tblPrEx>
          <w:tblW w:w="9356" w:type="dxa"/>
          <w:tblInd w:w="-34" w:type="dxa"/>
          <w:tblLook w:val="04A0"/>
        </w:tblPrEx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1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Odvody do poistných fondov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304.000,00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298.709,00</w:t>
            </w:r>
          </w:p>
        </w:tc>
      </w:tr>
      <w:tr>
        <w:tblPrEx>
          <w:tblW w:w="9356" w:type="dxa"/>
          <w:tblInd w:w="-34" w:type="dxa"/>
          <w:tblLook w:val="04A0"/>
        </w:tblPrEx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1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Tovary a ďalšie služby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471.230,00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621.798,44</w:t>
            </w:r>
          </w:p>
        </w:tc>
      </w:tr>
      <w:tr>
        <w:tblPrEx>
          <w:tblW w:w="9356" w:type="dxa"/>
          <w:tblInd w:w="-34" w:type="dxa"/>
          <w:tblLook w:val="04A0"/>
        </w:tblPrEx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pStyle w:val="BodyText"/>
              <w:bidi w:val="0"/>
              <w:ind w:left="176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z toho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</w:p>
        </w:tc>
      </w:tr>
      <w:tr>
        <w:tblPrEx>
          <w:tblW w:w="9356" w:type="dxa"/>
          <w:tblInd w:w="-34" w:type="dxa"/>
          <w:tblLook w:val="04A0"/>
        </w:tblPrEx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17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Odmeny pre členov SR a DR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180.000,00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158.094,00</w:t>
            </w:r>
          </w:p>
        </w:tc>
      </w:tr>
      <w:tr>
        <w:tblPrEx>
          <w:tblW w:w="9356" w:type="dxa"/>
          <w:tblInd w:w="-34" w:type="dxa"/>
          <w:tblLook w:val="04A0"/>
        </w:tblPrEx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1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Transfery jednotlivcom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4.880,00</w:t>
            </w:r>
          </w:p>
        </w:tc>
      </w:tr>
      <w:tr>
        <w:tblPrEx>
          <w:tblW w:w="9356" w:type="dxa"/>
          <w:tblInd w:w="-34" w:type="dxa"/>
          <w:tblLook w:val="04A0"/>
        </w:tblPrEx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17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 toho: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</w:p>
        </w:tc>
      </w:tr>
      <w:tr>
        <w:tblPrEx>
          <w:tblW w:w="9356" w:type="dxa"/>
          <w:tblInd w:w="-34" w:type="dxa"/>
          <w:tblLook w:val="04A0"/>
        </w:tblPrEx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17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Nemocenské dávky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1.894,00</w:t>
            </w:r>
          </w:p>
        </w:tc>
      </w:tr>
      <w:tr>
        <w:tblPrEx>
          <w:tblW w:w="9356" w:type="dxa"/>
          <w:tblInd w:w="-34" w:type="dxa"/>
          <w:tblLook w:val="04A0"/>
        </w:tblPrEx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17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Odchodné, odstupné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2.986,00</w:t>
            </w:r>
          </w:p>
        </w:tc>
      </w:tr>
      <w:tr>
        <w:tblPrEx>
          <w:tblW w:w="9356" w:type="dxa"/>
          <w:tblInd w:w="-34" w:type="dxa"/>
          <w:tblLook w:val="04A0"/>
        </w:tblPrEx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1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Kapitálové výdavky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32.177,00</w:t>
            </w:r>
          </w:p>
        </w:tc>
      </w:tr>
    </w:tbl>
    <w:p w:rsidR="008F25C9" w:rsidP="008F25C9">
      <w:pPr>
        <w:pStyle w:val="BodyText"/>
        <w:widowControl/>
        <w:suppressAutoHyphens w:val="0"/>
        <w:autoSpaceDE/>
        <w:autoSpaceDN w:val="0"/>
        <w:bidi w:val="0"/>
        <w:ind w:left="-142"/>
        <w:jc w:val="left"/>
        <w:rPr>
          <w:sz w:val="22"/>
          <w:szCs w:val="22"/>
        </w:rPr>
      </w:pPr>
    </w:p>
    <w:p w:rsidR="008F25C9" w:rsidP="007D109E">
      <w:pPr>
        <w:pStyle w:val="BodyText"/>
        <w:widowControl/>
        <w:numPr>
          <w:ilvl w:val="1"/>
          <w:numId w:val="27"/>
        </w:numPr>
        <w:suppressAutoHyphens w:val="0"/>
        <w:autoSpaceDE/>
        <w:autoSpaceDN w:val="0"/>
        <w:bidi w:val="0"/>
        <w:ind w:left="426" w:hanging="497"/>
        <w:jc w:val="left"/>
        <w:rPr>
          <w:sz w:val="22"/>
          <w:szCs w:val="22"/>
        </w:rPr>
      </w:pPr>
      <w:r>
        <w:rPr>
          <w:sz w:val="22"/>
          <w:szCs w:val="22"/>
        </w:rPr>
        <w:t>Príjmy v roku 2015</w:t>
      </w:r>
    </w:p>
    <w:p w:rsidR="008F25C9" w:rsidP="008F25C9">
      <w:pPr>
        <w:pStyle w:val="BodyText"/>
        <w:widowControl/>
        <w:suppressAutoHyphens w:val="0"/>
        <w:autoSpaceDE/>
        <w:autoSpaceDN w:val="0"/>
        <w:bidi w:val="0"/>
        <w:ind w:left="-142"/>
        <w:jc w:val="left"/>
        <w:rPr>
          <w:sz w:val="22"/>
          <w:szCs w:val="22"/>
        </w:rPr>
      </w:pPr>
    </w:p>
    <w:p w:rsidR="008F25C9" w:rsidP="008F25C9">
      <w:pPr>
        <w:pStyle w:val="BodyText"/>
        <w:widowControl/>
        <w:suppressAutoHyphens w:val="0"/>
        <w:autoSpaceDE/>
        <w:autoSpaceDN w:val="0"/>
        <w:bidi w:val="0"/>
        <w:ind w:left="-142"/>
        <w:jc w:val="left"/>
        <w:rPr>
          <w:sz w:val="22"/>
          <w:szCs w:val="22"/>
        </w:rPr>
      </w:pPr>
    </w:p>
    <w:p w:rsidR="008F25C9" w:rsidP="008F25C9">
      <w:pPr>
        <w:pStyle w:val="BodyText"/>
        <w:widowControl/>
        <w:numPr>
          <w:ilvl w:val="2"/>
          <w:numId w:val="27"/>
        </w:numPr>
        <w:suppressAutoHyphens w:val="0"/>
        <w:autoSpaceDE/>
        <w:autoSpaceDN w:val="0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  <w:t>Dotácia zo štátneho rozpočtu v €</w:t>
      </w:r>
    </w:p>
    <w:p w:rsidR="008F25C9" w:rsidP="008F25C9">
      <w:pPr>
        <w:pStyle w:val="BodyText"/>
        <w:widowControl/>
        <w:suppressAutoHyphens w:val="0"/>
        <w:autoSpaceDE/>
        <w:autoSpaceDN w:val="0"/>
        <w:bidi w:val="0"/>
        <w:ind w:left="578"/>
        <w:jc w:val="left"/>
        <w:rPr>
          <w:sz w:val="22"/>
          <w:szCs w:val="22"/>
        </w:rPr>
      </w:pPr>
    </w:p>
    <w:tbl>
      <w:tblPr>
        <w:tblStyle w:val="TableNormal"/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6"/>
        <w:gridCol w:w="1809"/>
      </w:tblGrid>
      <w:tr>
        <w:tblPrEx>
          <w:tblW w:w="0" w:type="auto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pStyle w:val="BodyText"/>
              <w:widowControl/>
              <w:suppressAutoHyphens w:val="0"/>
              <w:autoSpaceDE/>
              <w:autoSpaceDN w:val="0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Tuzemské bežné transfery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pStyle w:val="BodyText"/>
              <w:widowControl/>
              <w:suppressAutoHyphens w:val="0"/>
              <w:autoSpaceDE/>
              <w:autoSpaceDN w:val="0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1.480.730,00</w:t>
            </w:r>
          </w:p>
        </w:tc>
      </w:tr>
      <w:tr>
        <w:tblPrEx>
          <w:tblW w:w="0" w:type="auto"/>
          <w:tblInd w:w="-34" w:type="dxa"/>
          <w:tblLook w:val="04A0"/>
        </w:tblPrEx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pStyle w:val="BodyText"/>
              <w:widowControl/>
              <w:suppressAutoHyphens w:val="0"/>
              <w:autoSpaceDE/>
              <w:autoSpaceDN w:val="0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Úprava transferu – dotácia bežné a kapitálové výdavky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pStyle w:val="BodyText"/>
              <w:widowControl/>
              <w:suppressAutoHyphens w:val="0"/>
              <w:autoSpaceDE/>
              <w:autoSpaceDN w:val="0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129.832,24</w:t>
            </w:r>
          </w:p>
        </w:tc>
      </w:tr>
      <w:tr>
        <w:tblPrEx>
          <w:tblW w:w="0" w:type="auto"/>
          <w:tblInd w:w="-34" w:type="dxa"/>
          <w:tblLook w:val="04A0"/>
        </w:tblPrEx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pStyle w:val="BodyText"/>
              <w:widowControl/>
              <w:suppressAutoHyphens w:val="0"/>
              <w:autoSpaceDE/>
              <w:autoSpaceDN w:val="0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Úprava transferu dotácia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pStyle w:val="BodyText"/>
              <w:widowControl/>
              <w:suppressAutoHyphens w:val="0"/>
              <w:autoSpaceDE/>
              <w:autoSpaceDN w:val="0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50.000,00</w:t>
            </w:r>
          </w:p>
        </w:tc>
      </w:tr>
      <w:tr>
        <w:tblPrEx>
          <w:tblW w:w="0" w:type="auto"/>
          <w:tblInd w:w="-34" w:type="dxa"/>
          <w:tblLook w:val="04A0"/>
        </w:tblPrEx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pStyle w:val="BodyText"/>
              <w:widowControl/>
              <w:suppressAutoHyphens w:val="0"/>
              <w:autoSpaceDE/>
              <w:autoSpaceDN w:val="0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Transfery spolu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pStyle w:val="BodyText"/>
              <w:widowControl/>
              <w:suppressAutoHyphens w:val="0"/>
              <w:autoSpaceDE/>
              <w:autoSpaceDN w:val="0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1.660.562,24</w:t>
            </w:r>
          </w:p>
        </w:tc>
      </w:tr>
    </w:tbl>
    <w:p w:rsidR="008F25C9" w:rsidP="008F25C9">
      <w:pPr>
        <w:pStyle w:val="BodyText"/>
        <w:widowControl/>
        <w:suppressAutoHyphens w:val="0"/>
        <w:autoSpaceDE/>
        <w:autoSpaceDN w:val="0"/>
        <w:bidi w:val="0"/>
        <w:ind w:left="578"/>
        <w:jc w:val="left"/>
        <w:rPr>
          <w:sz w:val="22"/>
          <w:szCs w:val="22"/>
        </w:rPr>
      </w:pPr>
    </w:p>
    <w:p w:rsidR="008F25C9" w:rsidP="008F25C9">
      <w:pPr>
        <w:pStyle w:val="BodyText"/>
        <w:widowControl/>
        <w:suppressAutoHyphens w:val="0"/>
        <w:autoSpaceDE/>
        <w:autoSpaceDN w:val="0"/>
        <w:bidi w:val="0"/>
        <w:ind w:left="578"/>
        <w:jc w:val="left"/>
        <w:rPr>
          <w:sz w:val="22"/>
          <w:szCs w:val="22"/>
        </w:rPr>
      </w:pPr>
    </w:p>
    <w:p w:rsidR="008F25C9" w:rsidP="008F25C9">
      <w:pPr>
        <w:pStyle w:val="BodyText"/>
        <w:widowControl/>
        <w:suppressAutoHyphens w:val="0"/>
        <w:autoSpaceDE/>
        <w:autoSpaceDN w:val="0"/>
        <w:bidi w:val="0"/>
        <w:ind w:left="578"/>
        <w:jc w:val="left"/>
        <w:rPr>
          <w:sz w:val="22"/>
          <w:szCs w:val="22"/>
        </w:rPr>
      </w:pPr>
    </w:p>
    <w:p w:rsidR="008F25C9" w:rsidP="008F25C9">
      <w:pPr>
        <w:pStyle w:val="BodyText"/>
        <w:widowControl/>
        <w:numPr>
          <w:ilvl w:val="2"/>
          <w:numId w:val="27"/>
        </w:numPr>
        <w:suppressAutoHyphens w:val="0"/>
        <w:autoSpaceDE/>
        <w:autoSpaceDN w:val="0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  <w:t>Príjmy z vlastnej činnosti v €</w:t>
      </w:r>
    </w:p>
    <w:p w:rsidR="008F25C9" w:rsidP="008F25C9">
      <w:pPr>
        <w:pStyle w:val="BodyText"/>
        <w:widowControl/>
        <w:suppressAutoHyphens w:val="0"/>
        <w:autoSpaceDE/>
        <w:autoSpaceDN w:val="0"/>
        <w:bidi w:val="0"/>
        <w:ind w:left="-142"/>
        <w:jc w:val="left"/>
        <w:rPr>
          <w:sz w:val="22"/>
          <w:szCs w:val="22"/>
        </w:rPr>
      </w:pPr>
    </w:p>
    <w:tbl>
      <w:tblPr>
        <w:tblStyle w:val="TableNormal"/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71"/>
        <w:gridCol w:w="2069"/>
      </w:tblGrid>
      <w:tr>
        <w:tblPrEx>
          <w:tblW w:w="9640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1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Nedaňové príjmy spolu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20.613,65</w:t>
            </w:r>
          </w:p>
        </w:tc>
      </w:tr>
      <w:tr>
        <w:tblPrEx>
          <w:tblW w:w="9640" w:type="dxa"/>
          <w:tblInd w:w="-34" w:type="dxa"/>
          <w:tblLook w:val="01E0"/>
        </w:tblPrEx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17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 tom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  <w:b/>
              </w:rPr>
            </w:pPr>
          </w:p>
        </w:tc>
      </w:tr>
      <w:tr>
        <w:tblPrEx>
          <w:tblW w:w="9640" w:type="dxa"/>
          <w:tblInd w:w="-34" w:type="dxa"/>
          <w:tblLook w:val="01E0"/>
        </w:tblPrEx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17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Licencie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</w:tr>
      <w:tr>
        <w:tblPrEx>
          <w:tblW w:w="9640" w:type="dxa"/>
          <w:tblInd w:w="-34" w:type="dxa"/>
          <w:tblLook w:val="01E0"/>
        </w:tblPrEx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17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Za predaj publikácii a časopisov ÚPN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10.080,77</w:t>
            </w:r>
          </w:p>
        </w:tc>
      </w:tr>
      <w:tr>
        <w:tblPrEx>
          <w:tblW w:w="9640" w:type="dxa"/>
          <w:tblInd w:w="-34" w:type="dxa"/>
          <w:tblLook w:val="01E0"/>
        </w:tblPrEx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17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 úrokov v banke  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2.007,40</w:t>
            </w:r>
          </w:p>
        </w:tc>
      </w:tr>
      <w:tr>
        <w:tblPrEx>
          <w:tblW w:w="9640" w:type="dxa"/>
          <w:tblInd w:w="-34" w:type="dxa"/>
          <w:tblLook w:val="01E0"/>
        </w:tblPrEx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17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 vratiek: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8.025,48</w:t>
            </w:r>
          </w:p>
        </w:tc>
      </w:tr>
      <w:tr>
        <w:tblPrEx>
          <w:tblW w:w="9640" w:type="dxa"/>
          <w:tblInd w:w="-34" w:type="dxa"/>
          <w:tblLook w:val="01E0"/>
        </w:tblPrEx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17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 toho RZSP z predchádzajúcich rokov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205,06</w:t>
            </w:r>
          </w:p>
        </w:tc>
      </w:tr>
      <w:tr>
        <w:tblPrEx>
          <w:tblW w:w="9640" w:type="dxa"/>
          <w:tblInd w:w="-34" w:type="dxa"/>
          <w:tblLook w:val="01E0"/>
        </w:tblPrEx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17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preplatok - Dôvera RZZP 2014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427,82</w:t>
            </w:r>
          </w:p>
        </w:tc>
      </w:tr>
      <w:tr>
        <w:tblPrEx>
          <w:tblW w:w="9640" w:type="dxa"/>
          <w:tblInd w:w="-34" w:type="dxa"/>
          <w:tblLook w:val="01E0"/>
        </w:tblPrEx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17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dobropis – poštovné frankovací stroj 12/2014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7,66</w:t>
            </w:r>
          </w:p>
        </w:tc>
      </w:tr>
      <w:tr>
        <w:tblPrEx>
          <w:tblW w:w="9640" w:type="dxa"/>
          <w:tblInd w:w="-34" w:type="dxa"/>
          <w:tblLook w:val="01E0"/>
        </w:tblPrEx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17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dobropis - preplatok vyúčtovania energií Dohoda o urovnaní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3.482,98</w:t>
            </w:r>
          </w:p>
        </w:tc>
      </w:tr>
      <w:tr>
        <w:tblPrEx>
          <w:tblW w:w="9640" w:type="dxa"/>
          <w:tblInd w:w="-34" w:type="dxa"/>
          <w:tblLook w:val="01E0"/>
        </w:tblPrEx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17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dobropis – vyúčtovanie energií r.2014 MDVRR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3.901,96</w:t>
            </w:r>
          </w:p>
        </w:tc>
      </w:tr>
    </w:tbl>
    <w:p w:rsidR="008F25C9" w:rsidP="008F25C9">
      <w:pPr>
        <w:bidi w:val="0"/>
        <w:ind w:left="-142"/>
        <w:rPr>
          <w:rFonts w:ascii="Arial" w:hAnsi="Arial" w:cs="Arial"/>
          <w:sz w:val="22"/>
          <w:szCs w:val="22"/>
        </w:rPr>
      </w:pPr>
    </w:p>
    <w:p w:rsidR="008F25C9" w:rsidP="008F25C9">
      <w:pPr>
        <w:bidi w:val="0"/>
        <w:ind w:left="-142"/>
        <w:rPr>
          <w:rFonts w:ascii="Arial" w:hAnsi="Arial" w:cs="Arial"/>
          <w:sz w:val="22"/>
          <w:szCs w:val="22"/>
        </w:rPr>
      </w:pPr>
    </w:p>
    <w:p w:rsidR="008F25C9" w:rsidP="008F25C9">
      <w:pPr>
        <w:bidi w:val="0"/>
        <w:ind w:left="-142"/>
        <w:rPr>
          <w:rFonts w:ascii="Arial" w:hAnsi="Arial" w:cs="Arial"/>
          <w:sz w:val="22"/>
          <w:szCs w:val="22"/>
        </w:rPr>
      </w:pPr>
    </w:p>
    <w:p w:rsidR="008F25C9" w:rsidP="007D109E">
      <w:pPr>
        <w:pStyle w:val="ListParagraph"/>
        <w:numPr>
          <w:ilvl w:val="1"/>
          <w:numId w:val="27"/>
        </w:numPr>
        <w:bidi w:val="0"/>
        <w:ind w:left="426" w:hanging="568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Výdavky z dosiahnutých prímov</w:t>
      </w:r>
    </w:p>
    <w:p w:rsidR="008F25C9" w:rsidP="008F25C9">
      <w:pPr>
        <w:pStyle w:val="ListParagraph"/>
        <w:bidi w:val="0"/>
        <w:ind w:left="649"/>
        <w:rPr>
          <w:rFonts w:cs="Arial"/>
          <w:b/>
          <w:sz w:val="22"/>
          <w:szCs w:val="22"/>
        </w:rPr>
      </w:pPr>
    </w:p>
    <w:p w:rsidR="008F25C9" w:rsidP="008F25C9">
      <w:pPr>
        <w:pStyle w:val="ListParagraph"/>
        <w:bidi w:val="0"/>
        <w:ind w:left="578"/>
        <w:rPr>
          <w:rFonts w:cs="Arial"/>
          <w:b/>
          <w:sz w:val="22"/>
          <w:szCs w:val="22"/>
        </w:rPr>
      </w:pPr>
    </w:p>
    <w:p w:rsidR="008F25C9" w:rsidP="008F25C9">
      <w:pPr>
        <w:pStyle w:val="ListParagraph"/>
        <w:numPr>
          <w:ilvl w:val="2"/>
          <w:numId w:val="27"/>
        </w:numPr>
        <w:bidi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Výdavky z nedaňových príjmov </w:t>
      </w:r>
    </w:p>
    <w:p w:rsidR="008F25C9" w:rsidP="008F25C9">
      <w:pPr>
        <w:pStyle w:val="ListParagraph"/>
        <w:bidi w:val="0"/>
        <w:ind w:left="578"/>
        <w:rPr>
          <w:rFonts w:cs="Arial"/>
          <w:b/>
          <w:sz w:val="22"/>
          <w:szCs w:val="22"/>
        </w:rPr>
      </w:pPr>
    </w:p>
    <w:p w:rsidR="008F25C9" w:rsidP="008F25C9">
      <w:pPr>
        <w:bidi w:val="0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8"/>
        <w:gridCol w:w="6075"/>
        <w:gridCol w:w="2127"/>
      </w:tblGrid>
      <w:tr>
        <w:tblPrEx>
          <w:tblW w:w="9640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pStyle w:val="BodyText"/>
              <w:widowControl/>
              <w:suppressAutoHyphens w:val="0"/>
              <w:autoSpaceDE/>
              <w:autoSpaceDN w:val="0"/>
              <w:bidi w:val="0"/>
              <w:ind w:left="-142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 Výdavky z nedaňových príjmov celkom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10.374,98</w:t>
            </w:r>
          </w:p>
        </w:tc>
      </w:tr>
      <w:tr>
        <w:tblPrEx>
          <w:tblW w:w="9640" w:type="dxa"/>
          <w:tblInd w:w="-34" w:type="dxa"/>
          <w:tblLook w:val="01E0"/>
        </w:tblPrEx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pStyle w:val="BodyText"/>
              <w:widowControl/>
              <w:suppressAutoHyphens w:val="0"/>
              <w:autoSpaceDE/>
              <w:autoSpaceDN w:val="0"/>
              <w:bidi w:val="0"/>
              <w:ind w:left="-142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 xml:space="preserve"> v tom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  <w:b/>
              </w:rPr>
            </w:pPr>
          </w:p>
        </w:tc>
      </w:tr>
      <w:tr>
        <w:tblPrEx>
          <w:tblW w:w="9640" w:type="dxa"/>
          <w:tblInd w:w="-34" w:type="dxa"/>
          <w:tblLook w:val="01E0"/>
        </w:tblPrEx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č.r.p.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Účel použitia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</w:p>
        </w:tc>
      </w:tr>
      <w:tr>
        <w:tblPrEx>
          <w:tblW w:w="9640" w:type="dxa"/>
          <w:tblInd w:w="-34" w:type="dxa"/>
          <w:tblLook w:val="01E0"/>
        </w:tblPrEx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631 001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Cestovné náhrady - tuzemské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40,00</w:t>
            </w:r>
          </w:p>
        </w:tc>
      </w:tr>
      <w:tr>
        <w:tblPrEx>
          <w:tblW w:w="9640" w:type="dxa"/>
          <w:tblInd w:w="-34" w:type="dxa"/>
          <w:tblLook w:val="01E0"/>
        </w:tblPrEx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631 002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Cestovné náhrady - zahraničné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17,31</w:t>
            </w:r>
          </w:p>
        </w:tc>
      </w:tr>
      <w:tr>
        <w:tblPrEx>
          <w:tblW w:w="9640" w:type="dxa"/>
          <w:tblInd w:w="-34" w:type="dxa"/>
          <w:tblLook w:val="01E0"/>
        </w:tblPrEx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633 004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Prevádzkové stroje, prístroje a zariadenia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732,64</w:t>
            </w:r>
          </w:p>
        </w:tc>
      </w:tr>
      <w:tr>
        <w:tblPrEx>
          <w:tblW w:w="9640" w:type="dxa"/>
          <w:tblInd w:w="-34" w:type="dxa"/>
          <w:tblLook w:val="01E0"/>
        </w:tblPrEx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633 018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Licencie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1325,8</w:t>
            </w:r>
          </w:p>
        </w:tc>
      </w:tr>
      <w:tr>
        <w:tblPrEx>
          <w:tblW w:w="9640" w:type="dxa"/>
          <w:tblInd w:w="-34" w:type="dxa"/>
          <w:tblLook w:val="01E0"/>
        </w:tblPrEx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634 001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Dopravné - PHM, karty, diaľničné známky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187,16</w:t>
            </w:r>
          </w:p>
        </w:tc>
      </w:tr>
      <w:tr>
        <w:tblPrEx>
          <w:tblW w:w="9640" w:type="dxa"/>
          <w:tblInd w:w="-34" w:type="dxa"/>
          <w:tblLook w:val="01E0"/>
        </w:tblPrEx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637 001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Školenia, kurzy, semináre, porady, konferencie, sympózia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2.136,00</w:t>
            </w:r>
          </w:p>
        </w:tc>
      </w:tr>
      <w:tr>
        <w:tblPrEx>
          <w:tblW w:w="9640" w:type="dxa"/>
          <w:tblInd w:w="-34" w:type="dxa"/>
          <w:tblLook w:val="01E0"/>
        </w:tblPrEx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637 004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Všeobecné služby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3.128,55</w:t>
            </w:r>
          </w:p>
        </w:tc>
      </w:tr>
      <w:tr>
        <w:tblPrEx>
          <w:tblW w:w="9640" w:type="dxa"/>
          <w:tblInd w:w="-34" w:type="dxa"/>
          <w:tblLook w:val="01E0"/>
        </w:tblPrEx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637 007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Cestovné náhrady/výdavky iným než zamestnancom</w:t>
            </w:r>
          </w:p>
          <w:p w:rsidR="008F25C9">
            <w:pPr>
              <w:bidi w:val="0"/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RR- M. Pehr, Zubko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112,75</w:t>
            </w:r>
          </w:p>
        </w:tc>
      </w:tr>
      <w:tr>
        <w:tblPrEx>
          <w:tblW w:w="9640" w:type="dxa"/>
          <w:tblInd w:w="-34" w:type="dxa"/>
          <w:tblLook w:val="01E0"/>
        </w:tblPrEx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637 012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Poplatky a odvody, dane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61,56</w:t>
            </w:r>
          </w:p>
        </w:tc>
      </w:tr>
      <w:tr>
        <w:tblPrEx>
          <w:tblW w:w="9640" w:type="dxa"/>
          <w:tblInd w:w="-34" w:type="dxa"/>
          <w:tblLook w:val="01E0"/>
        </w:tblPrEx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637 018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Vrátenie príjmov z minulých rokov </w:t>
            </w:r>
          </w:p>
          <w:p w:rsidR="008F25C9">
            <w:pPr>
              <w:bidi w:val="0"/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- zúčtovanie transferu r.2014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2.083,21</w:t>
            </w:r>
          </w:p>
        </w:tc>
      </w:tr>
      <w:tr>
        <w:tblPrEx>
          <w:tblW w:w="9640" w:type="dxa"/>
          <w:tblInd w:w="-34" w:type="dxa"/>
          <w:tblLook w:val="01E0"/>
        </w:tblPrEx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642 029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Náhrada nákladov Dubovský – mimosúdne vyrovnanie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-1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550,00</w:t>
            </w:r>
          </w:p>
        </w:tc>
      </w:tr>
    </w:tbl>
    <w:p w:rsidR="008F25C9" w:rsidP="008F25C9">
      <w:pPr>
        <w:bidi w:val="0"/>
        <w:rPr>
          <w:rFonts w:ascii="Times New Roman" w:hAnsi="Times New Roman"/>
        </w:rPr>
      </w:pPr>
    </w:p>
    <w:p w:rsidR="00C4453D" w:rsidP="008F25C9">
      <w:pPr>
        <w:bidi w:val="0"/>
        <w:rPr>
          <w:rFonts w:ascii="Times New Roman" w:hAnsi="Times New Roman"/>
        </w:rPr>
      </w:pPr>
    </w:p>
    <w:p w:rsidR="008F25C9" w:rsidP="007D109E">
      <w:pPr>
        <w:pStyle w:val="NormalWeb"/>
        <w:numPr>
          <w:ilvl w:val="1"/>
          <w:numId w:val="27"/>
        </w:numPr>
        <w:bidi w:val="0"/>
        <w:ind w:hanging="64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Výdavky z transferu zo štátneho rozpočtu</w:t>
      </w:r>
    </w:p>
    <w:p w:rsidR="008F25C9" w:rsidP="008F25C9">
      <w:pPr>
        <w:pStyle w:val="NormalWeb"/>
        <w:bidi w:val="0"/>
        <w:ind w:firstLine="5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Finančné prostriedky za obdobie roka 2015 boli čerpané na zabezpečenie plnenia úloh vyplývajúcich zo zákona č. 553/2002 Z. z. o pamäti národa v členení podľa rozpočtovej skladby na bežné výdavky vo výške 1.628.383,08 €, mzdové prostriedky vo výške 702.997,79 €, odvody do  poistných fondov vo výške 298.708,98 €, tovary a služby v celkovej výške 621.796,36 € z toho 158.094,00 € na odmeny členom Správnej a Dozornej rady ÚPN, vyplatené transfery zamestnancom v sume 4.879,95 €, z toho odchodné 2.986,- € a nemocenské dávky 1.893,95 €. V roku 2015 boli čerpané kapitálové výdavky vo výške 32.177,00 €.  </w:t>
      </w:r>
    </w:p>
    <w:p w:rsidR="008F25C9" w:rsidP="008F25C9">
      <w:pPr>
        <w:widowControl w:val="0"/>
        <w:autoSpaceDE w:val="0"/>
        <w:bidi w:val="0"/>
        <w:rPr>
          <w:rFonts w:ascii="Arial" w:hAnsi="Arial" w:cs="Arial"/>
          <w:b/>
          <w:sz w:val="22"/>
          <w:szCs w:val="22"/>
        </w:rPr>
      </w:pPr>
    </w:p>
    <w:p w:rsidR="008F25C9" w:rsidP="007D109E">
      <w:pPr>
        <w:pStyle w:val="ListParagraph"/>
        <w:widowControl w:val="0"/>
        <w:numPr>
          <w:ilvl w:val="2"/>
          <w:numId w:val="27"/>
        </w:numPr>
        <w:autoSpaceDE w:val="0"/>
        <w:bidi w:val="0"/>
        <w:ind w:hanging="578"/>
        <w:rPr>
          <w:rFonts w:cs="Arial"/>
          <w:b/>
          <w:sz w:val="22"/>
          <w:szCs w:val="22"/>
        </w:rPr>
      </w:pPr>
      <w:r w:rsidR="007D109E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Výdavky podľa ekonomickej klasifikácie</w:t>
      </w:r>
    </w:p>
    <w:p w:rsidR="008F25C9" w:rsidP="008F25C9">
      <w:pPr>
        <w:pStyle w:val="ListParagraph"/>
        <w:widowControl w:val="0"/>
        <w:autoSpaceDE w:val="0"/>
        <w:bidi w:val="0"/>
        <w:ind w:left="578"/>
        <w:rPr>
          <w:rFonts w:cs="Arial"/>
          <w:b/>
          <w:sz w:val="22"/>
          <w:szCs w:val="22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559"/>
        <w:gridCol w:w="1843"/>
        <w:gridCol w:w="1559"/>
        <w:gridCol w:w="1418"/>
      </w:tblGrid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5C9">
            <w:pPr>
              <w:widowControl w:val="0"/>
              <w:autoSpaceDE w:val="0"/>
              <w:bidi w:val="0"/>
              <w:ind w:left="-142"/>
              <w:rPr>
                <w:rFonts w:ascii="Arial" w:hAnsi="Arial" w:cs="Arial"/>
                <w:sz w:val="22"/>
                <w:szCs w:val="22"/>
              </w:rPr>
            </w:pPr>
          </w:p>
          <w:p w:rsidR="008F25C9">
            <w:pPr>
              <w:widowControl w:val="0"/>
              <w:autoSpaceDE w:val="0"/>
              <w:bidi w:val="0"/>
              <w:ind w:lef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Kód zdroja 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widowControl w:val="0"/>
              <w:autoSpaceDE w:val="0"/>
              <w:bidi w:val="0"/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Schválený rozpočet</w:t>
            </w:r>
          </w:p>
          <w:p w:rsidR="008F25C9">
            <w:pPr>
              <w:widowControl w:val="0"/>
              <w:autoSpaceDE w:val="0"/>
              <w:bidi w:val="0"/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widowControl w:val="0"/>
              <w:autoSpaceDE w:val="0"/>
              <w:bidi w:val="0"/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Upravený rozpočet</w:t>
            </w:r>
          </w:p>
          <w:p w:rsidR="008F25C9">
            <w:pPr>
              <w:widowControl w:val="0"/>
              <w:autoSpaceDE w:val="0"/>
              <w:bidi w:val="0"/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pStyle w:val="WW-Zkladntext3"/>
              <w:bidi w:val="0"/>
              <w:ind w:left="-142" w:right="0"/>
              <w:jc w:val="center"/>
              <w:rPr>
                <w:b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i w:val="0"/>
                <w:iCs w:val="0"/>
                <w:sz w:val="22"/>
                <w:szCs w:val="22"/>
              </w:rPr>
              <w:t xml:space="preserve">Čerpanie </w:t>
            </w:r>
          </w:p>
          <w:p w:rsidR="008F25C9">
            <w:pPr>
              <w:pStyle w:val="WW-Zkladntext3"/>
              <w:bidi w:val="0"/>
              <w:ind w:left="-142" w:right="0"/>
              <w:jc w:val="center"/>
              <w:rPr>
                <w:b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i w:val="0"/>
                <w:iCs w:val="0"/>
                <w:sz w:val="22"/>
                <w:szCs w:val="22"/>
              </w:rPr>
              <w:t>rozpočtu</w:t>
            </w:r>
          </w:p>
          <w:p w:rsidR="008F25C9">
            <w:pPr>
              <w:widowControl w:val="0"/>
              <w:autoSpaceDE w:val="0"/>
              <w:bidi w:val="0"/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pStyle w:val="WW-Zkladntext3"/>
              <w:bidi w:val="0"/>
              <w:ind w:left="-142" w:right="0"/>
              <w:jc w:val="center"/>
              <w:rPr>
                <w:b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i w:val="0"/>
                <w:iCs w:val="0"/>
                <w:sz w:val="22"/>
                <w:szCs w:val="22"/>
              </w:rPr>
              <w:t>Čerpanie rozpočtu</w:t>
            </w:r>
          </w:p>
          <w:p w:rsidR="008F25C9">
            <w:pPr>
              <w:widowControl w:val="0"/>
              <w:autoSpaceDE w:val="0"/>
              <w:bidi w:val="0"/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widowControl w:val="0"/>
              <w:autoSpaceDE w:val="0"/>
              <w:bidi w:val="0"/>
              <w:ind w:lef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transfer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widowControl w:val="0"/>
              <w:autoSpaceDE w:val="0"/>
              <w:bidi w:val="0"/>
              <w:ind w:left="-142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1.480.730,00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widowControl w:val="0"/>
              <w:autoSpaceDE w:val="0"/>
              <w:bidi w:val="0"/>
              <w:ind w:left="-142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1.660.562,24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widowControl w:val="0"/>
              <w:autoSpaceDE w:val="0"/>
              <w:bidi w:val="0"/>
              <w:ind w:left="-142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1.660.560,08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widowControl w:val="0"/>
              <w:autoSpaceDE w:val="0"/>
              <w:bidi w:val="0"/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99,9999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widowControl w:val="0"/>
              <w:autoSpaceDE w:val="0"/>
              <w:bidi w:val="0"/>
              <w:ind w:lef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Bežné výdavky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widowControl w:val="0"/>
              <w:autoSpaceDE w:val="0"/>
              <w:bidi w:val="0"/>
              <w:ind w:left="-142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1 480 730,00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widowControl w:val="0"/>
              <w:autoSpaceDE w:val="0"/>
              <w:bidi w:val="0"/>
              <w:ind w:left="-142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1.628.385,24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widowControl w:val="0"/>
              <w:autoSpaceDE w:val="0"/>
              <w:bidi w:val="0"/>
              <w:ind w:left="-142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1.628.383,08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widowControl w:val="0"/>
              <w:autoSpaceDE w:val="0"/>
              <w:bidi w:val="0"/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99,9999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widowControl w:val="0"/>
              <w:autoSpaceDE w:val="0"/>
              <w:bidi w:val="0"/>
              <w:ind w:lef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Mzdové prostriedky (610)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widowControl w:val="0"/>
              <w:autoSpaceDE w:val="0"/>
              <w:bidi w:val="0"/>
              <w:ind w:left="-142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703 000,00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widowControl w:val="0"/>
              <w:autoSpaceDE w:val="0"/>
              <w:bidi w:val="0"/>
              <w:ind w:left="-142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702.997,80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widowControl w:val="0"/>
              <w:autoSpaceDE w:val="0"/>
              <w:bidi w:val="0"/>
              <w:ind w:left="-142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702.997,79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widowControl w:val="0"/>
              <w:autoSpaceDE w:val="0"/>
              <w:bidi w:val="0"/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widowControl w:val="0"/>
              <w:autoSpaceDE w:val="0"/>
              <w:bidi w:val="0"/>
              <w:ind w:lef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Odvody do poistných fondov (620, 625)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widowControl w:val="0"/>
              <w:autoSpaceDE w:val="0"/>
              <w:bidi w:val="0"/>
              <w:ind w:left="-142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304 000,00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widowControl w:val="0"/>
              <w:autoSpaceDE w:val="0"/>
              <w:bidi w:val="0"/>
              <w:ind w:left="-142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298.709,00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widowControl w:val="0"/>
              <w:autoSpaceDE w:val="0"/>
              <w:bidi w:val="0"/>
              <w:ind w:left="-142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298.708,98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widowControl w:val="0"/>
              <w:autoSpaceDE w:val="0"/>
              <w:bidi w:val="0"/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widowControl w:val="0"/>
              <w:autoSpaceDE w:val="0"/>
              <w:bidi w:val="0"/>
              <w:spacing w:line="360" w:lineRule="auto"/>
              <w:ind w:lef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Tovary a služby  (630):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widowControl w:val="0"/>
              <w:autoSpaceDE w:val="0"/>
              <w:bidi w:val="0"/>
              <w:ind w:left="-142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471 230,00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widowControl w:val="0"/>
              <w:autoSpaceDE w:val="0"/>
              <w:bidi w:val="0"/>
              <w:ind w:left="-142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621.798,44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widowControl w:val="0"/>
              <w:autoSpaceDE w:val="0"/>
              <w:bidi w:val="0"/>
              <w:ind w:left="-142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621.796,36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widowControl w:val="0"/>
              <w:autoSpaceDE w:val="0"/>
              <w:bidi w:val="0"/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99,9996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widowControl w:val="0"/>
              <w:autoSpaceDE w:val="0"/>
              <w:bidi w:val="0"/>
              <w:ind w:left="142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 toho: odmeny SPR a DR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widowControl w:val="0"/>
              <w:autoSpaceDE w:val="0"/>
              <w:bidi w:val="0"/>
              <w:ind w:left="-142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widowControl w:val="0"/>
              <w:autoSpaceDE w:val="0"/>
              <w:bidi w:val="0"/>
              <w:ind w:left="-142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158.094,00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widowControl w:val="0"/>
              <w:autoSpaceDE w:val="0"/>
              <w:bidi w:val="0"/>
              <w:ind w:left="-142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158.094,00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widowControl w:val="0"/>
              <w:autoSpaceDE w:val="0"/>
              <w:bidi w:val="0"/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widowControl w:val="0"/>
              <w:autoSpaceDE w:val="0"/>
              <w:bidi w:val="0"/>
              <w:ind w:lef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Transfery jednotlivcom (642)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widowControl w:val="0"/>
              <w:autoSpaceDE w:val="0"/>
              <w:bidi w:val="0"/>
              <w:ind w:left="-142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2 500,00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widowControl w:val="0"/>
              <w:autoSpaceDE w:val="0"/>
              <w:bidi w:val="0"/>
              <w:ind w:left="-142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4.880,00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widowControl w:val="0"/>
              <w:autoSpaceDE w:val="0"/>
              <w:bidi w:val="0"/>
              <w:ind w:left="-142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4.879,95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widowControl w:val="0"/>
              <w:autoSpaceDE w:val="0"/>
              <w:bidi w:val="0"/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99,9990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widowControl w:val="0"/>
              <w:autoSpaceDE w:val="0"/>
              <w:bidi w:val="0"/>
              <w:ind w:lef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Kapitálové výdavky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widowControl w:val="0"/>
              <w:autoSpaceDE w:val="0"/>
              <w:bidi w:val="0"/>
              <w:ind w:left="-142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widowControl w:val="0"/>
              <w:autoSpaceDE w:val="0"/>
              <w:bidi w:val="0"/>
              <w:ind w:left="-142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32.177,00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widowControl w:val="0"/>
              <w:autoSpaceDE w:val="0"/>
              <w:bidi w:val="0"/>
              <w:ind w:left="-142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32.177,00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widowControl w:val="0"/>
              <w:autoSpaceDE w:val="0"/>
              <w:bidi w:val="0"/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</w:tr>
    </w:tbl>
    <w:p w:rsidR="008F25C9" w:rsidP="008F25C9">
      <w:pPr>
        <w:widowControl w:val="0"/>
        <w:autoSpaceDE w:val="0"/>
        <w:bidi w:val="0"/>
        <w:ind w:left="-142" w:firstLine="850"/>
        <w:rPr>
          <w:rFonts w:ascii="Arial" w:hAnsi="Arial" w:cs="Arial"/>
          <w:b/>
          <w:sz w:val="22"/>
          <w:szCs w:val="22"/>
        </w:rPr>
      </w:pPr>
    </w:p>
    <w:p w:rsidR="008F25C9" w:rsidP="008F25C9">
      <w:pPr>
        <w:widowControl w:val="0"/>
        <w:autoSpaceDE w:val="0"/>
        <w:bidi w:val="0"/>
        <w:ind w:right="-2"/>
        <w:rPr>
          <w:rFonts w:ascii="Arial" w:hAnsi="Arial" w:cs="Arial"/>
          <w:b/>
          <w:sz w:val="22"/>
          <w:szCs w:val="22"/>
        </w:rPr>
      </w:pPr>
    </w:p>
    <w:p w:rsidR="008F25C9" w:rsidP="007D109E">
      <w:pPr>
        <w:pStyle w:val="ListParagraph"/>
        <w:widowControl w:val="0"/>
        <w:numPr>
          <w:ilvl w:val="2"/>
          <w:numId w:val="27"/>
        </w:numPr>
        <w:autoSpaceDE w:val="0"/>
        <w:bidi w:val="0"/>
        <w:ind w:right="-2" w:hanging="578"/>
        <w:rPr>
          <w:rFonts w:cs="Arial"/>
          <w:b/>
          <w:sz w:val="22"/>
          <w:szCs w:val="22"/>
        </w:rPr>
      </w:pPr>
      <w:r w:rsidR="007D109E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Čerpanie prostriedkov podľa položiek rozpočtu</w:t>
      </w:r>
    </w:p>
    <w:p w:rsidR="008F25C9" w:rsidP="008F25C9">
      <w:pPr>
        <w:widowControl w:val="0"/>
        <w:autoSpaceDE w:val="0"/>
        <w:bidi w:val="0"/>
        <w:ind w:left="284" w:right="-2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58"/>
        <w:gridCol w:w="2097"/>
      </w:tblGrid>
      <w:tr>
        <w:tblPrEx>
          <w:tblW w:w="4887" w:type="pct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Bežné výdavky v EUR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1.628.383,08</w:t>
            </w:r>
          </w:p>
        </w:tc>
      </w:tr>
      <w:tr>
        <w:tblPrEx>
          <w:tblW w:w="4887" w:type="pct"/>
          <w:tblInd w:w="108" w:type="dxa"/>
          <w:tblLook w:val="01E0"/>
        </w:tblPrEx>
        <w:trPr>
          <w:trHeight w:val="3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 toho:</w:t>
            </w:r>
          </w:p>
        </w:tc>
      </w:tr>
      <w:tr>
        <w:tblPrEx>
          <w:tblW w:w="4887" w:type="pct"/>
          <w:tblInd w:w="108" w:type="dxa"/>
          <w:tblLook w:val="01E0"/>
        </w:tblPrEx>
        <w:tc>
          <w:tcPr>
            <w:tcW w:w="3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Mzdy, zamestnancov </w:t>
            </w:r>
          </w:p>
          <w:p w:rsidR="008F25C9">
            <w:pPr>
              <w:bidi w:val="0"/>
              <w:ind w:left="284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Čerpanie mzdových vyplatených prostriedkov za rok 2015</w:t>
            </w:r>
          </w:p>
          <w:p w:rsidR="008F25C9">
            <w:pPr>
              <w:bidi w:val="0"/>
              <w:ind w:left="284" w:right="-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pri priemernom evidenčnom počte zamestnancov 64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  <w:b/>
              </w:rPr>
            </w:pPr>
          </w:p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  <w:b/>
              </w:rPr>
            </w:pPr>
          </w:p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702.997,79</w:t>
            </w:r>
          </w:p>
        </w:tc>
      </w:tr>
      <w:tr>
        <w:tblPrEx>
          <w:tblW w:w="4887" w:type="pct"/>
          <w:tblInd w:w="108" w:type="dxa"/>
          <w:tblLook w:val="01E0"/>
        </w:tblPrEx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F25C9">
            <w:pPr>
              <w:bidi w:val="0"/>
              <w:ind w:left="284" w:right="-2"/>
              <w:rPr>
                <w:rFonts w:ascii="Arial" w:hAnsi="Arial" w:cs="Arial"/>
              </w:rPr>
            </w:pPr>
          </w:p>
        </w:tc>
      </w:tr>
      <w:tr>
        <w:tblPrEx>
          <w:tblW w:w="4887" w:type="pct"/>
          <w:tblInd w:w="108" w:type="dxa"/>
          <w:tblLook w:val="01E0"/>
        </w:tblPrEx>
        <w:tc>
          <w:tcPr>
            <w:tcW w:w="3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Odvody poistného do poistných fondov</w:t>
              <w:tab/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298.708,98</w:t>
            </w:r>
          </w:p>
        </w:tc>
      </w:tr>
      <w:tr>
        <w:tblPrEx>
          <w:tblW w:w="4887" w:type="pct"/>
          <w:tblInd w:w="108" w:type="dxa"/>
          <w:tblLook w:val="01E0"/>
        </w:tblPrEx>
        <w:tc>
          <w:tcPr>
            <w:tcW w:w="3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Poistné do zdravotných poisťovní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85.577,11</w:t>
            </w:r>
          </w:p>
        </w:tc>
      </w:tr>
      <w:tr>
        <w:tblPrEx>
          <w:tblW w:w="4887" w:type="pct"/>
          <w:tblInd w:w="108" w:type="dxa"/>
          <w:tblLook w:val="01E0"/>
        </w:tblPrEx>
        <w:tc>
          <w:tcPr>
            <w:tcW w:w="3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Poistné do Sociálnej poisťovne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213.131,87</w:t>
            </w:r>
          </w:p>
        </w:tc>
      </w:tr>
      <w:tr>
        <w:tblPrEx>
          <w:tblW w:w="4887" w:type="pct"/>
          <w:tblInd w:w="108" w:type="dxa"/>
          <w:tblLook w:val="01E0"/>
        </w:tblPrEx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F25C9">
            <w:pPr>
              <w:bidi w:val="0"/>
              <w:ind w:left="284" w:right="-2"/>
              <w:rPr>
                <w:rFonts w:ascii="Arial" w:hAnsi="Arial" w:cs="Arial"/>
                <w:highlight w:val="yellow"/>
              </w:rPr>
            </w:pPr>
          </w:p>
        </w:tc>
      </w:tr>
      <w:tr>
        <w:tblPrEx>
          <w:tblW w:w="4887" w:type="pct"/>
          <w:tblInd w:w="108" w:type="dxa"/>
          <w:tblLook w:val="01E0"/>
        </w:tblPrEx>
        <w:tc>
          <w:tcPr>
            <w:tcW w:w="3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Tovary a služby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621.796,36   </w:t>
            </w:r>
          </w:p>
        </w:tc>
      </w:tr>
      <w:tr>
        <w:tblPrEx>
          <w:tblW w:w="4887" w:type="pct"/>
          <w:tblInd w:w="108" w:type="dxa"/>
          <w:tblLook w:val="01E0"/>
        </w:tblPrEx>
        <w:tc>
          <w:tcPr>
            <w:tcW w:w="3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 toho:</w:t>
            </w:r>
          </w:p>
        </w:tc>
        <w:tc>
          <w:tcPr>
            <w:tcW w:w="1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  <w:b/>
              </w:rPr>
            </w:pPr>
          </w:p>
        </w:tc>
      </w:tr>
      <w:tr>
        <w:tblPrEx>
          <w:tblW w:w="4887" w:type="pct"/>
          <w:tblInd w:w="108" w:type="dxa"/>
          <w:tblLook w:val="01E0"/>
        </w:tblPrEx>
        <w:tc>
          <w:tcPr>
            <w:tcW w:w="3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Cestovné na domáce a zahraničné služobné cesty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14.117,52</w:t>
            </w:r>
          </w:p>
        </w:tc>
      </w:tr>
      <w:tr>
        <w:tblPrEx>
          <w:tblW w:w="4887" w:type="pct"/>
          <w:tblInd w:w="108" w:type="dxa"/>
          <w:tblLook w:val="01E0"/>
        </w:tblPrEx>
        <w:tc>
          <w:tcPr>
            <w:tcW w:w="3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tuzemské služobné cesty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2.041,37</w:t>
            </w:r>
          </w:p>
        </w:tc>
      </w:tr>
      <w:tr>
        <w:tblPrEx>
          <w:tblW w:w="4887" w:type="pct"/>
          <w:tblInd w:w="108" w:type="dxa"/>
          <w:tblLook w:val="01E0"/>
        </w:tblPrEx>
        <w:tc>
          <w:tcPr>
            <w:tcW w:w="3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zahraničné služobné cesty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9.595,06</w:t>
            </w:r>
          </w:p>
        </w:tc>
      </w:tr>
      <w:tr>
        <w:tblPrEx>
          <w:tblW w:w="4887" w:type="pct"/>
          <w:tblInd w:w="108" w:type="dxa"/>
          <w:tblLook w:val="01E0"/>
        </w:tblPrEx>
        <w:tc>
          <w:tcPr>
            <w:tcW w:w="3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Cestovné ENRS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2.481,09</w:t>
            </w:r>
          </w:p>
        </w:tc>
      </w:tr>
    </w:tbl>
    <w:p w:rsidR="008F25C9" w:rsidP="008F25C9">
      <w:pPr>
        <w:bidi w:val="0"/>
        <w:ind w:left="284" w:right="-2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12"/>
        <w:gridCol w:w="2043"/>
      </w:tblGrid>
      <w:tr>
        <w:tblPrEx>
          <w:tblW w:w="4887" w:type="pct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Energia, voda, komunikácie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45.827,30</w:t>
            </w:r>
          </w:p>
        </w:tc>
      </w:tr>
      <w:tr>
        <w:tblPrEx>
          <w:tblW w:w="4887" w:type="pct"/>
          <w:tblInd w:w="108" w:type="dxa"/>
          <w:tblLook w:val="01E0"/>
        </w:tblPrEx>
        <w:tc>
          <w:tcPr>
            <w:tcW w:w="3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Energie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31.951,00</w:t>
            </w:r>
          </w:p>
        </w:tc>
      </w:tr>
      <w:tr>
        <w:tblPrEx>
          <w:tblW w:w="4887" w:type="pct"/>
          <w:tblInd w:w="108" w:type="dxa"/>
          <w:tblLook w:val="01E0"/>
        </w:tblPrEx>
        <w:tc>
          <w:tcPr>
            <w:tcW w:w="3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vodné a stočné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2.339,46</w:t>
            </w:r>
          </w:p>
        </w:tc>
      </w:tr>
      <w:tr>
        <w:tblPrEx>
          <w:tblW w:w="4887" w:type="pct"/>
          <w:tblInd w:w="108" w:type="dxa"/>
          <w:tblLook w:val="01E0"/>
        </w:tblPrEx>
        <w:tc>
          <w:tcPr>
            <w:tcW w:w="3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poštovné a telekomunikačné služby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11.536,84</w:t>
            </w:r>
          </w:p>
        </w:tc>
      </w:tr>
    </w:tbl>
    <w:p w:rsidR="008F25C9" w:rsidP="008F25C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TableNormal"/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12"/>
        <w:gridCol w:w="2043"/>
      </w:tblGrid>
      <w:tr>
        <w:tblPrEx>
          <w:tblW w:w="4887" w:type="pct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pStyle w:val="BodyText"/>
              <w:bidi w:val="0"/>
              <w:spacing w:line="360" w:lineRule="auto"/>
              <w:ind w:left="284" w:right="-2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Materiál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33.330,65</w:t>
            </w:r>
          </w:p>
        </w:tc>
      </w:tr>
      <w:tr>
        <w:tblPrEx>
          <w:tblW w:w="4887" w:type="pct"/>
          <w:tblInd w:w="108" w:type="dxa"/>
          <w:tblLook w:val="01E0"/>
        </w:tblPrEx>
        <w:tc>
          <w:tcPr>
            <w:tcW w:w="3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Výpočtová a telekomunikačná technika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5.807,83</w:t>
            </w:r>
          </w:p>
        </w:tc>
      </w:tr>
      <w:tr>
        <w:tblPrEx>
          <w:tblW w:w="4887" w:type="pct"/>
          <w:tblInd w:w="108" w:type="dxa"/>
          <w:tblLook w:val="01E0"/>
        </w:tblPrEx>
        <w:tc>
          <w:tcPr>
            <w:tcW w:w="3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Prevádzkové stroje, prístroje, zariadenie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5.097,04</w:t>
            </w:r>
          </w:p>
        </w:tc>
      </w:tr>
      <w:tr>
        <w:tblPrEx>
          <w:tblW w:w="4887" w:type="pct"/>
          <w:tblInd w:w="108" w:type="dxa"/>
          <w:tblLook w:val="01E0"/>
        </w:tblPrEx>
        <w:tc>
          <w:tcPr>
            <w:tcW w:w="39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Všeobecný kancelársky materiál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19.486,06</w:t>
            </w:r>
          </w:p>
        </w:tc>
      </w:tr>
      <w:tr>
        <w:tblPrEx>
          <w:tblW w:w="4887" w:type="pct"/>
          <w:tblInd w:w="108" w:type="dxa"/>
          <w:tblLook w:val="01E0"/>
        </w:tblPrEx>
        <w:tc>
          <w:tcPr>
            <w:tcW w:w="3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Knihy, časopisy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255,37</w:t>
            </w:r>
          </w:p>
        </w:tc>
      </w:tr>
      <w:tr>
        <w:tblPrEx>
          <w:tblW w:w="4887" w:type="pct"/>
          <w:tblInd w:w="108" w:type="dxa"/>
          <w:tblLook w:val="01E0"/>
        </w:tblPrEx>
        <w:tc>
          <w:tcPr>
            <w:tcW w:w="3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Reprezentačné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716,80</w:t>
            </w:r>
          </w:p>
        </w:tc>
      </w:tr>
      <w:tr>
        <w:tblPrEx>
          <w:tblW w:w="4887" w:type="pct"/>
          <w:tblInd w:w="108" w:type="dxa"/>
          <w:tblLook w:val="01E0"/>
        </w:tblPrEx>
        <w:tc>
          <w:tcPr>
            <w:tcW w:w="3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Licencie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936,00</w:t>
            </w:r>
          </w:p>
        </w:tc>
      </w:tr>
      <w:tr>
        <w:tblPrEx>
          <w:tblW w:w="4887" w:type="pct"/>
          <w:tblInd w:w="108" w:type="dxa"/>
          <w:tblLook w:val="01E0"/>
        </w:tblPrEx>
        <w:tc>
          <w:tcPr>
            <w:tcW w:w="3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Licencie ENRS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1.031,53</w:t>
            </w:r>
          </w:p>
        </w:tc>
      </w:tr>
    </w:tbl>
    <w:p w:rsidR="008F25C9" w:rsidP="008F25C9">
      <w:pPr>
        <w:bidi w:val="0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4888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13"/>
        <w:gridCol w:w="2044"/>
      </w:tblGrid>
      <w:tr>
        <w:tblPrEx>
          <w:tblW w:w="4888" w:type="pct"/>
          <w:tblInd w:w="10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Dopravné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30.156,45           </w:t>
            </w:r>
          </w:p>
        </w:tc>
      </w:tr>
      <w:tr>
        <w:tblPrEx>
          <w:tblW w:w="4888" w:type="pct"/>
          <w:tblInd w:w="107" w:type="dxa"/>
          <w:tblLook w:val="01E0"/>
        </w:tblPrEx>
        <w:tc>
          <w:tcPr>
            <w:tcW w:w="39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nákup PHM pre 4 motorové vozidlá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6.353,64</w:t>
            </w:r>
          </w:p>
        </w:tc>
      </w:tr>
      <w:tr>
        <w:tblPrEx>
          <w:tblW w:w="4888" w:type="pct"/>
          <w:tblInd w:w="107" w:type="dxa"/>
          <w:tblLook w:val="01E0"/>
        </w:tblPrEx>
        <w:tc>
          <w:tcPr>
            <w:tcW w:w="39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 toho nákup PHM ENRS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452,99</w:t>
            </w:r>
          </w:p>
        </w:tc>
      </w:tr>
      <w:tr>
        <w:tblPrEx>
          <w:tblW w:w="4888" w:type="pct"/>
          <w:tblInd w:w="107" w:type="dxa"/>
          <w:tblLook w:val="01E0"/>
        </w:tblPrEx>
        <w:tc>
          <w:tcPr>
            <w:tcW w:w="3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servis, údržba, opravy automobilov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6.974,45</w:t>
            </w:r>
          </w:p>
        </w:tc>
      </w:tr>
      <w:tr>
        <w:tblPrEx>
          <w:tblW w:w="4888" w:type="pct"/>
          <w:tblInd w:w="107" w:type="dxa"/>
          <w:tblLook w:val="01E0"/>
        </w:tblPrEx>
        <w:tc>
          <w:tcPr>
            <w:tcW w:w="3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Poistenie automobilov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2.128,50 </w:t>
            </w:r>
          </w:p>
        </w:tc>
      </w:tr>
      <w:tr>
        <w:tblPrEx>
          <w:tblW w:w="4888" w:type="pct"/>
          <w:tblInd w:w="107" w:type="dxa"/>
          <w:tblLook w:val="01E0"/>
        </w:tblPrEx>
        <w:tc>
          <w:tcPr>
            <w:tcW w:w="3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Preprava a prenájom dopravných  prostriedkov - sťahovanie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13.961,64</w:t>
            </w:r>
          </w:p>
        </w:tc>
      </w:tr>
      <w:tr>
        <w:tblPrEx>
          <w:tblW w:w="4888" w:type="pct"/>
          <w:tblInd w:w="107" w:type="dxa"/>
          <w:tblLook w:val="01E0"/>
        </w:tblPrEx>
        <w:tc>
          <w:tcPr>
            <w:tcW w:w="3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karty známky, parkovné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738,22</w:t>
            </w:r>
          </w:p>
        </w:tc>
      </w:tr>
      <w:tr>
        <w:tblPrEx>
          <w:tblW w:w="4888" w:type="pct"/>
          <w:tblInd w:w="107" w:type="dxa"/>
          <w:tblLook w:val="01E0"/>
        </w:tblPrEx>
        <w:tc>
          <w:tcPr>
            <w:tcW w:w="3908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8F25C9">
            <w:pPr>
              <w:bidi w:val="0"/>
              <w:ind w:left="284" w:right="-2"/>
              <w:rPr>
                <w:rFonts w:ascii="Arial" w:hAnsi="Arial" w:cs="Arial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</w:rPr>
            </w:pPr>
          </w:p>
        </w:tc>
      </w:tr>
      <w:tr>
        <w:tblPrEx>
          <w:tblW w:w="4888" w:type="pct"/>
          <w:tblInd w:w="107" w:type="dxa"/>
          <w:tblLook w:val="01E0"/>
        </w:tblPrEx>
        <w:tc>
          <w:tcPr>
            <w:tcW w:w="3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Rutinná a štandardná údržba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85.986,31</w:t>
            </w:r>
          </w:p>
        </w:tc>
      </w:tr>
      <w:tr>
        <w:tblPrEx>
          <w:tblW w:w="4888" w:type="pct"/>
          <w:tblInd w:w="107" w:type="dxa"/>
          <w:tblLook w:val="01E0"/>
        </w:tblPrEx>
        <w:tc>
          <w:tcPr>
            <w:tcW w:w="3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Interiérového vybavenia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13.924,82</w:t>
            </w:r>
          </w:p>
        </w:tc>
      </w:tr>
      <w:tr>
        <w:tblPrEx>
          <w:tblW w:w="4888" w:type="pct"/>
          <w:tblInd w:w="107" w:type="dxa"/>
          <w:tblLook w:val="01E0"/>
        </w:tblPrEx>
        <w:tc>
          <w:tcPr>
            <w:tcW w:w="3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Výpočtovej techniky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2.880,00</w:t>
            </w:r>
          </w:p>
        </w:tc>
      </w:tr>
      <w:tr>
        <w:tblPrEx>
          <w:tblW w:w="4888" w:type="pct"/>
          <w:tblInd w:w="107" w:type="dxa"/>
          <w:tblLook w:val="01E0"/>
        </w:tblPrEx>
        <w:tc>
          <w:tcPr>
            <w:tcW w:w="3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Telekomunikačnej techniky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26.120,00</w:t>
            </w:r>
          </w:p>
        </w:tc>
      </w:tr>
      <w:tr>
        <w:tblPrEx>
          <w:tblW w:w="4888" w:type="pct"/>
          <w:tblInd w:w="107" w:type="dxa"/>
          <w:tblLook w:val="01E0"/>
        </w:tblPrEx>
        <w:tc>
          <w:tcPr>
            <w:tcW w:w="3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Opravy prevádzkových strojov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797,47</w:t>
            </w:r>
          </w:p>
        </w:tc>
      </w:tr>
      <w:tr>
        <w:tblPrEx>
          <w:tblW w:w="4888" w:type="pct"/>
          <w:tblInd w:w="107" w:type="dxa"/>
          <w:tblLook w:val="01E0"/>
        </w:tblPrEx>
        <w:tc>
          <w:tcPr>
            <w:tcW w:w="3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Budov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37.495,46</w:t>
            </w:r>
          </w:p>
        </w:tc>
      </w:tr>
      <w:tr>
        <w:tblPrEx>
          <w:tblW w:w="4888" w:type="pct"/>
          <w:tblInd w:w="107" w:type="dxa"/>
          <w:tblLook w:val="01E0"/>
        </w:tblPrEx>
        <w:tc>
          <w:tcPr>
            <w:tcW w:w="3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Softvéru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4.768,46</w:t>
            </w:r>
          </w:p>
        </w:tc>
      </w:tr>
    </w:tbl>
    <w:p w:rsidR="008F25C9" w:rsidP="008F25C9">
      <w:pPr>
        <w:bidi w:val="0"/>
        <w:ind w:left="284" w:right="-2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76"/>
        <w:gridCol w:w="2079"/>
      </w:tblGrid>
      <w:tr>
        <w:tblPrEx>
          <w:tblW w:w="4887" w:type="pct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Nájomné za prenájom</w:t>
              <w:tab/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82.491,84</w:t>
            </w:r>
          </w:p>
        </w:tc>
      </w:tr>
      <w:tr>
        <w:tblPrEx>
          <w:tblW w:w="4887" w:type="pct"/>
          <w:tblInd w:w="108" w:type="dxa"/>
          <w:tblLook w:val="01E0"/>
        </w:tblPrEx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prenájom  - kancelárskych a archívnych priestorov (Miletičova - Seleziáni)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82.491,84</w:t>
            </w:r>
          </w:p>
        </w:tc>
      </w:tr>
      <w:tr>
        <w:tblPrEx>
          <w:tblW w:w="4887" w:type="pct"/>
          <w:tblInd w:w="108" w:type="dxa"/>
          <w:tblLook w:val="01E0"/>
        </w:tblPrEx>
        <w:tc>
          <w:tcPr>
            <w:tcW w:w="38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F25C9">
            <w:pPr>
              <w:bidi w:val="0"/>
              <w:ind w:left="284" w:right="-2"/>
              <w:rPr>
                <w:rFonts w:ascii="Arial" w:hAnsi="Arial" w:cs="Arial"/>
                <w:b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  <w:b/>
              </w:rPr>
            </w:pPr>
          </w:p>
        </w:tc>
      </w:tr>
      <w:tr>
        <w:tblPrEx>
          <w:tblW w:w="4887" w:type="pct"/>
          <w:tblInd w:w="108" w:type="dxa"/>
          <w:tblLook w:val="01E0"/>
        </w:tblPrEx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Ostatné tovary a služby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329.886,29</w:t>
            </w:r>
          </w:p>
        </w:tc>
      </w:tr>
      <w:tr>
        <w:tblPrEx>
          <w:tblW w:w="4887" w:type="pct"/>
          <w:tblInd w:w="108" w:type="dxa"/>
          <w:tblLook w:val="01E0"/>
        </w:tblPrEx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školenia, kurzy, semináre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22.064,29</w:t>
            </w:r>
          </w:p>
        </w:tc>
      </w:tr>
      <w:tr>
        <w:tblPrEx>
          <w:tblW w:w="4887" w:type="pct"/>
          <w:tblInd w:w="108" w:type="dxa"/>
          <w:tblLook w:val="01E0"/>
        </w:tblPrEx>
        <w:trPr>
          <w:trHeight w:val="207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v tom ENRS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14.966,89</w:t>
            </w:r>
          </w:p>
        </w:tc>
      </w:tr>
      <w:tr>
        <w:tblPrEx>
          <w:tblW w:w="4887" w:type="pct"/>
          <w:tblInd w:w="108" w:type="dxa"/>
          <w:tblLook w:val="01E0"/>
        </w:tblPrEx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propagácia, údržba domény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127,27</w:t>
            </w:r>
          </w:p>
        </w:tc>
      </w:tr>
      <w:tr>
        <w:tblPrEx>
          <w:tblW w:w="4887" w:type="pct"/>
          <w:tblInd w:w="108" w:type="dxa"/>
          <w:tblLook w:val="01E0"/>
        </w:tblPrEx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všeobecné služby 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55.343,24</w:t>
            </w:r>
          </w:p>
        </w:tc>
      </w:tr>
      <w:tr>
        <w:tblPrEx>
          <w:tblW w:w="4887" w:type="pct"/>
          <w:tblInd w:w="108" w:type="dxa"/>
          <w:tblLook w:val="01E0"/>
        </w:tblPrEx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 tom všeobecné služby ENRS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23.849,21</w:t>
            </w:r>
          </w:p>
        </w:tc>
      </w:tr>
      <w:tr>
        <w:tblPrEx>
          <w:tblW w:w="4887" w:type="pct"/>
          <w:tblInd w:w="108" w:type="dxa"/>
          <w:tblLook w:val="01E0"/>
        </w:tblPrEx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špeciálne služby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53.220,86</w:t>
            </w:r>
          </w:p>
        </w:tc>
      </w:tr>
      <w:tr>
        <w:tblPrEx>
          <w:tblW w:w="4887" w:type="pct"/>
          <w:tblInd w:w="108" w:type="dxa"/>
          <w:tblLook w:val="01E0"/>
        </w:tblPrEx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Štúdie, expertízy, posudky ENRS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4.513,00</w:t>
            </w:r>
          </w:p>
        </w:tc>
      </w:tr>
      <w:tr>
        <w:tblPrEx>
          <w:tblW w:w="4887" w:type="pct"/>
          <w:tblInd w:w="108" w:type="dxa"/>
          <w:tblLook w:val="01E0"/>
        </w:tblPrEx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poplatky, odvody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1.111,05</w:t>
            </w:r>
          </w:p>
        </w:tc>
      </w:tr>
      <w:tr>
        <w:tblPrEx>
          <w:tblW w:w="4887" w:type="pct"/>
          <w:tblInd w:w="108" w:type="dxa"/>
          <w:tblLook w:val="01E0"/>
        </w:tblPrEx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Stravovanie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24.869,45</w:t>
            </w:r>
          </w:p>
        </w:tc>
      </w:tr>
      <w:tr>
        <w:tblPrEx>
          <w:tblW w:w="4887" w:type="pct"/>
          <w:tblInd w:w="108" w:type="dxa"/>
          <w:tblLook w:val="01E0"/>
        </w:tblPrEx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poistné na ZSC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431,44</w:t>
            </w:r>
          </w:p>
        </w:tc>
      </w:tr>
      <w:tr>
        <w:tblPrEx>
          <w:tblW w:w="4887" w:type="pct"/>
          <w:tblInd w:w="108" w:type="dxa"/>
          <w:tblLook w:val="01E0"/>
        </w:tblPrEx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prídel do sociálneho fondu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4.735,86</w:t>
            </w:r>
          </w:p>
        </w:tc>
      </w:tr>
      <w:tr>
        <w:tblPrEx>
          <w:tblW w:w="4887" w:type="pct"/>
          <w:tblInd w:w="108" w:type="dxa"/>
          <w:tblLook w:val="01E0"/>
        </w:tblPrEx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odmeny a príspevky SR, DR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158.094,00</w:t>
            </w:r>
          </w:p>
        </w:tc>
      </w:tr>
      <w:tr>
        <w:tblPrEx>
          <w:tblW w:w="4887" w:type="pct"/>
          <w:tblInd w:w="108" w:type="dxa"/>
          <w:tblLook w:val="01E0"/>
        </w:tblPrEx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odmeny zamestnancov mimo pracovného pomeru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3.284,06</w:t>
            </w:r>
          </w:p>
        </w:tc>
      </w:tr>
      <w:tr>
        <w:tblPrEx>
          <w:tblW w:w="4887" w:type="pct"/>
          <w:tblInd w:w="108" w:type="dxa"/>
          <w:tblLook w:val="01E0"/>
        </w:tblPrEx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Dane a miestne poplatky - OLO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2.091,77</w:t>
            </w:r>
          </w:p>
        </w:tc>
      </w:tr>
    </w:tbl>
    <w:p w:rsidR="008F25C9" w:rsidP="008F25C9">
      <w:pPr>
        <w:bidi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Style w:val="TableNormal"/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61"/>
        <w:gridCol w:w="2094"/>
      </w:tblGrid>
      <w:tr>
        <w:tblPrEx>
          <w:tblW w:w="4887" w:type="pct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Transfery jednotlivcom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4.879,95</w:t>
            </w:r>
          </w:p>
        </w:tc>
      </w:tr>
      <w:tr>
        <w:tblPrEx>
          <w:tblW w:w="4887" w:type="pct"/>
          <w:tblInd w:w="108" w:type="dxa"/>
          <w:tblLook w:val="01E0"/>
        </w:tblPrEx>
        <w:tc>
          <w:tcPr>
            <w:tcW w:w="3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odstupné a odchodné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2.986,00</w:t>
            </w:r>
          </w:p>
        </w:tc>
      </w:tr>
      <w:tr>
        <w:tblPrEx>
          <w:tblW w:w="4887" w:type="pct"/>
          <w:tblInd w:w="108" w:type="dxa"/>
          <w:tblLook w:val="01E0"/>
        </w:tblPrEx>
        <w:tc>
          <w:tcPr>
            <w:tcW w:w="3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nemocenské dávky                  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1.893,95</w:t>
            </w:r>
          </w:p>
        </w:tc>
      </w:tr>
    </w:tbl>
    <w:p w:rsidR="008F25C9" w:rsidP="008F25C9">
      <w:pPr>
        <w:bidi w:val="0"/>
        <w:ind w:left="284" w:right="-2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30"/>
        <w:gridCol w:w="2126"/>
      </w:tblGrid>
      <w:tr>
        <w:tblPrEx>
          <w:tblW w:w="9356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Kapitálové výdavky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32.177,00</w:t>
            </w:r>
          </w:p>
        </w:tc>
      </w:tr>
      <w:tr>
        <w:tblPrEx>
          <w:tblW w:w="9356" w:type="dxa"/>
          <w:tblInd w:w="108" w:type="dxa"/>
          <w:tblLook w:val="04A0"/>
        </w:tblPrEx>
        <w:trPr>
          <w:trHeight w:val="471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Nákup výpočtovej techniky: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right="-2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32.177,00</w:t>
            </w:r>
          </w:p>
        </w:tc>
      </w:tr>
    </w:tbl>
    <w:p w:rsidR="00C4453D" w:rsidP="00C4453D">
      <w:pPr>
        <w:pStyle w:val="ListParagraph"/>
        <w:tabs>
          <w:tab w:val="right" w:pos="9180"/>
        </w:tabs>
        <w:bidi w:val="0"/>
        <w:spacing w:line="360" w:lineRule="auto"/>
        <w:ind w:left="649" w:right="-2"/>
        <w:rPr>
          <w:rFonts w:cs="Arial"/>
          <w:sz w:val="22"/>
          <w:szCs w:val="22"/>
          <w:lang w:eastAsia="sk-SK"/>
        </w:rPr>
      </w:pPr>
    </w:p>
    <w:p w:rsidR="008F25C9" w:rsidP="007D109E">
      <w:pPr>
        <w:pStyle w:val="ListParagraph"/>
        <w:tabs>
          <w:tab w:val="right" w:pos="9180"/>
        </w:tabs>
        <w:bidi w:val="0"/>
        <w:spacing w:line="360" w:lineRule="auto"/>
        <w:ind w:left="649" w:right="-2" w:hanging="649"/>
        <w:rPr>
          <w:rFonts w:cs="Arial"/>
          <w:b/>
          <w:sz w:val="22"/>
          <w:szCs w:val="22"/>
        </w:rPr>
      </w:pPr>
      <w:r w:rsidRPr="00C4453D" w:rsidR="00C4453D">
        <w:rPr>
          <w:rFonts w:cs="Arial"/>
          <w:b/>
          <w:sz w:val="22"/>
          <w:szCs w:val="22"/>
          <w:lang w:eastAsia="sk-SK"/>
        </w:rPr>
        <w:t xml:space="preserve">1.4. </w:t>
      </w:r>
      <w:r w:rsidR="007D109E">
        <w:rPr>
          <w:rFonts w:cs="Arial"/>
          <w:b/>
          <w:sz w:val="22"/>
          <w:szCs w:val="22"/>
          <w:lang w:eastAsia="sk-SK"/>
        </w:rPr>
        <w:t xml:space="preserve"> </w:t>
      </w:r>
      <w:r>
        <w:rPr>
          <w:rFonts w:cs="Arial"/>
          <w:b/>
          <w:sz w:val="22"/>
          <w:szCs w:val="22"/>
        </w:rPr>
        <w:t>Výsledok rozpočtového hospodárenia</w:t>
      </w:r>
    </w:p>
    <w:p w:rsidR="008F25C9" w:rsidP="008F25C9">
      <w:pPr>
        <w:pStyle w:val="ListParagraph"/>
        <w:tabs>
          <w:tab w:val="right" w:pos="9180"/>
        </w:tabs>
        <w:bidi w:val="0"/>
        <w:ind w:left="649" w:right="-2"/>
        <w:rPr>
          <w:rFonts w:cs="Arial"/>
          <w:b/>
          <w:sz w:val="22"/>
          <w:szCs w:val="22"/>
        </w:rPr>
      </w:pPr>
    </w:p>
    <w:tbl>
      <w:tblPr>
        <w:tblStyle w:val="TableNormal"/>
        <w:tblW w:w="935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245"/>
        <w:gridCol w:w="1985"/>
        <w:gridCol w:w="2126"/>
      </w:tblGrid>
      <w:tr>
        <w:tblPrEx>
          <w:tblW w:w="9356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Príjmy spolu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1.705.974,02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9356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zo štátneho rozpočtu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1.660.562,24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9356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Úprava rozpočtu: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9356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Bežné výdavky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1.628.385,24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9356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Kapitálové výdavky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32.177,00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9356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Nedaňové príjmy vlastné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20.613,65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9356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Zostatok z predchádzajúcich rokov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24.798,13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9356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Výdavky spolu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1.670.935,06</w:t>
            </w:r>
          </w:p>
        </w:tc>
      </w:tr>
      <w:tr>
        <w:tblPrEx>
          <w:tblW w:w="9356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 toho: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9356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bežné výdavky zo štátneho rozpočtu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1.628.383,08</w:t>
            </w:r>
          </w:p>
        </w:tc>
      </w:tr>
      <w:tr>
        <w:tblPrEx>
          <w:tblW w:w="9356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kapitálové výdavky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32.177,00</w:t>
            </w:r>
          </w:p>
        </w:tc>
      </w:tr>
      <w:tr>
        <w:tblPrEx>
          <w:tblW w:w="9356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výdavky - nedaňové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10.374,98</w:t>
            </w:r>
          </w:p>
        </w:tc>
      </w:tr>
      <w:tr>
        <w:tblPrEx>
          <w:tblW w:w="9356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Saldo príjmov a výdavkov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8F25C9">
            <w:pPr>
              <w:bidi w:val="0"/>
              <w:ind w:left="284" w:right="-2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35.038,96</w:t>
            </w:r>
          </w:p>
        </w:tc>
      </w:tr>
    </w:tbl>
    <w:p w:rsidR="008F25C9" w:rsidP="008F25C9">
      <w:pPr>
        <w:pStyle w:val="BodyText"/>
        <w:bidi w:val="0"/>
        <w:spacing w:line="360" w:lineRule="auto"/>
        <w:ind w:left="284" w:right="-2"/>
        <w:jc w:val="both"/>
        <w:rPr>
          <w:b w:val="0"/>
          <w:sz w:val="22"/>
          <w:szCs w:val="22"/>
        </w:rPr>
      </w:pPr>
    </w:p>
    <w:p w:rsidR="008F25C9" w:rsidP="007D109E">
      <w:pPr>
        <w:pStyle w:val="ListParagraph"/>
        <w:tabs>
          <w:tab w:val="right" w:pos="9180"/>
        </w:tabs>
        <w:bidi w:val="0"/>
        <w:ind w:left="649" w:right="923" w:hanging="649"/>
        <w:rPr>
          <w:rFonts w:cs="Arial"/>
          <w:b/>
          <w:sz w:val="22"/>
          <w:szCs w:val="22"/>
        </w:rPr>
      </w:pPr>
      <w:r w:rsidR="007D109E">
        <w:rPr>
          <w:rFonts w:cs="Arial"/>
          <w:b/>
          <w:sz w:val="22"/>
          <w:szCs w:val="22"/>
        </w:rPr>
        <w:t xml:space="preserve">1.5.   </w:t>
      </w:r>
      <w:r>
        <w:rPr>
          <w:rFonts w:cs="Arial"/>
          <w:b/>
          <w:sz w:val="22"/>
          <w:szCs w:val="22"/>
        </w:rPr>
        <w:t>Zhodnotenie zamestnanosti</w:t>
      </w:r>
    </w:p>
    <w:p w:rsidR="008F25C9" w:rsidP="008F25C9">
      <w:pPr>
        <w:pStyle w:val="ListParagraph"/>
        <w:tabs>
          <w:tab w:val="right" w:pos="9180"/>
        </w:tabs>
        <w:bidi w:val="0"/>
        <w:ind w:left="649" w:right="923"/>
        <w:jc w:val="both"/>
        <w:rPr>
          <w:rFonts w:cs="Arial"/>
          <w:b/>
          <w:sz w:val="22"/>
          <w:szCs w:val="22"/>
        </w:rPr>
      </w:pPr>
    </w:p>
    <w:p w:rsidR="008F25C9" w:rsidP="007D109E">
      <w:pPr>
        <w:pStyle w:val="ListParagraph"/>
        <w:bidi w:val="0"/>
        <w:ind w:left="426" w:right="142"/>
        <w:jc w:val="both"/>
        <w:rPr>
          <w:rFonts w:cs="Arial"/>
          <w:sz w:val="22"/>
          <w:szCs w:val="22"/>
        </w:rPr>
      </w:pPr>
      <w:r w:rsidR="007D109E">
        <w:rPr>
          <w:rFonts w:cs="Arial"/>
          <w:sz w:val="22"/>
          <w:szCs w:val="22"/>
        </w:rPr>
        <w:t xml:space="preserve">         </w:t>
      </w:r>
      <w:r>
        <w:rPr>
          <w:rFonts w:cs="Arial"/>
          <w:sz w:val="22"/>
          <w:szCs w:val="22"/>
        </w:rPr>
        <w:t xml:space="preserve">K 31.12.2015 bolo na zabezpečenie činnosti ústavu vedených v stave 64 zamestnancov, 4 zamestnankyne čerpali materskú dovolenku. Priemerný evidenčný počet </w:t>
      </w:r>
      <w:r>
        <w:rPr>
          <w:rFonts w:cs="Arial"/>
          <w:color w:val="FF0000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zamestnancov ústavu v roku 2015 bol 64.  </w:t>
      </w:r>
    </w:p>
    <w:p w:rsidR="007D109E" w:rsidP="007D109E">
      <w:pPr>
        <w:pStyle w:val="ListParagraph"/>
        <w:tabs>
          <w:tab w:val="right" w:pos="9180"/>
        </w:tabs>
        <w:bidi w:val="0"/>
        <w:ind w:left="649" w:right="923"/>
        <w:rPr>
          <w:rFonts w:cs="Arial"/>
          <w:sz w:val="22"/>
          <w:szCs w:val="22"/>
        </w:rPr>
      </w:pPr>
    </w:p>
    <w:p w:rsidR="007D109E" w:rsidP="007D109E">
      <w:pPr>
        <w:pStyle w:val="ListParagraph"/>
        <w:tabs>
          <w:tab w:val="right" w:pos="9180"/>
        </w:tabs>
        <w:bidi w:val="0"/>
        <w:ind w:left="649" w:right="923"/>
        <w:rPr>
          <w:rFonts w:cs="Arial"/>
          <w:sz w:val="22"/>
          <w:szCs w:val="22"/>
        </w:rPr>
      </w:pPr>
    </w:p>
    <w:p w:rsidR="008F25C9" w:rsidP="007D109E">
      <w:pPr>
        <w:pStyle w:val="ListParagraph"/>
        <w:tabs>
          <w:tab w:val="right" w:pos="9180"/>
        </w:tabs>
        <w:bidi w:val="0"/>
        <w:ind w:left="649" w:right="923" w:hanging="649"/>
        <w:rPr>
          <w:rFonts w:cs="Arial"/>
          <w:b/>
          <w:sz w:val="22"/>
          <w:szCs w:val="22"/>
        </w:rPr>
      </w:pPr>
      <w:r w:rsidR="007D109E">
        <w:rPr>
          <w:rFonts w:cs="Arial"/>
          <w:b/>
          <w:sz w:val="22"/>
          <w:szCs w:val="22"/>
        </w:rPr>
        <w:t xml:space="preserve">1.6.   </w:t>
      </w:r>
      <w:r>
        <w:rPr>
          <w:rFonts w:cs="Arial"/>
          <w:b/>
          <w:sz w:val="22"/>
          <w:szCs w:val="22"/>
        </w:rPr>
        <w:t xml:space="preserve">Majetok </w:t>
      </w:r>
    </w:p>
    <w:p w:rsidR="008F25C9" w:rsidP="008F25C9">
      <w:pPr>
        <w:tabs>
          <w:tab w:val="right" w:pos="9180"/>
        </w:tabs>
        <w:bidi w:val="0"/>
        <w:ind w:right="923"/>
        <w:rPr>
          <w:rFonts w:ascii="Arial" w:hAnsi="Arial" w:cs="Arial"/>
          <w:sz w:val="22"/>
          <w:szCs w:val="22"/>
        </w:rPr>
      </w:pPr>
    </w:p>
    <w:p w:rsidR="007D109E" w:rsidP="007D109E">
      <w:pPr>
        <w:pStyle w:val="BodyText"/>
        <w:bidi w:val="0"/>
        <w:spacing w:after="100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</w:t>
      </w:r>
      <w:r w:rsidR="008F25C9">
        <w:rPr>
          <w:b w:val="0"/>
          <w:sz w:val="22"/>
          <w:szCs w:val="22"/>
        </w:rPr>
        <w:t xml:space="preserve">Majetok ústavu k 1.1.2015 mal účtovnú hodnotu 1.067.141,67 €, oprávky v čiastke  1.033.524,77 € znížili reálnu </w:t>
      </w:r>
      <w:r>
        <w:rPr>
          <w:b w:val="0"/>
          <w:sz w:val="22"/>
          <w:szCs w:val="22"/>
        </w:rPr>
        <w:t xml:space="preserve">hodnotu majetku na 33.316,90 €. </w:t>
      </w:r>
    </w:p>
    <w:p w:rsidR="007D109E" w:rsidP="007D109E">
      <w:pPr>
        <w:pStyle w:val="BodyText"/>
        <w:bidi w:val="0"/>
        <w:spacing w:after="100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</w:t>
      </w:r>
      <w:r w:rsidR="008F25C9">
        <w:rPr>
          <w:b w:val="0"/>
          <w:sz w:val="22"/>
          <w:szCs w:val="22"/>
        </w:rPr>
        <w:t>V roku 2015 bol prírastok majetku v sume 33.427,00 € a úbytok – vyradenie majetku v hodnote 6.876,54 €.</w:t>
      </w:r>
    </w:p>
    <w:p w:rsidR="008F25C9" w:rsidRPr="007D109E" w:rsidP="007D109E">
      <w:pPr>
        <w:pStyle w:val="BodyText"/>
        <w:bidi w:val="0"/>
        <w:spacing w:after="100"/>
        <w:ind w:left="426"/>
        <w:jc w:val="both"/>
        <w:rPr>
          <w:b w:val="0"/>
          <w:sz w:val="22"/>
          <w:szCs w:val="22"/>
        </w:rPr>
      </w:pPr>
      <w:r w:rsidR="007D109E">
        <w:rPr>
          <w:b w:val="0"/>
          <w:sz w:val="22"/>
          <w:szCs w:val="22"/>
        </w:rPr>
        <w:t xml:space="preserve">         </w:t>
      </w:r>
      <w:r>
        <w:rPr>
          <w:b w:val="0"/>
          <w:sz w:val="22"/>
          <w:szCs w:val="22"/>
        </w:rPr>
        <w:t>Účtovná hodnota majetku k 31.12.2015 bola v celkovej hodnote 1.093.392,13 €, znížená o oprávky v čiastke  1.041.581,08 €. ÚPN evidoval k 31. 12. 2015 majetok v reálnej hodnote 51.811,05 €</w:t>
      </w:r>
      <w:r>
        <w:rPr>
          <w:b w:val="0"/>
          <w:color w:val="000000"/>
          <w:sz w:val="22"/>
          <w:szCs w:val="22"/>
        </w:rPr>
        <w:t>.</w:t>
      </w:r>
    </w:p>
    <w:p w:rsidR="008F25C9" w:rsidP="008F25C9">
      <w:pPr>
        <w:tabs>
          <w:tab w:val="right" w:pos="9180"/>
        </w:tabs>
        <w:bidi w:val="0"/>
        <w:ind w:right="923"/>
        <w:rPr>
          <w:rFonts w:ascii="Arial" w:hAnsi="Arial" w:cs="Arial"/>
          <w:sz w:val="22"/>
          <w:szCs w:val="22"/>
        </w:rPr>
      </w:pPr>
    </w:p>
    <w:p w:rsidR="00706286" w:rsidRPr="00876F18" w:rsidP="00136185">
      <w:pPr>
        <w:tabs>
          <w:tab w:val="right" w:pos="9180"/>
        </w:tabs>
        <w:bidi w:val="0"/>
        <w:ind w:right="923"/>
        <w:rPr>
          <w:rFonts w:ascii="Arial" w:hAnsi="Arial" w:cs="Arial"/>
          <w:sz w:val="22"/>
          <w:szCs w:val="22"/>
        </w:rPr>
      </w:pPr>
    </w:p>
    <w:p w:rsidR="000F0B89" w:rsidRPr="00876F18" w:rsidP="00750DA6">
      <w:pPr>
        <w:bidi w:val="0"/>
        <w:rPr>
          <w:rFonts w:ascii="Arial" w:hAnsi="Arial" w:cs="Arial"/>
          <w:sz w:val="22"/>
          <w:szCs w:val="22"/>
        </w:rPr>
      </w:pPr>
    </w:p>
    <w:p w:rsidR="0076609B" w:rsidRPr="00876F18" w:rsidP="00B60E60">
      <w:pPr>
        <w:tabs>
          <w:tab w:val="center" w:pos="7371"/>
        </w:tabs>
        <w:bidi w:val="0"/>
        <w:ind w:left="-142"/>
        <w:rPr>
          <w:rFonts w:ascii="Arial" w:hAnsi="Arial" w:cs="Arial"/>
          <w:sz w:val="22"/>
          <w:szCs w:val="22"/>
        </w:rPr>
      </w:pPr>
    </w:p>
    <w:sectPr w:rsidSect="007D109E">
      <w:footerReference w:type="default" r:id="rId7"/>
      <w:pgSz w:w="11906" w:h="16838"/>
      <w:pgMar w:top="1417" w:right="1133" w:bottom="1417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6BD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504DB3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CA56BD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99AE9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  <w:rtl w:val="0"/>
        <w:cs w:val="0"/>
      </w:rPr>
    </w:lvl>
  </w:abstractNum>
  <w:abstractNum w:abstractNumId="1">
    <w:nsid w:val="FFFFFF7D"/>
    <w:multiLevelType w:val="singleLevel"/>
    <w:tmpl w:val="3398D8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  <w:rtl w:val="0"/>
        <w:cs w:val="0"/>
      </w:rPr>
    </w:lvl>
  </w:abstractNum>
  <w:abstractNum w:abstractNumId="2">
    <w:nsid w:val="FFFFFF7E"/>
    <w:multiLevelType w:val="singleLevel"/>
    <w:tmpl w:val="C9A2E2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  <w:rtl w:val="0"/>
        <w:cs w:val="0"/>
      </w:rPr>
    </w:lvl>
  </w:abstractNum>
  <w:abstractNum w:abstractNumId="3">
    <w:nsid w:val="FFFFFF7F"/>
    <w:multiLevelType w:val="singleLevel"/>
    <w:tmpl w:val="86EA61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rtl w:val="0"/>
        <w:cs w:val="0"/>
      </w:rPr>
    </w:lvl>
  </w:abstractNum>
  <w:abstractNum w:abstractNumId="4">
    <w:nsid w:val="FFFFFF80"/>
    <w:multiLevelType w:val="singleLevel"/>
    <w:tmpl w:val="6E6699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0AFB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DAC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09C694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D4E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9">
    <w:nsid w:val="FFFFFF89"/>
    <w:multiLevelType w:val="singleLevel"/>
    <w:tmpl w:val="918C3A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1"/>
    <w:name w:val="WW8Num1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1">
    <w:nsid w:val="00000002"/>
    <w:multiLevelType w:val="multilevel"/>
    <w:tmpl w:val="00000002"/>
    <w:lvl w:ilvl="0">
      <w:start w:val="1"/>
      <w:numFmt w:val="none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  <w:lvl w:ilvl="1">
      <w:start w:val="1"/>
      <w:numFmt w:val="none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  <w:lvl w:ilvl="2">
      <w:start w:val="1"/>
      <w:numFmt w:val="none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  <w:lvl w:ilvl="3">
      <w:start w:val="1"/>
      <w:numFmt w:val="none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  <w:lvl w:ilvl="4">
      <w:start w:val="1"/>
      <w:numFmt w:val="none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  <w:lvl w:ilvl="5">
      <w:start w:val="1"/>
      <w:numFmt w:val="none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  <w:lvl w:ilvl="6">
      <w:start w:val="1"/>
      <w:numFmt w:val="none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  <w:lvl w:ilvl="7">
      <w:start w:val="1"/>
      <w:numFmt w:val="none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  <w:lvl w:ilvl="8">
      <w:start w:val="1"/>
      <w:numFmt w:val="none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</w:abstractNum>
  <w:abstractNum w:abstractNumId="12">
    <w:nsid w:val="09967C41"/>
    <w:multiLevelType w:val="hybridMultilevel"/>
    <w:tmpl w:val="CF7EC966"/>
    <w:lvl w:ilvl="0">
      <w:start w:val="63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D3D09DF"/>
    <w:multiLevelType w:val="hybridMultilevel"/>
    <w:tmpl w:val="CA689336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4">
    <w:nsid w:val="173A34B1"/>
    <w:multiLevelType w:val="multilevel"/>
    <w:tmpl w:val="CA689336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5">
    <w:nsid w:val="18856A6B"/>
    <w:multiLevelType w:val="hybridMultilevel"/>
    <w:tmpl w:val="BCFA332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08621E"/>
    <w:multiLevelType w:val="multilevel"/>
    <w:tmpl w:val="E5020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DA62653"/>
    <w:multiLevelType w:val="hybridMultilevel"/>
    <w:tmpl w:val="A490956A"/>
    <w:lvl w:ilvl="0">
      <w:start w:val="2"/>
      <w:numFmt w:val="bullet"/>
      <w:lvlText w:val="-"/>
      <w:lvlJc w:val="left"/>
      <w:pPr>
        <w:ind w:left="48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8">
    <w:nsid w:val="233D0F19"/>
    <w:multiLevelType w:val="hybridMultilevel"/>
    <w:tmpl w:val="33D862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2F0A5CCA"/>
    <w:multiLevelType w:val="multilevel"/>
    <w:tmpl w:val="6E540D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rtl w:val="0"/>
        <w:cs w:val="0"/>
      </w:rPr>
    </w:lvl>
  </w:abstractNum>
  <w:abstractNum w:abstractNumId="20">
    <w:nsid w:val="31F55210"/>
    <w:multiLevelType w:val="hybridMultilevel"/>
    <w:tmpl w:val="BD5CEA0C"/>
    <w:lvl w:ilvl="0">
      <w:start w:val="2"/>
      <w:numFmt w:val="bullet"/>
      <w:lvlText w:val="-"/>
      <w:lvlJc w:val="left"/>
      <w:pPr>
        <w:ind w:left="263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98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7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4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8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0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</w:abstractNum>
  <w:abstractNum w:abstractNumId="21">
    <w:nsid w:val="35374A86"/>
    <w:multiLevelType w:val="multilevel"/>
    <w:tmpl w:val="5C2EC690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."/>
      <w:lvlJc w:val="left"/>
      <w:pPr>
        <w:ind w:left="649" w:hanging="72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ind w:left="578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ind w:left="867" w:hanging="108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ind w:left="1085" w:hanging="144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1014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ind w:left="1303" w:hanging="180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ind w:left="1232" w:hanging="1800"/>
      </w:pPr>
      <w:rPr>
        <w:rFonts w:cs="Times New Roman" w:hint="default"/>
        <w:rtl w:val="0"/>
        <w:cs w:val="0"/>
      </w:rPr>
    </w:lvl>
  </w:abstractNum>
  <w:abstractNum w:abstractNumId="22">
    <w:nsid w:val="4E46104A"/>
    <w:multiLevelType w:val="hybridMultilevel"/>
    <w:tmpl w:val="8B0AA8B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A14862"/>
    <w:multiLevelType w:val="hybridMultilevel"/>
    <w:tmpl w:val="25D27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86712CD"/>
    <w:multiLevelType w:val="hybridMultilevel"/>
    <w:tmpl w:val="D21C3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7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3"/>
  </w:num>
  <w:num w:numId="17">
    <w:abstractNumId w:val="24"/>
  </w:num>
  <w:num w:numId="18">
    <w:abstractNumId w:val="12"/>
  </w:num>
  <w:num w:numId="19">
    <w:abstractNumId w:val="23"/>
  </w:num>
  <w:num w:numId="20">
    <w:abstractNumId w:val="18"/>
  </w:num>
  <w:num w:numId="21">
    <w:abstractNumId w:val="19"/>
  </w:num>
  <w:num w:numId="22">
    <w:abstractNumId w:val="16"/>
  </w:num>
  <w:num w:numId="23">
    <w:abstractNumId w:val="20"/>
  </w:num>
  <w:num w:numId="24">
    <w:abstractNumId w:val="15"/>
  </w:num>
  <w:num w:numId="25">
    <w:abstractNumId w:val="22"/>
  </w:num>
  <w:num w:numId="26">
    <w:abstractNumId w:val="21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B489E"/>
    <w:rsid w:val="000050E1"/>
    <w:rsid w:val="00006ED6"/>
    <w:rsid w:val="0002664F"/>
    <w:rsid w:val="00026E7C"/>
    <w:rsid w:val="00031EE0"/>
    <w:rsid w:val="0003367A"/>
    <w:rsid w:val="00061585"/>
    <w:rsid w:val="00065DDB"/>
    <w:rsid w:val="00066B9B"/>
    <w:rsid w:val="00066DB5"/>
    <w:rsid w:val="000763C6"/>
    <w:rsid w:val="00080903"/>
    <w:rsid w:val="00082086"/>
    <w:rsid w:val="000862FF"/>
    <w:rsid w:val="00086F6D"/>
    <w:rsid w:val="0009022F"/>
    <w:rsid w:val="00096D10"/>
    <w:rsid w:val="00097733"/>
    <w:rsid w:val="000A11CB"/>
    <w:rsid w:val="000A1D6F"/>
    <w:rsid w:val="000A689C"/>
    <w:rsid w:val="000B1E71"/>
    <w:rsid w:val="000B2F38"/>
    <w:rsid w:val="000B3C10"/>
    <w:rsid w:val="000B68BD"/>
    <w:rsid w:val="000C1F94"/>
    <w:rsid w:val="000C645F"/>
    <w:rsid w:val="000D5EA2"/>
    <w:rsid w:val="000E38B4"/>
    <w:rsid w:val="000E3E50"/>
    <w:rsid w:val="000F0B89"/>
    <w:rsid w:val="000F1DE8"/>
    <w:rsid w:val="000F25BA"/>
    <w:rsid w:val="00104FD1"/>
    <w:rsid w:val="00105EC3"/>
    <w:rsid w:val="00106804"/>
    <w:rsid w:val="00110AA4"/>
    <w:rsid w:val="00111FC0"/>
    <w:rsid w:val="001159AE"/>
    <w:rsid w:val="001166F4"/>
    <w:rsid w:val="00122176"/>
    <w:rsid w:val="0012575F"/>
    <w:rsid w:val="00136185"/>
    <w:rsid w:val="001423E9"/>
    <w:rsid w:val="00145D0A"/>
    <w:rsid w:val="00150E50"/>
    <w:rsid w:val="00165835"/>
    <w:rsid w:val="001703D1"/>
    <w:rsid w:val="0017177B"/>
    <w:rsid w:val="00181FF8"/>
    <w:rsid w:val="001922A2"/>
    <w:rsid w:val="001A1471"/>
    <w:rsid w:val="001A3DF5"/>
    <w:rsid w:val="001B6796"/>
    <w:rsid w:val="001B69A7"/>
    <w:rsid w:val="001B7322"/>
    <w:rsid w:val="001B7861"/>
    <w:rsid w:val="001C4658"/>
    <w:rsid w:val="001C505A"/>
    <w:rsid w:val="001E04E0"/>
    <w:rsid w:val="001E091D"/>
    <w:rsid w:val="001E32BF"/>
    <w:rsid w:val="001E3C10"/>
    <w:rsid w:val="001E4A71"/>
    <w:rsid w:val="001E6254"/>
    <w:rsid w:val="001F7452"/>
    <w:rsid w:val="00204118"/>
    <w:rsid w:val="00210693"/>
    <w:rsid w:val="00221546"/>
    <w:rsid w:val="00235FB4"/>
    <w:rsid w:val="00237C66"/>
    <w:rsid w:val="002464AA"/>
    <w:rsid w:val="00246C3F"/>
    <w:rsid w:val="002472B2"/>
    <w:rsid w:val="0024787A"/>
    <w:rsid w:val="00251B94"/>
    <w:rsid w:val="00262DC7"/>
    <w:rsid w:val="00272C3D"/>
    <w:rsid w:val="0027350F"/>
    <w:rsid w:val="00275EA3"/>
    <w:rsid w:val="00276287"/>
    <w:rsid w:val="00283CFF"/>
    <w:rsid w:val="00284338"/>
    <w:rsid w:val="00295BB1"/>
    <w:rsid w:val="002977E5"/>
    <w:rsid w:val="002A1484"/>
    <w:rsid w:val="002A1D1B"/>
    <w:rsid w:val="002A4D61"/>
    <w:rsid w:val="002B0977"/>
    <w:rsid w:val="002B14E7"/>
    <w:rsid w:val="002B378C"/>
    <w:rsid w:val="002B5DF6"/>
    <w:rsid w:val="002C45EB"/>
    <w:rsid w:val="002D03AC"/>
    <w:rsid w:val="002D0C7B"/>
    <w:rsid w:val="002E1F0B"/>
    <w:rsid w:val="002E7B91"/>
    <w:rsid w:val="002F14D1"/>
    <w:rsid w:val="002F5DE0"/>
    <w:rsid w:val="002F6436"/>
    <w:rsid w:val="00302644"/>
    <w:rsid w:val="00303F42"/>
    <w:rsid w:val="00315E6F"/>
    <w:rsid w:val="00322F60"/>
    <w:rsid w:val="003245B1"/>
    <w:rsid w:val="00332962"/>
    <w:rsid w:val="00335A00"/>
    <w:rsid w:val="00340042"/>
    <w:rsid w:val="003434A6"/>
    <w:rsid w:val="0034654E"/>
    <w:rsid w:val="003506D4"/>
    <w:rsid w:val="00362626"/>
    <w:rsid w:val="00362E9A"/>
    <w:rsid w:val="00376684"/>
    <w:rsid w:val="003821EE"/>
    <w:rsid w:val="00382692"/>
    <w:rsid w:val="00383006"/>
    <w:rsid w:val="0038548E"/>
    <w:rsid w:val="00386B20"/>
    <w:rsid w:val="00391E82"/>
    <w:rsid w:val="00394DB0"/>
    <w:rsid w:val="003C4F2D"/>
    <w:rsid w:val="003C597E"/>
    <w:rsid w:val="003D0DEE"/>
    <w:rsid w:val="003D57B5"/>
    <w:rsid w:val="003D7943"/>
    <w:rsid w:val="003D7A47"/>
    <w:rsid w:val="003E0BE2"/>
    <w:rsid w:val="003E1558"/>
    <w:rsid w:val="003E30BC"/>
    <w:rsid w:val="003E4F88"/>
    <w:rsid w:val="003F517E"/>
    <w:rsid w:val="00402FF7"/>
    <w:rsid w:val="004034E9"/>
    <w:rsid w:val="00403DB2"/>
    <w:rsid w:val="004057DD"/>
    <w:rsid w:val="004435DA"/>
    <w:rsid w:val="00454302"/>
    <w:rsid w:val="00462A66"/>
    <w:rsid w:val="00462B95"/>
    <w:rsid w:val="00462E61"/>
    <w:rsid w:val="00470DC1"/>
    <w:rsid w:val="004802D8"/>
    <w:rsid w:val="004813EC"/>
    <w:rsid w:val="004915E3"/>
    <w:rsid w:val="00493926"/>
    <w:rsid w:val="004A11C7"/>
    <w:rsid w:val="004A4E76"/>
    <w:rsid w:val="004A70B5"/>
    <w:rsid w:val="004B0235"/>
    <w:rsid w:val="004C6717"/>
    <w:rsid w:val="004C6FBE"/>
    <w:rsid w:val="004D0012"/>
    <w:rsid w:val="004D0C1F"/>
    <w:rsid w:val="004D24F9"/>
    <w:rsid w:val="004D7B68"/>
    <w:rsid w:val="004E02F0"/>
    <w:rsid w:val="004F2B6D"/>
    <w:rsid w:val="004F31B1"/>
    <w:rsid w:val="00500BAE"/>
    <w:rsid w:val="00504DB3"/>
    <w:rsid w:val="00505379"/>
    <w:rsid w:val="00512251"/>
    <w:rsid w:val="0051388F"/>
    <w:rsid w:val="00514D03"/>
    <w:rsid w:val="005162C8"/>
    <w:rsid w:val="00517B58"/>
    <w:rsid w:val="005353BD"/>
    <w:rsid w:val="00541F39"/>
    <w:rsid w:val="00546506"/>
    <w:rsid w:val="00547537"/>
    <w:rsid w:val="00561EF6"/>
    <w:rsid w:val="00574CDD"/>
    <w:rsid w:val="00584D29"/>
    <w:rsid w:val="0059574E"/>
    <w:rsid w:val="005969BE"/>
    <w:rsid w:val="005A60E9"/>
    <w:rsid w:val="005B52AF"/>
    <w:rsid w:val="005B6D25"/>
    <w:rsid w:val="005C6B4C"/>
    <w:rsid w:val="005C7CF4"/>
    <w:rsid w:val="005D247B"/>
    <w:rsid w:val="005D45DF"/>
    <w:rsid w:val="005E3CDA"/>
    <w:rsid w:val="005E6C13"/>
    <w:rsid w:val="0060073B"/>
    <w:rsid w:val="006052D7"/>
    <w:rsid w:val="00613B58"/>
    <w:rsid w:val="00616007"/>
    <w:rsid w:val="00623786"/>
    <w:rsid w:val="00626B0A"/>
    <w:rsid w:val="006360E9"/>
    <w:rsid w:val="006365A2"/>
    <w:rsid w:val="00647C94"/>
    <w:rsid w:val="006540E2"/>
    <w:rsid w:val="00664216"/>
    <w:rsid w:val="006660DE"/>
    <w:rsid w:val="00667B0B"/>
    <w:rsid w:val="0067692D"/>
    <w:rsid w:val="00676BFE"/>
    <w:rsid w:val="00676DAB"/>
    <w:rsid w:val="00681A7D"/>
    <w:rsid w:val="00683120"/>
    <w:rsid w:val="00683CB4"/>
    <w:rsid w:val="00691A2C"/>
    <w:rsid w:val="0069255F"/>
    <w:rsid w:val="00692B4F"/>
    <w:rsid w:val="006A6BCE"/>
    <w:rsid w:val="006B2E9B"/>
    <w:rsid w:val="006B405D"/>
    <w:rsid w:val="006B5ABF"/>
    <w:rsid w:val="006C113C"/>
    <w:rsid w:val="006C12BC"/>
    <w:rsid w:val="006C42B7"/>
    <w:rsid w:val="006D2864"/>
    <w:rsid w:val="006E5042"/>
    <w:rsid w:val="006E7927"/>
    <w:rsid w:val="006F5574"/>
    <w:rsid w:val="006F6CD3"/>
    <w:rsid w:val="00706286"/>
    <w:rsid w:val="00711B0D"/>
    <w:rsid w:val="00712D4C"/>
    <w:rsid w:val="007130F8"/>
    <w:rsid w:val="00714DD5"/>
    <w:rsid w:val="00720CB7"/>
    <w:rsid w:val="0073008B"/>
    <w:rsid w:val="00744451"/>
    <w:rsid w:val="00744FFA"/>
    <w:rsid w:val="007468A9"/>
    <w:rsid w:val="00750DA6"/>
    <w:rsid w:val="0076609B"/>
    <w:rsid w:val="00771D9F"/>
    <w:rsid w:val="0077654C"/>
    <w:rsid w:val="0077787D"/>
    <w:rsid w:val="007814B7"/>
    <w:rsid w:val="007831AF"/>
    <w:rsid w:val="007A0AB7"/>
    <w:rsid w:val="007A1CF7"/>
    <w:rsid w:val="007A1DC9"/>
    <w:rsid w:val="007A2E13"/>
    <w:rsid w:val="007A4861"/>
    <w:rsid w:val="007B11C5"/>
    <w:rsid w:val="007B6E7B"/>
    <w:rsid w:val="007C2303"/>
    <w:rsid w:val="007C2604"/>
    <w:rsid w:val="007C6D69"/>
    <w:rsid w:val="007D109E"/>
    <w:rsid w:val="007D177E"/>
    <w:rsid w:val="007D340C"/>
    <w:rsid w:val="007F0F89"/>
    <w:rsid w:val="007F608C"/>
    <w:rsid w:val="007F684B"/>
    <w:rsid w:val="007F773C"/>
    <w:rsid w:val="00813F50"/>
    <w:rsid w:val="00826BD9"/>
    <w:rsid w:val="008313D1"/>
    <w:rsid w:val="0083269E"/>
    <w:rsid w:val="00844ABA"/>
    <w:rsid w:val="00856006"/>
    <w:rsid w:val="008619BE"/>
    <w:rsid w:val="008625A6"/>
    <w:rsid w:val="008704D3"/>
    <w:rsid w:val="008768FF"/>
    <w:rsid w:val="00876F18"/>
    <w:rsid w:val="008930A7"/>
    <w:rsid w:val="008948A0"/>
    <w:rsid w:val="008949F1"/>
    <w:rsid w:val="008A1836"/>
    <w:rsid w:val="008A1CFB"/>
    <w:rsid w:val="008A2CD2"/>
    <w:rsid w:val="008A693D"/>
    <w:rsid w:val="008B48A7"/>
    <w:rsid w:val="008C19CB"/>
    <w:rsid w:val="008D2B56"/>
    <w:rsid w:val="008D44B6"/>
    <w:rsid w:val="008D767F"/>
    <w:rsid w:val="008E4CB9"/>
    <w:rsid w:val="008F25C9"/>
    <w:rsid w:val="008F4E97"/>
    <w:rsid w:val="008F6D0A"/>
    <w:rsid w:val="008F76B8"/>
    <w:rsid w:val="00903F8A"/>
    <w:rsid w:val="00917BCF"/>
    <w:rsid w:val="00934153"/>
    <w:rsid w:val="009375F7"/>
    <w:rsid w:val="00941B0E"/>
    <w:rsid w:val="0094620E"/>
    <w:rsid w:val="00946376"/>
    <w:rsid w:val="00951BAF"/>
    <w:rsid w:val="009544FF"/>
    <w:rsid w:val="00957C3B"/>
    <w:rsid w:val="00963730"/>
    <w:rsid w:val="009642D6"/>
    <w:rsid w:val="00964B94"/>
    <w:rsid w:val="00965C59"/>
    <w:rsid w:val="009726AC"/>
    <w:rsid w:val="0097536C"/>
    <w:rsid w:val="009761E4"/>
    <w:rsid w:val="00976F00"/>
    <w:rsid w:val="0098073A"/>
    <w:rsid w:val="00993362"/>
    <w:rsid w:val="009971DD"/>
    <w:rsid w:val="009A2D74"/>
    <w:rsid w:val="009A585A"/>
    <w:rsid w:val="009B489E"/>
    <w:rsid w:val="009B67DA"/>
    <w:rsid w:val="009B6FA1"/>
    <w:rsid w:val="009C5EF4"/>
    <w:rsid w:val="009C6378"/>
    <w:rsid w:val="009D5EF8"/>
    <w:rsid w:val="009D7919"/>
    <w:rsid w:val="009D7A79"/>
    <w:rsid w:val="009E67F8"/>
    <w:rsid w:val="009F23DF"/>
    <w:rsid w:val="009F370A"/>
    <w:rsid w:val="00A03129"/>
    <w:rsid w:val="00A0495C"/>
    <w:rsid w:val="00A06042"/>
    <w:rsid w:val="00A0626D"/>
    <w:rsid w:val="00A227F5"/>
    <w:rsid w:val="00A313A6"/>
    <w:rsid w:val="00A31980"/>
    <w:rsid w:val="00A42605"/>
    <w:rsid w:val="00A42FED"/>
    <w:rsid w:val="00A4673F"/>
    <w:rsid w:val="00A5280A"/>
    <w:rsid w:val="00A6442E"/>
    <w:rsid w:val="00A65A8D"/>
    <w:rsid w:val="00A75093"/>
    <w:rsid w:val="00A80F90"/>
    <w:rsid w:val="00A92498"/>
    <w:rsid w:val="00AA7BE4"/>
    <w:rsid w:val="00AB0AE7"/>
    <w:rsid w:val="00AC0D48"/>
    <w:rsid w:val="00AC37D0"/>
    <w:rsid w:val="00AC45C9"/>
    <w:rsid w:val="00AC61C3"/>
    <w:rsid w:val="00AD64AC"/>
    <w:rsid w:val="00AE3930"/>
    <w:rsid w:val="00AE5EE6"/>
    <w:rsid w:val="00AF1655"/>
    <w:rsid w:val="00AF4CF9"/>
    <w:rsid w:val="00B05DE3"/>
    <w:rsid w:val="00B06088"/>
    <w:rsid w:val="00B152DA"/>
    <w:rsid w:val="00B2163B"/>
    <w:rsid w:val="00B36763"/>
    <w:rsid w:val="00B42279"/>
    <w:rsid w:val="00B471FF"/>
    <w:rsid w:val="00B52C49"/>
    <w:rsid w:val="00B558CB"/>
    <w:rsid w:val="00B57132"/>
    <w:rsid w:val="00B60E60"/>
    <w:rsid w:val="00B73733"/>
    <w:rsid w:val="00B81035"/>
    <w:rsid w:val="00B8603B"/>
    <w:rsid w:val="00B93667"/>
    <w:rsid w:val="00BA1A4E"/>
    <w:rsid w:val="00BB5946"/>
    <w:rsid w:val="00BC1571"/>
    <w:rsid w:val="00BC4061"/>
    <w:rsid w:val="00BE3ABA"/>
    <w:rsid w:val="00BE4134"/>
    <w:rsid w:val="00BE7B6E"/>
    <w:rsid w:val="00BF213C"/>
    <w:rsid w:val="00BF7ACE"/>
    <w:rsid w:val="00C04EDF"/>
    <w:rsid w:val="00C34FBD"/>
    <w:rsid w:val="00C351EF"/>
    <w:rsid w:val="00C4340E"/>
    <w:rsid w:val="00C4453D"/>
    <w:rsid w:val="00C61D62"/>
    <w:rsid w:val="00C67166"/>
    <w:rsid w:val="00C735D1"/>
    <w:rsid w:val="00C74C2E"/>
    <w:rsid w:val="00C75152"/>
    <w:rsid w:val="00C9480F"/>
    <w:rsid w:val="00CA3B37"/>
    <w:rsid w:val="00CA41C4"/>
    <w:rsid w:val="00CA56BD"/>
    <w:rsid w:val="00CA5926"/>
    <w:rsid w:val="00CB0CD8"/>
    <w:rsid w:val="00CC2320"/>
    <w:rsid w:val="00CD0B30"/>
    <w:rsid w:val="00CD4900"/>
    <w:rsid w:val="00CE4CB0"/>
    <w:rsid w:val="00CE69C4"/>
    <w:rsid w:val="00CF063C"/>
    <w:rsid w:val="00CF1FD7"/>
    <w:rsid w:val="00CF289C"/>
    <w:rsid w:val="00CF2B48"/>
    <w:rsid w:val="00CF3E0F"/>
    <w:rsid w:val="00CF5472"/>
    <w:rsid w:val="00CF58D4"/>
    <w:rsid w:val="00CF697B"/>
    <w:rsid w:val="00D1174C"/>
    <w:rsid w:val="00D11F0B"/>
    <w:rsid w:val="00D2268B"/>
    <w:rsid w:val="00D3329F"/>
    <w:rsid w:val="00D35490"/>
    <w:rsid w:val="00D37FF8"/>
    <w:rsid w:val="00D449BA"/>
    <w:rsid w:val="00D52403"/>
    <w:rsid w:val="00D57A50"/>
    <w:rsid w:val="00D6087A"/>
    <w:rsid w:val="00D71167"/>
    <w:rsid w:val="00D835A1"/>
    <w:rsid w:val="00DB1392"/>
    <w:rsid w:val="00DB371D"/>
    <w:rsid w:val="00DB5593"/>
    <w:rsid w:val="00DB5E0B"/>
    <w:rsid w:val="00DC4FCC"/>
    <w:rsid w:val="00DC6FBE"/>
    <w:rsid w:val="00DD1FDE"/>
    <w:rsid w:val="00DD7E57"/>
    <w:rsid w:val="00DE10E5"/>
    <w:rsid w:val="00DE68C7"/>
    <w:rsid w:val="00E02356"/>
    <w:rsid w:val="00E031CE"/>
    <w:rsid w:val="00E10242"/>
    <w:rsid w:val="00E15187"/>
    <w:rsid w:val="00E2277F"/>
    <w:rsid w:val="00E30265"/>
    <w:rsid w:val="00E35EEA"/>
    <w:rsid w:val="00E4767A"/>
    <w:rsid w:val="00E50CEF"/>
    <w:rsid w:val="00E55131"/>
    <w:rsid w:val="00E57F8C"/>
    <w:rsid w:val="00E60924"/>
    <w:rsid w:val="00E609AA"/>
    <w:rsid w:val="00E65D47"/>
    <w:rsid w:val="00E82DC1"/>
    <w:rsid w:val="00E83D3E"/>
    <w:rsid w:val="00E86422"/>
    <w:rsid w:val="00EA27FB"/>
    <w:rsid w:val="00EA60BA"/>
    <w:rsid w:val="00EC0E5B"/>
    <w:rsid w:val="00EC162B"/>
    <w:rsid w:val="00EC3AF7"/>
    <w:rsid w:val="00EC6DF3"/>
    <w:rsid w:val="00ED3066"/>
    <w:rsid w:val="00ED6AED"/>
    <w:rsid w:val="00ED7662"/>
    <w:rsid w:val="00EF4451"/>
    <w:rsid w:val="00F042D9"/>
    <w:rsid w:val="00F048C9"/>
    <w:rsid w:val="00F134FC"/>
    <w:rsid w:val="00F229E6"/>
    <w:rsid w:val="00F23323"/>
    <w:rsid w:val="00F272A5"/>
    <w:rsid w:val="00F41E35"/>
    <w:rsid w:val="00F44932"/>
    <w:rsid w:val="00F53A5C"/>
    <w:rsid w:val="00F63A64"/>
    <w:rsid w:val="00F70334"/>
    <w:rsid w:val="00F7306D"/>
    <w:rsid w:val="00F74445"/>
    <w:rsid w:val="00F74ED2"/>
    <w:rsid w:val="00F754AD"/>
    <w:rsid w:val="00F942BD"/>
    <w:rsid w:val="00F9757E"/>
    <w:rsid w:val="00FA70A0"/>
    <w:rsid w:val="00FC0B5B"/>
    <w:rsid w:val="00FC1D58"/>
    <w:rsid w:val="00FC3BA4"/>
    <w:rsid w:val="00FD0A10"/>
    <w:rsid w:val="00FD0CE5"/>
    <w:rsid w:val="00FD2D59"/>
    <w:rsid w:val="00FD52FB"/>
    <w:rsid w:val="00FF361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Bullet 2" w:uiPriority="0"/>
    <w:lsdException w:name="Title" w:semiHidden="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Date" w:uiPriority="0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2D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6B4C"/>
    <w:pPr>
      <w:keepNext/>
      <w:keepLines/>
      <w:spacing w:before="480"/>
      <w:jc w:val="left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C6B4C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C6B4C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C6B4C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242"/>
    <w:pPr>
      <w:keepNext/>
      <w:keepLines/>
      <w:spacing w:before="200"/>
      <w:jc w:val="left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qFormat/>
    <w:rsid w:val="005C6B4C"/>
    <w:pPr>
      <w:spacing w:before="240" w:after="60"/>
      <w:jc w:val="left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9642D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9642D6"/>
    <w:rPr>
      <w:rFonts w:ascii="Arial" w:hAnsi="Arial" w:cs="Arial"/>
      <w:b/>
      <w:bCs/>
      <w:kern w:val="28"/>
      <w:sz w:val="32"/>
      <w:szCs w:val="32"/>
      <w:rtl w:val="0"/>
      <w:cs w:val="0"/>
      <w:lang w:val="x-none" w:eastAsia="sk-SK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5C6B4C"/>
    <w:rPr>
      <w:rFonts w:ascii="Cambria" w:eastAsia="SimSun" w:hAnsi="Cambria" w:cs="Times New Roman"/>
      <w:b/>
      <w:bCs/>
      <w:color w:val="365F91"/>
      <w:sz w:val="28"/>
      <w:szCs w:val="28"/>
      <w:rtl w:val="0"/>
      <w:cs w:val="0"/>
      <w:lang w:val="x-none" w:eastAsia="sk-SK"/>
    </w:rPr>
  </w:style>
  <w:style w:type="character" w:customStyle="1" w:styleId="Heading2Char">
    <w:name w:val="Heading 2 Char"/>
    <w:basedOn w:val="DefaultParagraphFont"/>
    <w:link w:val="Heading2"/>
    <w:locked/>
    <w:rsid w:val="005C6B4C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Heading3Char">
    <w:name w:val="Heading 3 Char"/>
    <w:basedOn w:val="DefaultParagraphFont"/>
    <w:link w:val="Heading3"/>
    <w:locked/>
    <w:rsid w:val="005C6B4C"/>
    <w:rPr>
      <w:rFonts w:ascii="Arial" w:hAnsi="Arial" w:cs="Arial"/>
      <w:b/>
      <w:bCs/>
      <w:sz w:val="26"/>
      <w:szCs w:val="26"/>
      <w:rtl w:val="0"/>
      <w:cs w:val="0"/>
      <w:lang w:val="x-none" w:eastAsia="sk-SK"/>
    </w:rPr>
  </w:style>
  <w:style w:type="character" w:customStyle="1" w:styleId="Heading4Char">
    <w:name w:val="Heading 4 Char"/>
    <w:basedOn w:val="DefaultParagraphFont"/>
    <w:link w:val="Heading4"/>
    <w:locked/>
    <w:rsid w:val="005C6B4C"/>
    <w:rPr>
      <w:rFonts w:ascii="Times New Roman" w:hAnsi="Times New Roman" w:cs="Times New Roman"/>
      <w:b/>
      <w:bCs/>
      <w:sz w:val="28"/>
      <w:szCs w:val="28"/>
      <w:rtl w:val="0"/>
      <w:cs w:val="0"/>
      <w:lang w:val="x-none" w:eastAsia="sk-SK"/>
    </w:rPr>
  </w:style>
  <w:style w:type="character" w:customStyle="1" w:styleId="Heading7Char">
    <w:name w:val="Heading 7 Char"/>
    <w:basedOn w:val="DefaultParagraphFont"/>
    <w:link w:val="Heading7"/>
    <w:locked/>
    <w:rsid w:val="005C6B4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BodyTextChar"/>
    <w:uiPriority w:val="99"/>
    <w:rsid w:val="005C6B4C"/>
    <w:pPr>
      <w:widowControl w:val="0"/>
      <w:suppressAutoHyphens/>
      <w:autoSpaceDE w:val="0"/>
      <w:jc w:val="center"/>
    </w:pPr>
    <w:rPr>
      <w:rFonts w:ascii="Arial" w:hAnsi="Arial" w:cs="Arial"/>
      <w:b/>
      <w:bCs/>
      <w:sz w:val="32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C6B4C"/>
    <w:rPr>
      <w:rFonts w:ascii="Arial" w:hAnsi="Arial" w:cs="Arial"/>
      <w:b/>
      <w:bCs/>
      <w:sz w:val="24"/>
      <w:szCs w:val="24"/>
      <w:rtl w:val="0"/>
      <w:cs w:val="0"/>
      <w:lang w:val="x-none" w:eastAsia="ar-SA" w:bidi="ar-SA"/>
    </w:rPr>
  </w:style>
  <w:style w:type="paragraph" w:customStyle="1" w:styleId="WW-Zkladntextodsazen2">
    <w:name w:val="WW-Základní text odsazený 2"/>
    <w:basedOn w:val="Normal"/>
    <w:rsid w:val="005C6B4C"/>
    <w:pPr>
      <w:widowControl w:val="0"/>
      <w:tabs>
        <w:tab w:val="left" w:pos="9923"/>
      </w:tabs>
      <w:suppressAutoHyphens/>
      <w:autoSpaceDE w:val="0"/>
      <w:ind w:right="-517" w:firstLine="540"/>
      <w:jc w:val="both"/>
    </w:pPr>
    <w:rPr>
      <w:rFonts w:ascii="Arial" w:hAnsi="Arial" w:cs="Arial"/>
      <w:lang w:eastAsia="ar-SA"/>
    </w:rPr>
  </w:style>
  <w:style w:type="table" w:styleId="TableGrid">
    <w:name w:val="Table Grid"/>
    <w:basedOn w:val="TableNormal"/>
    <w:rsid w:val="005C6B4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etlpodfarbeniezvraznenie11">
    <w:name w:val="Svetlé podfarbenie – zvýraznenie 11"/>
    <w:basedOn w:val="TableNormal"/>
    <w:uiPriority w:val="60"/>
    <w:rsid w:val="005C6B4C"/>
    <w:rPr>
      <w:rFonts w:eastAsia="SimSu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widowControl w:val="0"/>
        <w:autoSpaceDE w:val="0"/>
        <w:autoSpaceDN w:val="0"/>
        <w:adjustRightInd w:val="0"/>
        <w:spacing w:before="0" w:after="0"/>
      </w:pPr>
      <w:rPr>
        <w:rFonts w:cs="Times New Roman"/>
        <w:b/>
        <w:bCs/>
        <w:rtl w:val="0"/>
        <w:cs w:val="0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widowControl w:val="0"/>
        <w:autoSpaceDE w:val="0"/>
        <w:autoSpaceDN w:val="0"/>
        <w:adjustRightInd w:val="0"/>
        <w:spacing w:before="0" w:after="0"/>
      </w:pPr>
      <w:rPr>
        <w:rFonts w:cs="Times New Roman"/>
        <w:b/>
        <w:bCs/>
        <w:rtl w:val="0"/>
        <w:cs w:val="0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</w:tblStylePr>
    <w:tblStylePr w:type="band1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vetlpodfarbenie1">
    <w:name w:val="Svetlé podfarbenie1"/>
    <w:basedOn w:val="TableNormal"/>
    <w:uiPriority w:val="60"/>
    <w:rsid w:val="005C6B4C"/>
    <w:rPr>
      <w:rFonts w:eastAsia="SimSu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widowControl w:val="0"/>
        <w:autoSpaceDE w:val="0"/>
        <w:autoSpaceDN w:val="0"/>
        <w:adjustRightInd w:val="0"/>
        <w:spacing w:before="0" w:after="0"/>
      </w:pPr>
      <w:rPr>
        <w:rFonts w:cs="Times New Roman"/>
        <w:b/>
        <w:bCs/>
        <w:rtl w:val="0"/>
        <w:cs w:val="0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widowControl w:val="0"/>
        <w:autoSpaceDE w:val="0"/>
        <w:autoSpaceDN w:val="0"/>
        <w:adjustRightInd w:val="0"/>
        <w:spacing w:before="0" w:after="0"/>
      </w:pPr>
      <w:rPr>
        <w:rFonts w:cs="Times New Roman"/>
        <w:b/>
        <w:bCs/>
        <w:rtl w:val="0"/>
        <w:cs w:val="0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</w:tblStylePr>
    <w:tblStylePr w:type="band1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WW-Zkladntext2">
    <w:name w:val="WW-Základní text 2"/>
    <w:basedOn w:val="Normal"/>
    <w:rsid w:val="005C6B4C"/>
    <w:pPr>
      <w:widowControl w:val="0"/>
      <w:pBdr>
        <w:bottom w:val="single" w:sz="2" w:space="1" w:color="000000"/>
      </w:pBdr>
      <w:suppressAutoHyphens/>
      <w:autoSpaceDE w:val="0"/>
      <w:ind w:right="-494"/>
      <w:jc w:val="left"/>
    </w:pPr>
    <w:rPr>
      <w:rFonts w:ascii="Arial" w:hAnsi="Arial" w:cs="Arial"/>
      <w:b/>
      <w:bCs/>
      <w:lang w:eastAsia="ar-SA"/>
    </w:rPr>
  </w:style>
  <w:style w:type="paragraph" w:customStyle="1" w:styleId="WW-Zkladntext3">
    <w:name w:val="WW-Základní text 3"/>
    <w:basedOn w:val="Normal"/>
    <w:uiPriority w:val="99"/>
    <w:rsid w:val="005C6B4C"/>
    <w:pPr>
      <w:widowControl w:val="0"/>
      <w:suppressAutoHyphens/>
      <w:autoSpaceDE w:val="0"/>
      <w:ind w:right="-494"/>
      <w:jc w:val="left"/>
    </w:pPr>
    <w:rPr>
      <w:rFonts w:ascii="Arial" w:hAnsi="Arial" w:cs="Arial"/>
      <w:b/>
      <w:bCs/>
      <w:i/>
      <w:iCs/>
      <w:lang w:eastAsia="ar-SA"/>
    </w:rPr>
  </w:style>
  <w:style w:type="paragraph" w:styleId="BodyText2">
    <w:name w:val="Body Text 2"/>
    <w:basedOn w:val="Normal"/>
    <w:link w:val="BodyText2Char"/>
    <w:rsid w:val="005C6B4C"/>
    <w:pPr>
      <w:spacing w:after="120" w:line="480" w:lineRule="auto"/>
      <w:jc w:val="left"/>
    </w:pPr>
  </w:style>
  <w:style w:type="character" w:customStyle="1" w:styleId="BodyText2Char">
    <w:name w:val="Body Text 2 Char"/>
    <w:basedOn w:val="DefaultParagraphFont"/>
    <w:link w:val="BodyText2"/>
    <w:locked/>
    <w:rsid w:val="005C6B4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uiPriority w:val="99"/>
    <w:rsid w:val="005C6B4C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C6B4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rsid w:val="005C6B4C"/>
    <w:rPr>
      <w:rFonts w:cs="Times New Roman"/>
      <w:rtl w:val="0"/>
      <w:cs w:val="0"/>
    </w:rPr>
  </w:style>
  <w:style w:type="character" w:styleId="Strong">
    <w:name w:val="Strong"/>
    <w:basedOn w:val="DefaultParagraphFont"/>
    <w:qFormat/>
    <w:rsid w:val="005C6B4C"/>
    <w:rPr>
      <w:rFonts w:cs="Times New Roman"/>
      <w:b/>
      <w:bCs/>
      <w:rtl w:val="0"/>
      <w:cs w:val="0"/>
    </w:rPr>
  </w:style>
  <w:style w:type="paragraph" w:styleId="BalloonText">
    <w:name w:val="Balloon Text"/>
    <w:basedOn w:val="Normal"/>
    <w:link w:val="BalloonTextChar"/>
    <w:semiHidden/>
    <w:rsid w:val="005C6B4C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5C6B4C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DocumentMap">
    <w:name w:val="Document Map"/>
    <w:basedOn w:val="Normal"/>
    <w:link w:val="DocumentMapChar"/>
    <w:semiHidden/>
    <w:rsid w:val="005C6B4C"/>
    <w:pPr>
      <w:shd w:val="clear" w:color="auto" w:fill="00008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locked/>
    <w:rsid w:val="005C6B4C"/>
    <w:rPr>
      <w:rFonts w:ascii="Tahoma" w:hAnsi="Tahoma" w:cs="Tahoma"/>
      <w:sz w:val="24"/>
      <w:szCs w:val="24"/>
      <w:shd w:val="clear" w:color="auto" w:fill="00008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99"/>
    <w:qFormat/>
    <w:rsid w:val="005C6B4C"/>
    <w:pPr>
      <w:ind w:left="708"/>
      <w:jc w:val="left"/>
    </w:pPr>
    <w:rPr>
      <w:rFonts w:ascii="Arial" w:hAnsi="Arial"/>
      <w:lang w:eastAsia="cs-CZ"/>
    </w:rPr>
  </w:style>
  <w:style w:type="paragraph" w:styleId="List">
    <w:name w:val="List"/>
    <w:basedOn w:val="Normal"/>
    <w:rsid w:val="005C6B4C"/>
    <w:pPr>
      <w:ind w:left="283" w:hanging="283"/>
      <w:jc w:val="left"/>
    </w:pPr>
  </w:style>
  <w:style w:type="paragraph" w:styleId="Date">
    <w:name w:val="Date"/>
    <w:basedOn w:val="Normal"/>
    <w:next w:val="Normal"/>
    <w:link w:val="DateChar"/>
    <w:rsid w:val="005C6B4C"/>
    <w:pPr>
      <w:jc w:val="left"/>
    </w:pPr>
  </w:style>
  <w:style w:type="character" w:customStyle="1" w:styleId="DateChar">
    <w:name w:val="Date Char"/>
    <w:basedOn w:val="DefaultParagraphFont"/>
    <w:link w:val="Date"/>
    <w:locked/>
    <w:rsid w:val="005C6B4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Bullet">
    <w:name w:val="List Bullet"/>
    <w:basedOn w:val="Normal"/>
    <w:autoRedefine/>
    <w:rsid w:val="005C6B4C"/>
    <w:pPr>
      <w:numPr>
        <w:numId w:val="8"/>
      </w:numPr>
      <w:tabs>
        <w:tab w:val="num" w:pos="360"/>
      </w:tabs>
      <w:ind w:left="360" w:hanging="360"/>
      <w:jc w:val="left"/>
    </w:pPr>
  </w:style>
  <w:style w:type="paragraph" w:styleId="ListBullet2">
    <w:name w:val="List Bullet 2"/>
    <w:basedOn w:val="Normal"/>
    <w:autoRedefine/>
    <w:rsid w:val="005C6B4C"/>
    <w:pPr>
      <w:numPr>
        <w:numId w:val="9"/>
      </w:numPr>
      <w:tabs>
        <w:tab w:val="num" w:pos="643"/>
      </w:tabs>
      <w:ind w:left="643" w:hanging="360"/>
      <w:jc w:val="left"/>
    </w:pPr>
  </w:style>
  <w:style w:type="paragraph" w:styleId="NormalIndent">
    <w:name w:val="Normal Indent"/>
    <w:basedOn w:val="Normal"/>
    <w:rsid w:val="005C6B4C"/>
    <w:pPr>
      <w:ind w:left="708"/>
      <w:jc w:val="left"/>
    </w:pPr>
  </w:style>
  <w:style w:type="paragraph" w:customStyle="1" w:styleId="Zobrazispiatonadresu">
    <w:name w:val="Zobraziť spiatočnú adresu"/>
    <w:basedOn w:val="Normal"/>
    <w:rsid w:val="005C6B4C"/>
    <w:pPr>
      <w:jc w:val="left"/>
    </w:pPr>
  </w:style>
  <w:style w:type="paragraph" w:styleId="Signature">
    <w:name w:val="Signature"/>
    <w:basedOn w:val="Normal"/>
    <w:link w:val="SignatureChar"/>
    <w:rsid w:val="005C6B4C"/>
    <w:pPr>
      <w:ind w:left="4252"/>
      <w:jc w:val="left"/>
    </w:pPr>
  </w:style>
  <w:style w:type="character" w:customStyle="1" w:styleId="SignatureChar">
    <w:name w:val="Signature Char"/>
    <w:basedOn w:val="DefaultParagraphFont"/>
    <w:link w:val="Signature"/>
    <w:locked/>
    <w:rsid w:val="005C6B4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RiadokPP">
    <w:name w:val="Riadok PP"/>
    <w:basedOn w:val="Signature"/>
    <w:rsid w:val="005C6B4C"/>
    <w:pPr>
      <w:jc w:val="left"/>
    </w:pPr>
  </w:style>
  <w:style w:type="paragraph" w:styleId="NormalWeb">
    <w:name w:val="Normal (Web)"/>
    <w:basedOn w:val="Normal"/>
    <w:uiPriority w:val="99"/>
    <w:unhideWhenUsed/>
    <w:rsid w:val="009E67F8"/>
    <w:pPr>
      <w:spacing w:before="100" w:beforeAutospacing="1" w:after="100" w:afterAutospacing="1"/>
      <w:jc w:val="left"/>
    </w:p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E10242"/>
    <w:rPr>
      <w:rFonts w:ascii="Cambria" w:hAnsi="Cambria" w:cs="Times New Roman"/>
      <w:i/>
      <w:iCs/>
      <w:color w:val="243F60"/>
      <w:sz w:val="24"/>
      <w:szCs w:val="24"/>
      <w:rtl w:val="0"/>
      <w:cs w:val="0"/>
      <w:lang w:val="x-none" w:eastAsia="sk-SK"/>
    </w:rPr>
  </w:style>
  <w:style w:type="paragraph" w:customStyle="1" w:styleId="Default">
    <w:name w:val="Default"/>
    <w:rsid w:val="004E02F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Calibri" w:hAnsi="Times New Roman"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CA56BD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A56B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DA38E-64FE-475E-8AB7-C19689C10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1264</Words>
  <Characters>7206</Characters>
  <Application>Microsoft Office Word</Application>
  <DocSecurity>0</DocSecurity>
  <Lines>0</Lines>
  <Paragraphs>0</Paragraphs>
  <ScaleCrop>false</ScaleCrop>
  <Company>ÚPN</Company>
  <LinksUpToDate>false</LinksUpToDate>
  <CharactersWithSpaces>8454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Lýdia Borbuliaková</dc:creator>
  <cp:lastModifiedBy>Gašparíková, Jarmila</cp:lastModifiedBy>
  <cp:revision>2</cp:revision>
  <cp:lastPrinted>2016-03-21T15:19:00Z</cp:lastPrinted>
  <dcterms:created xsi:type="dcterms:W3CDTF">2016-04-28T13:30:00Z</dcterms:created>
  <dcterms:modified xsi:type="dcterms:W3CDTF">2016-04-28T13:30:00Z</dcterms:modified>
</cp:coreProperties>
</file>