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CD8" w:rsidRPr="00732CD8" w:rsidP="00732CD8">
      <w:pPr>
        <w:bidi w:val="0"/>
        <w:spacing w:after="0" w:line="240" w:lineRule="auto"/>
        <w:jc w:val="center"/>
        <w:rPr>
          <w:rFonts w:ascii="Times New Roman" w:hAnsi="Times New Roman"/>
          <w:b/>
          <w:szCs w:val="24"/>
          <w:lang w:eastAsia="sk-SK"/>
        </w:rPr>
      </w:pPr>
      <w:r w:rsidRPr="00732CD8">
        <w:rPr>
          <w:rFonts w:ascii="Times New Roman" w:hAnsi="Times New Roman"/>
          <w:b/>
          <w:szCs w:val="24"/>
          <w:lang w:eastAsia="sk-SK"/>
        </w:rPr>
        <w:t>NÁRODNÁ RADA SLOVENSKEJ REPUBLIKY</w:t>
      </w:r>
    </w:p>
    <w:p w:rsidR="00732CD8" w:rsidRPr="00732CD8" w:rsidP="00732CD8">
      <w:pPr>
        <w:bidi w:val="0"/>
        <w:spacing w:after="0" w:line="240" w:lineRule="auto"/>
        <w:jc w:val="center"/>
        <w:rPr>
          <w:rFonts w:ascii="Times New Roman" w:hAnsi="Times New Roman"/>
          <w:b/>
          <w:szCs w:val="24"/>
          <w:lang w:eastAsia="sk-SK"/>
        </w:rPr>
      </w:pPr>
      <w:r w:rsidRPr="00732CD8">
        <w:rPr>
          <w:rFonts w:ascii="Times New Roman" w:hAnsi="Times New Roman"/>
          <w:b/>
          <w:szCs w:val="24"/>
          <w:lang w:eastAsia="sk-SK"/>
        </w:rPr>
        <w:t>________________________________________________________________________</w:t>
      </w:r>
    </w:p>
    <w:p w:rsidR="00732CD8" w:rsidRPr="00732CD8" w:rsidP="00732CD8">
      <w:pPr>
        <w:bidi w:val="0"/>
        <w:spacing w:after="0" w:line="240" w:lineRule="auto"/>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Cs w:val="24"/>
          <w:lang w:eastAsia="sk-SK"/>
        </w:rPr>
      </w:pPr>
      <w:r w:rsidRPr="00732CD8">
        <w:rPr>
          <w:rFonts w:ascii="Times New Roman" w:hAnsi="Times New Roman"/>
          <w:b/>
          <w:szCs w:val="24"/>
          <w:lang w:eastAsia="sk-SK"/>
        </w:rPr>
        <w:t>V</w:t>
      </w:r>
      <w:r>
        <w:rPr>
          <w:rFonts w:ascii="Times New Roman" w:hAnsi="Times New Roman"/>
          <w:b/>
          <w:szCs w:val="24"/>
          <w:lang w:eastAsia="sk-SK"/>
        </w:rPr>
        <w:t>I</w:t>
      </w:r>
      <w:r w:rsidRPr="00732CD8">
        <w:rPr>
          <w:rFonts w:ascii="Times New Roman" w:hAnsi="Times New Roman"/>
          <w:b/>
          <w:szCs w:val="24"/>
          <w:lang w:eastAsia="sk-SK"/>
        </w:rPr>
        <w:t>. volebné obdobie</w:t>
      </w:r>
    </w:p>
    <w:p w:rsidR="00732CD8" w:rsidRPr="00732CD8" w:rsidP="00732CD8">
      <w:pPr>
        <w:bidi w:val="0"/>
        <w:spacing w:after="0" w:line="240" w:lineRule="auto"/>
        <w:rPr>
          <w:rFonts w:ascii="Times New Roman" w:hAnsi="Times New Roman"/>
          <w:b/>
          <w:szCs w:val="24"/>
          <w:lang w:eastAsia="sk-SK"/>
        </w:rPr>
      </w:pPr>
    </w:p>
    <w:p w:rsidR="00732CD8" w:rsidRPr="00732CD8" w:rsidP="00732CD8">
      <w:pPr>
        <w:bidi w:val="0"/>
        <w:spacing w:after="0" w:line="240" w:lineRule="auto"/>
        <w:rPr>
          <w:rFonts w:ascii="Times New Roman" w:hAnsi="Times New Roman"/>
          <w:szCs w:val="24"/>
          <w:lang w:eastAsia="sk-SK"/>
        </w:rPr>
      </w:pPr>
      <w:r w:rsidRPr="00732CD8">
        <w:rPr>
          <w:rFonts w:ascii="Times New Roman" w:hAnsi="Times New Roman"/>
          <w:szCs w:val="24"/>
          <w:lang w:eastAsia="sk-SK"/>
        </w:rPr>
        <w:t xml:space="preserve">Materiál na rokovanie                                                               </w:t>
      </w:r>
    </w:p>
    <w:p w:rsidR="00732CD8" w:rsidRPr="00732CD8" w:rsidP="00732CD8">
      <w:pPr>
        <w:bidi w:val="0"/>
        <w:spacing w:after="0" w:line="240" w:lineRule="auto"/>
        <w:rPr>
          <w:rFonts w:ascii="Times New Roman" w:hAnsi="Times New Roman"/>
          <w:szCs w:val="24"/>
          <w:lang w:eastAsia="sk-SK"/>
        </w:rPr>
      </w:pPr>
      <w:r w:rsidRPr="00732CD8">
        <w:rPr>
          <w:rFonts w:ascii="Times New Roman" w:hAnsi="Times New Roman"/>
          <w:szCs w:val="24"/>
          <w:lang w:eastAsia="sk-SK"/>
        </w:rPr>
        <w:t>Národnej rady</w:t>
      </w:r>
    </w:p>
    <w:p w:rsidR="00732CD8" w:rsidRPr="00732CD8" w:rsidP="00732CD8">
      <w:pPr>
        <w:bidi w:val="0"/>
        <w:spacing w:after="0" w:line="240" w:lineRule="auto"/>
        <w:rPr>
          <w:rFonts w:ascii="Times New Roman" w:hAnsi="Times New Roman"/>
          <w:b/>
          <w:szCs w:val="24"/>
          <w:lang w:eastAsia="sk-SK"/>
        </w:rPr>
      </w:pPr>
      <w:r w:rsidRPr="00732CD8">
        <w:rPr>
          <w:rFonts w:ascii="Times New Roman" w:hAnsi="Times New Roman"/>
          <w:szCs w:val="24"/>
          <w:lang w:eastAsia="sk-SK"/>
        </w:rPr>
        <w:t xml:space="preserve">Slovenskej republiky                                                              </w:t>
      </w:r>
    </w:p>
    <w:p w:rsidR="00732CD8" w:rsidRPr="00732CD8" w:rsidP="00732CD8">
      <w:pPr>
        <w:bidi w:val="0"/>
        <w:spacing w:after="0" w:line="240" w:lineRule="auto"/>
        <w:jc w:val="center"/>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 w:val="28"/>
          <w:szCs w:val="28"/>
          <w:lang w:eastAsia="sk-SK"/>
        </w:rPr>
      </w:pPr>
      <w:r w:rsidRPr="00732CD8">
        <w:rPr>
          <w:rFonts w:ascii="Times New Roman" w:hAnsi="Times New Roman"/>
          <w:b/>
          <w:color w:val="FF0000"/>
          <w:sz w:val="28"/>
          <w:szCs w:val="28"/>
          <w:lang w:eastAsia="sk-SK"/>
        </w:rPr>
        <w:t xml:space="preserve"> </w:t>
      </w:r>
      <w:r>
        <w:rPr>
          <w:rFonts w:ascii="Times New Roman" w:hAnsi="Times New Roman"/>
          <w:b/>
          <w:sz w:val="28"/>
          <w:szCs w:val="28"/>
          <w:lang w:eastAsia="sk-SK"/>
        </w:rPr>
        <w:t>50</w:t>
      </w:r>
    </w:p>
    <w:p w:rsidR="00732CD8" w:rsidRPr="00732CD8" w:rsidP="00732CD8">
      <w:pPr>
        <w:bidi w:val="0"/>
        <w:spacing w:after="0" w:line="240" w:lineRule="auto"/>
        <w:jc w:val="center"/>
        <w:rPr>
          <w:rFonts w:ascii="Times New Roman" w:hAnsi="Times New Roman"/>
          <w:b/>
          <w:color w:val="FF0000"/>
          <w:szCs w:val="24"/>
          <w:lang w:eastAsia="sk-SK"/>
        </w:rPr>
      </w:pPr>
    </w:p>
    <w:p w:rsidR="00732CD8" w:rsidRPr="00732CD8" w:rsidP="00732CD8">
      <w:pPr>
        <w:bidi w:val="0"/>
        <w:spacing w:after="0" w:line="240" w:lineRule="auto"/>
        <w:jc w:val="center"/>
        <w:rPr>
          <w:rFonts w:ascii="Times New Roman" w:hAnsi="Times New Roman"/>
          <w:b/>
          <w:sz w:val="32"/>
          <w:szCs w:val="32"/>
          <w:lang w:eastAsia="sk-SK"/>
        </w:rPr>
      </w:pPr>
      <w:r w:rsidRPr="00732CD8">
        <w:rPr>
          <w:rFonts w:ascii="Times New Roman" w:hAnsi="Times New Roman"/>
          <w:b/>
          <w:sz w:val="32"/>
          <w:szCs w:val="32"/>
          <w:lang w:eastAsia="sk-SK"/>
        </w:rPr>
        <w:t>Správa</w:t>
      </w:r>
    </w:p>
    <w:p w:rsidR="00732CD8" w:rsidRPr="00732CD8" w:rsidP="00732CD8">
      <w:pPr>
        <w:bidi w:val="0"/>
        <w:spacing w:after="0" w:line="240" w:lineRule="auto"/>
        <w:jc w:val="center"/>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Cs w:val="24"/>
          <w:lang w:eastAsia="sk-SK"/>
        </w:rPr>
      </w:pPr>
      <w:r w:rsidRPr="00732CD8">
        <w:rPr>
          <w:rFonts w:ascii="Times New Roman" w:hAnsi="Times New Roman"/>
          <w:b/>
          <w:szCs w:val="24"/>
          <w:lang w:eastAsia="sk-SK"/>
        </w:rPr>
        <w:t>Výboru Národnej rady Slovenskej republiky pre obranu a bezpečnosť o stave použitia informačno-technických prostriedkov za rok 2011</w:t>
      </w:r>
    </w:p>
    <w:p w:rsidR="00732CD8" w:rsidRPr="00732CD8" w:rsidP="00732CD8">
      <w:pPr>
        <w:bidi w:val="0"/>
        <w:spacing w:after="0" w:line="240" w:lineRule="auto"/>
        <w:jc w:val="center"/>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 w:val="32"/>
          <w:szCs w:val="32"/>
          <w:lang w:eastAsia="sk-SK"/>
        </w:rPr>
      </w:pPr>
      <w:r w:rsidRPr="00732CD8">
        <w:rPr>
          <w:rFonts w:ascii="Times New Roman" w:hAnsi="Times New Roman"/>
          <w:b/>
          <w:sz w:val="32"/>
          <w:szCs w:val="32"/>
          <w:lang w:eastAsia="sk-SK"/>
        </w:rPr>
        <w:t>______________________________________________________</w:t>
      </w:r>
    </w:p>
    <w:p w:rsidR="00732CD8" w:rsidRPr="00732CD8" w:rsidP="00732CD8">
      <w:pPr>
        <w:bidi w:val="0"/>
        <w:spacing w:after="0" w:line="240" w:lineRule="auto"/>
        <w:rPr>
          <w:rFonts w:ascii="Times New Roman" w:hAnsi="Times New Roman"/>
          <w:b/>
          <w:szCs w:val="24"/>
          <w:lang w:eastAsia="sk-SK"/>
        </w:rPr>
      </w:pPr>
    </w:p>
    <w:p w:rsidR="00732CD8" w:rsidRPr="00732CD8" w:rsidP="00732CD8">
      <w:pPr>
        <w:bidi w:val="0"/>
        <w:spacing w:after="0" w:line="240" w:lineRule="auto"/>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Cs w:val="24"/>
          <w:lang w:eastAsia="sk-SK"/>
        </w:rPr>
      </w:pPr>
    </w:p>
    <w:p w:rsidR="00732CD8" w:rsidRPr="00732CD8" w:rsidP="00732CD8">
      <w:pPr>
        <w:bidi w:val="0"/>
        <w:spacing w:after="0" w:line="240" w:lineRule="auto"/>
        <w:rPr>
          <w:rFonts w:ascii="Times New Roman" w:hAnsi="Times New Roman"/>
          <w:b/>
          <w:szCs w:val="24"/>
          <w:lang w:eastAsia="sk-SK"/>
        </w:rPr>
      </w:pPr>
      <w:r w:rsidRPr="00732CD8">
        <w:rPr>
          <w:rFonts w:ascii="Times New Roman" w:hAnsi="Times New Roman"/>
          <w:b/>
          <w:szCs w:val="24"/>
          <w:lang w:eastAsia="sk-SK"/>
        </w:rPr>
        <w:t xml:space="preserve">                                                                                      </w:t>
      </w:r>
      <w:r w:rsidRPr="00732CD8">
        <w:rPr>
          <w:rFonts w:ascii="Times New Roman" w:hAnsi="Times New Roman"/>
          <w:b/>
          <w:szCs w:val="24"/>
          <w:u w:val="single"/>
          <w:lang w:eastAsia="sk-SK"/>
        </w:rPr>
        <w:t>Návrh na uznesenie:</w:t>
      </w:r>
    </w:p>
    <w:p w:rsidR="00732CD8" w:rsidRPr="00732CD8" w:rsidP="00732CD8">
      <w:pPr>
        <w:bidi w:val="0"/>
        <w:spacing w:after="0" w:line="240" w:lineRule="auto"/>
        <w:rPr>
          <w:rFonts w:ascii="Times New Roman" w:hAnsi="Times New Roman"/>
          <w:b/>
          <w:szCs w:val="24"/>
          <w:u w:val="single"/>
          <w:lang w:eastAsia="sk-SK"/>
        </w:rPr>
      </w:pPr>
    </w:p>
    <w:p w:rsidR="00732CD8" w:rsidRPr="00732CD8" w:rsidP="00732CD8">
      <w:p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Správa sa predkladá podľa § 9 ods. 1                          Národná rada Slovenskej republiky</w:t>
      </w:r>
    </w:p>
    <w:p w:rsidR="00732CD8" w:rsidRPr="00732CD8" w:rsidP="00732CD8">
      <w:p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 xml:space="preserve">zákona Národnej  rady Slovenskej                               </w:t>
      </w:r>
      <w:r w:rsidRPr="00732CD8">
        <w:rPr>
          <w:rFonts w:ascii="Times New Roman" w:hAnsi="Times New Roman"/>
          <w:b/>
          <w:szCs w:val="24"/>
          <w:lang w:eastAsia="sk-SK"/>
        </w:rPr>
        <w:t>b e r i e  n a  v e d o m i e</w:t>
      </w:r>
    </w:p>
    <w:p w:rsidR="00732CD8" w:rsidRPr="00732CD8" w:rsidP="00732CD8">
      <w:p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republiky č. 166/2003 Z. z. o ochrane                         Správu Výboru Národnej rady SR pre</w:t>
      </w:r>
    </w:p>
    <w:p w:rsidR="00732CD8" w:rsidRPr="00732CD8" w:rsidP="00732CD8">
      <w:p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súkromia pred neoprávneným                                      obranu a bezpečnosť o stave použitia</w:t>
      </w:r>
    </w:p>
    <w:p w:rsidR="00732CD8" w:rsidRPr="00732CD8" w:rsidP="00732CD8">
      <w:pPr>
        <w:bidi w:val="0"/>
        <w:spacing w:after="0" w:line="240" w:lineRule="auto"/>
        <w:ind w:left="5040" w:hanging="5040"/>
        <w:jc w:val="both"/>
        <w:rPr>
          <w:rFonts w:ascii="Times New Roman" w:hAnsi="Times New Roman"/>
          <w:szCs w:val="24"/>
          <w:lang w:eastAsia="sk-SK"/>
        </w:rPr>
      </w:pPr>
      <w:r w:rsidRPr="00732CD8">
        <w:rPr>
          <w:rFonts w:ascii="Times New Roman" w:hAnsi="Times New Roman"/>
          <w:szCs w:val="24"/>
          <w:lang w:eastAsia="sk-SK"/>
        </w:rPr>
        <w:t>použitím informačno-technických                               informačno-technických prostriedkov</w:t>
      </w:r>
    </w:p>
    <w:p w:rsidR="00732CD8" w:rsidRPr="00732CD8" w:rsidP="00732CD8">
      <w:p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prostriedkov a o zmene a doplnení                              za rok 2011</w:t>
      </w:r>
    </w:p>
    <w:p w:rsidR="00732CD8" w:rsidRPr="00732CD8" w:rsidP="00732CD8">
      <w:p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 xml:space="preserve">niektorých zákonov                                                         </w:t>
      </w:r>
    </w:p>
    <w:p w:rsidR="00732CD8" w:rsidRPr="00732CD8" w:rsidP="00732CD8">
      <w:p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(zákon o ochrane pred odpočúvaním)</w:t>
      </w:r>
    </w:p>
    <w:p w:rsidR="00732CD8" w:rsidRPr="00732CD8" w:rsidP="00732CD8">
      <w:pPr>
        <w:bidi w:val="0"/>
        <w:spacing w:after="0" w:line="240" w:lineRule="auto"/>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Cs w:val="24"/>
          <w:lang w:eastAsia="sk-SK"/>
        </w:rPr>
      </w:pPr>
    </w:p>
    <w:p w:rsidR="00732CD8" w:rsidRPr="00732CD8" w:rsidP="00732CD8">
      <w:pPr>
        <w:bidi w:val="0"/>
        <w:spacing w:after="0" w:line="240" w:lineRule="auto"/>
        <w:jc w:val="center"/>
        <w:rPr>
          <w:rFonts w:ascii="Times New Roman" w:hAnsi="Times New Roman"/>
          <w:b/>
          <w:szCs w:val="24"/>
          <w:lang w:eastAsia="sk-SK"/>
        </w:rPr>
      </w:pPr>
    </w:p>
    <w:p w:rsidR="00732CD8" w:rsidRPr="00732CD8" w:rsidP="00732CD8">
      <w:pPr>
        <w:bidi w:val="0"/>
        <w:spacing w:after="0" w:line="240" w:lineRule="auto"/>
        <w:rPr>
          <w:rFonts w:ascii="Times New Roman" w:hAnsi="Times New Roman"/>
          <w:b/>
          <w:szCs w:val="24"/>
          <w:u w:val="single"/>
          <w:lang w:eastAsia="sk-SK"/>
        </w:rPr>
      </w:pPr>
      <w:r w:rsidRPr="00732CD8">
        <w:rPr>
          <w:rFonts w:ascii="Times New Roman" w:hAnsi="Times New Roman"/>
          <w:b/>
          <w:szCs w:val="24"/>
          <w:u w:val="single"/>
          <w:lang w:eastAsia="sk-SK"/>
        </w:rPr>
        <w:t>Predkladá:</w:t>
      </w:r>
    </w:p>
    <w:p w:rsidR="00732CD8" w:rsidRPr="00732CD8" w:rsidP="00732CD8">
      <w:pPr>
        <w:bidi w:val="0"/>
        <w:spacing w:after="0" w:line="240" w:lineRule="auto"/>
        <w:rPr>
          <w:rFonts w:ascii="Times New Roman" w:hAnsi="Times New Roman"/>
          <w:b/>
          <w:sz w:val="28"/>
          <w:szCs w:val="28"/>
          <w:lang w:eastAsia="sk-SK"/>
        </w:rPr>
      </w:pPr>
    </w:p>
    <w:p w:rsidR="00732CD8" w:rsidRPr="00732CD8" w:rsidP="00732CD8">
      <w:pPr>
        <w:bidi w:val="0"/>
        <w:spacing w:after="0" w:line="240" w:lineRule="auto"/>
        <w:rPr>
          <w:rFonts w:ascii="Times New Roman" w:hAnsi="Times New Roman"/>
          <w:b/>
          <w:sz w:val="28"/>
          <w:szCs w:val="28"/>
          <w:lang w:eastAsia="sk-SK"/>
        </w:rPr>
      </w:pPr>
      <w:r>
        <w:rPr>
          <w:rFonts w:ascii="Times New Roman" w:hAnsi="Times New Roman"/>
          <w:b/>
          <w:sz w:val="28"/>
          <w:szCs w:val="28"/>
          <w:lang w:eastAsia="sk-SK"/>
        </w:rPr>
        <w:t xml:space="preserve">Jaroslav BAŠKA </w:t>
      </w:r>
      <w:r w:rsidRPr="00732CD8">
        <w:rPr>
          <w:rFonts w:ascii="Times New Roman" w:hAnsi="Times New Roman"/>
          <w:b/>
          <w:sz w:val="28"/>
          <w:szCs w:val="28"/>
          <w:lang w:eastAsia="sk-SK"/>
        </w:rPr>
        <w:t xml:space="preserve"> v. r.</w:t>
      </w:r>
    </w:p>
    <w:p w:rsidR="00732CD8" w:rsidRPr="00732CD8" w:rsidP="00732CD8">
      <w:pPr>
        <w:bidi w:val="0"/>
        <w:spacing w:after="0" w:line="240" w:lineRule="auto"/>
        <w:rPr>
          <w:rFonts w:ascii="Times New Roman" w:hAnsi="Times New Roman"/>
          <w:szCs w:val="24"/>
          <w:lang w:eastAsia="sk-SK"/>
        </w:rPr>
      </w:pPr>
      <w:r w:rsidRPr="00732CD8">
        <w:rPr>
          <w:rFonts w:ascii="Times New Roman" w:hAnsi="Times New Roman"/>
          <w:szCs w:val="24"/>
          <w:lang w:eastAsia="sk-SK"/>
        </w:rPr>
        <w:t xml:space="preserve">predseda </w:t>
      </w:r>
    </w:p>
    <w:p w:rsidR="00732CD8" w:rsidRPr="00732CD8" w:rsidP="00732CD8">
      <w:pPr>
        <w:bidi w:val="0"/>
        <w:spacing w:after="0" w:line="240" w:lineRule="auto"/>
        <w:rPr>
          <w:rFonts w:ascii="Times New Roman" w:hAnsi="Times New Roman"/>
          <w:szCs w:val="24"/>
          <w:lang w:eastAsia="sk-SK"/>
        </w:rPr>
      </w:pPr>
      <w:r w:rsidRPr="00732CD8">
        <w:rPr>
          <w:rFonts w:ascii="Times New Roman" w:hAnsi="Times New Roman"/>
          <w:szCs w:val="24"/>
          <w:lang w:eastAsia="sk-SK"/>
        </w:rPr>
        <w:t>Výboru NR SR pre obranu a bezpečnosť</w:t>
      </w:r>
    </w:p>
    <w:p w:rsidR="00732CD8" w:rsidRPr="00732CD8" w:rsidP="00732CD8">
      <w:pPr>
        <w:bidi w:val="0"/>
        <w:spacing w:after="0" w:line="240" w:lineRule="auto"/>
        <w:jc w:val="center"/>
        <w:rPr>
          <w:rFonts w:ascii="Times New Roman" w:hAnsi="Times New Roman"/>
          <w:b/>
          <w:sz w:val="32"/>
          <w:szCs w:val="32"/>
          <w:lang w:eastAsia="sk-SK"/>
        </w:rPr>
      </w:pPr>
    </w:p>
    <w:p w:rsidR="00732CD8" w:rsidRPr="00732CD8" w:rsidP="00732CD8">
      <w:pPr>
        <w:bidi w:val="0"/>
        <w:spacing w:after="0" w:line="240" w:lineRule="auto"/>
        <w:rPr>
          <w:rFonts w:ascii="Times New Roman" w:hAnsi="Times New Roman"/>
          <w:b/>
          <w:sz w:val="32"/>
          <w:szCs w:val="32"/>
          <w:lang w:eastAsia="sk-SK"/>
        </w:rPr>
      </w:pPr>
    </w:p>
    <w:p w:rsidR="00732CD8" w:rsidRPr="00732CD8" w:rsidP="00732CD8">
      <w:pPr>
        <w:bidi w:val="0"/>
        <w:spacing w:after="0" w:line="240" w:lineRule="auto"/>
        <w:rPr>
          <w:rFonts w:ascii="Times New Roman" w:hAnsi="Times New Roman"/>
          <w:b/>
          <w:sz w:val="32"/>
          <w:szCs w:val="32"/>
          <w:lang w:eastAsia="sk-SK"/>
        </w:rPr>
      </w:pPr>
    </w:p>
    <w:p w:rsidR="00732CD8" w:rsidRPr="00732CD8" w:rsidP="00732CD8">
      <w:pPr>
        <w:bidi w:val="0"/>
        <w:spacing w:after="0" w:line="240" w:lineRule="auto"/>
        <w:jc w:val="center"/>
        <w:rPr>
          <w:rFonts w:ascii="Times New Roman" w:hAnsi="Times New Roman"/>
          <w:szCs w:val="24"/>
          <w:lang w:eastAsia="sk-SK"/>
        </w:rPr>
      </w:pPr>
      <w:r w:rsidRPr="00732CD8">
        <w:rPr>
          <w:rFonts w:ascii="Times New Roman" w:hAnsi="Times New Roman"/>
          <w:szCs w:val="24"/>
          <w:lang w:eastAsia="sk-SK"/>
        </w:rPr>
        <w:t>Bratislava,</w:t>
      </w:r>
      <w:r w:rsidRPr="00732CD8">
        <w:rPr>
          <w:rFonts w:ascii="Times New Roman" w:hAnsi="Times New Roman"/>
          <w:color w:val="FF0000"/>
          <w:szCs w:val="24"/>
          <w:lang w:eastAsia="sk-SK"/>
        </w:rPr>
        <w:t xml:space="preserve"> </w:t>
      </w:r>
      <w:r>
        <w:rPr>
          <w:rFonts w:ascii="Times New Roman" w:hAnsi="Times New Roman"/>
          <w:szCs w:val="24"/>
          <w:lang w:eastAsia="sk-SK"/>
        </w:rPr>
        <w:t xml:space="preserve">jún </w:t>
      </w:r>
      <w:r w:rsidRPr="00732CD8">
        <w:rPr>
          <w:rFonts w:ascii="Times New Roman" w:hAnsi="Times New Roman"/>
          <w:szCs w:val="24"/>
          <w:lang w:eastAsia="sk-SK"/>
        </w:rPr>
        <w:t>2012</w:t>
      </w:r>
    </w:p>
    <w:p w:rsidR="00732CD8" w:rsidRPr="00732CD8" w:rsidP="00732CD8">
      <w:pPr>
        <w:bidi w:val="0"/>
        <w:spacing w:after="0" w:line="240" w:lineRule="auto"/>
        <w:ind w:firstLine="708"/>
        <w:jc w:val="center"/>
        <w:rPr>
          <w:rFonts w:ascii="Times New Roman" w:hAnsi="Times New Roman"/>
          <w:b/>
          <w:sz w:val="32"/>
          <w:szCs w:val="32"/>
          <w:lang w:eastAsia="sk-SK"/>
        </w:rPr>
      </w:pPr>
    </w:p>
    <w:p w:rsidR="00732CD8" w:rsidRPr="00732CD8" w:rsidP="00732CD8">
      <w:pPr>
        <w:bidi w:val="0"/>
        <w:spacing w:after="0" w:line="240" w:lineRule="auto"/>
        <w:rPr>
          <w:rFonts w:ascii="Times New Roman" w:hAnsi="Times New Roman"/>
          <w:b/>
          <w:sz w:val="32"/>
          <w:szCs w:val="32"/>
          <w:lang w:eastAsia="sk-SK"/>
        </w:rPr>
      </w:pPr>
    </w:p>
    <w:p w:rsidR="00732CD8" w:rsidRPr="00732CD8" w:rsidP="00732CD8">
      <w:pPr>
        <w:bidi w:val="0"/>
        <w:spacing w:after="0" w:line="240" w:lineRule="auto"/>
        <w:ind w:firstLine="708"/>
        <w:jc w:val="center"/>
        <w:rPr>
          <w:rFonts w:ascii="Times New Roman" w:hAnsi="Times New Roman"/>
          <w:b/>
          <w:sz w:val="32"/>
          <w:szCs w:val="32"/>
          <w:lang w:eastAsia="sk-SK"/>
        </w:rPr>
      </w:pPr>
      <w:r w:rsidRPr="00732CD8">
        <w:rPr>
          <w:rFonts w:ascii="Times New Roman" w:hAnsi="Times New Roman"/>
          <w:b/>
          <w:sz w:val="32"/>
          <w:szCs w:val="32"/>
          <w:lang w:eastAsia="sk-SK"/>
        </w:rPr>
        <w:t>Správa výboru</w:t>
      </w:r>
    </w:p>
    <w:p w:rsidR="00732CD8" w:rsidRPr="00732CD8" w:rsidP="00732CD8">
      <w:pPr>
        <w:bidi w:val="0"/>
        <w:spacing w:after="0" w:line="240" w:lineRule="auto"/>
        <w:ind w:firstLine="708"/>
        <w:jc w:val="both"/>
        <w:rPr>
          <w:rFonts w:ascii="Times New Roman" w:hAnsi="Times New Roman"/>
          <w:szCs w:val="24"/>
          <w:lang w:eastAsia="sk-SK"/>
        </w:rPr>
      </w:pPr>
    </w:p>
    <w:p w:rsidR="00732CD8" w:rsidRPr="00732CD8" w:rsidP="00732CD8">
      <w:pPr>
        <w:bidi w:val="0"/>
        <w:spacing w:after="0" w:line="240" w:lineRule="auto"/>
        <w:ind w:firstLine="708"/>
        <w:jc w:val="both"/>
        <w:rPr>
          <w:rFonts w:ascii="Times New Roman" w:hAnsi="Times New Roman"/>
          <w:szCs w:val="24"/>
          <w:lang w:eastAsia="sk-SK"/>
        </w:rPr>
      </w:pPr>
      <w:r w:rsidRPr="00732CD8">
        <w:rPr>
          <w:rFonts w:ascii="Times New Roman" w:hAnsi="Times New Roman"/>
          <w:szCs w:val="24"/>
          <w:lang w:eastAsia="sk-SK"/>
        </w:rPr>
        <w:t>Výbor Národnej rady Slovenskej republiky pre obranu a bezpečnosť (ďalej len výbor) predkladá v súlade s uznesením Národnej ra</w:t>
      </w:r>
      <w:r w:rsidR="00993935">
        <w:rPr>
          <w:rFonts w:ascii="Times New Roman" w:hAnsi="Times New Roman"/>
          <w:szCs w:val="24"/>
          <w:lang w:eastAsia="sk-SK"/>
        </w:rPr>
        <w:t>dy Slovenskej republiky číslo 33</w:t>
      </w:r>
      <w:r w:rsidRPr="00732CD8">
        <w:rPr>
          <w:rFonts w:ascii="Times New Roman" w:hAnsi="Times New Roman"/>
          <w:szCs w:val="24"/>
          <w:lang w:eastAsia="sk-SK"/>
        </w:rPr>
        <w:t xml:space="preserve"> z</w:t>
      </w:r>
      <w:r w:rsidR="00993935">
        <w:rPr>
          <w:rFonts w:ascii="Times New Roman" w:hAnsi="Times New Roman"/>
          <w:szCs w:val="24"/>
          <w:lang w:eastAsia="sk-SK"/>
        </w:rPr>
        <w:t>o 16. mája</w:t>
      </w:r>
      <w:r w:rsidRPr="00732CD8">
        <w:rPr>
          <w:rFonts w:ascii="Times New Roman" w:hAnsi="Times New Roman"/>
          <w:szCs w:val="24"/>
          <w:lang w:eastAsia="sk-SK"/>
        </w:rPr>
        <w:t xml:space="preserve"> </w:t>
      </w:r>
      <w:r w:rsidR="00993935">
        <w:rPr>
          <w:rFonts w:ascii="Times New Roman" w:hAnsi="Times New Roman"/>
          <w:szCs w:val="24"/>
          <w:lang w:eastAsia="sk-SK"/>
        </w:rPr>
        <w:t>2012</w:t>
      </w:r>
      <w:r w:rsidRPr="00732CD8">
        <w:rPr>
          <w:rFonts w:ascii="Times New Roman" w:hAnsi="Times New Roman"/>
          <w:szCs w:val="24"/>
          <w:lang w:eastAsia="sk-SK"/>
        </w:rPr>
        <w:t xml:space="preserve"> a § 9 zákona č. 166/2003 Z. z. o ochrane súkromia pred neoprávneným použitím informačno-technických prostriedkov a o zmene a doplnení niektorých zákonov (zákon o ochrane pred odpočúvaním) správu výboru  o stave použitia informačno-technických prostriedkov za rok 2011.</w:t>
      </w: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ind w:firstLine="708"/>
        <w:jc w:val="both"/>
        <w:rPr>
          <w:rFonts w:ascii="Times New Roman" w:hAnsi="Times New Roman"/>
          <w:szCs w:val="24"/>
          <w:lang w:eastAsia="sk-SK"/>
        </w:rPr>
      </w:pPr>
      <w:r w:rsidRPr="00732CD8">
        <w:rPr>
          <w:rFonts w:ascii="Times New Roman" w:hAnsi="Times New Roman"/>
          <w:szCs w:val="24"/>
          <w:lang w:eastAsia="sk-SK"/>
        </w:rPr>
        <w:t xml:space="preserve">V súlade s § 9  zákona č. 166/2003 Z. z. o ochrane súkromia pred neoprávneným použitím informačno-technických prostriedkov a o zmene a doplnení niektorých zákonov výbor požiadal Slovenskú informačnú službu, Ministerstvo vnútra SR - Policajný zbor, Železničná polícia, Ministerstvo obrany SR - Vojenské spravodajstvo / zvlášť Vojenské obranné spravodajstvo, zvlášť Vojenská spravodajská služba/, Ministerstvo spravodlivosti -  Zbor väzenskej a justičnej stráže, Ministerstvo financií - Colná správa, v mesiaci január  2012 o zaslanie správy o použití informačno-technických prostriedkov  za rok 2011. </w:t>
      </w:r>
    </w:p>
    <w:p w:rsidR="00732CD8" w:rsidRPr="00732CD8" w:rsidP="00732CD8">
      <w:pPr>
        <w:bidi w:val="0"/>
        <w:spacing w:after="0" w:line="240" w:lineRule="auto"/>
        <w:ind w:firstLine="708"/>
        <w:jc w:val="both"/>
        <w:rPr>
          <w:rFonts w:ascii="Times New Roman" w:hAnsi="Times New Roman"/>
          <w:szCs w:val="24"/>
          <w:lang w:eastAsia="sk-SK"/>
        </w:rPr>
      </w:pPr>
    </w:p>
    <w:p w:rsidR="00732CD8" w:rsidRPr="00732CD8" w:rsidP="00732CD8">
      <w:pPr>
        <w:bidi w:val="0"/>
        <w:spacing w:after="0" w:line="240" w:lineRule="auto"/>
        <w:ind w:firstLine="708"/>
        <w:jc w:val="both"/>
        <w:rPr>
          <w:rFonts w:ascii="Times New Roman" w:hAnsi="Times New Roman"/>
          <w:szCs w:val="24"/>
          <w:lang w:eastAsia="sk-SK"/>
        </w:rPr>
      </w:pPr>
      <w:r w:rsidRPr="00732CD8">
        <w:rPr>
          <w:rFonts w:ascii="Times New Roman" w:hAnsi="Times New Roman"/>
          <w:szCs w:val="24"/>
          <w:lang w:eastAsia="sk-SK"/>
        </w:rPr>
        <w:t>V správe, výbor okrem dotknutými subjektmi uvedených informácií týkajúcich sa uplatňovania zákona o ochrane pred odpočúvaním, požiadal uviesť počet realizovaných prípadov použitia informačno-technických prostriedkov (ITP) v členení podľa § 2, ods.1, písm. a), b), c), zákona o ochrane pred odpočúvaním a v každej kategórii žiadal uviesť nasledujúce údaje:</w:t>
      </w:r>
    </w:p>
    <w:p w:rsidR="00732CD8" w:rsidRPr="00732CD8" w:rsidP="00732CD8">
      <w:pPr>
        <w:bidi w:val="0"/>
        <w:spacing w:after="0" w:line="240" w:lineRule="auto"/>
        <w:ind w:firstLine="708"/>
        <w:jc w:val="both"/>
        <w:rPr>
          <w:rFonts w:ascii="Times New Roman" w:hAnsi="Times New Roman"/>
          <w:szCs w:val="24"/>
          <w:lang w:eastAsia="sk-SK"/>
        </w:rPr>
      </w:pPr>
      <w:r w:rsidRPr="00732CD8">
        <w:rPr>
          <w:rFonts w:ascii="Times New Roman" w:hAnsi="Times New Roman"/>
          <w:szCs w:val="24"/>
          <w:lang w:eastAsia="sk-SK"/>
        </w:rPr>
        <w:t xml:space="preserve">  </w:t>
      </w:r>
    </w:p>
    <w:p w:rsidR="00732CD8" w:rsidRPr="00732CD8" w:rsidP="00732CD8">
      <w:pPr>
        <w:bidi w:val="0"/>
        <w:spacing w:after="0" w:line="240" w:lineRule="auto"/>
        <w:ind w:firstLine="708"/>
        <w:jc w:val="both"/>
        <w:rPr>
          <w:rFonts w:ascii="Times New Roman" w:hAnsi="Times New Roman"/>
          <w:szCs w:val="24"/>
          <w:u w:val="single"/>
          <w:lang w:eastAsia="sk-SK"/>
        </w:rPr>
      </w:pPr>
      <w:r w:rsidRPr="00732CD8">
        <w:rPr>
          <w:rFonts w:ascii="Times New Roman" w:hAnsi="Times New Roman"/>
          <w:szCs w:val="24"/>
          <w:lang w:eastAsia="sk-SK"/>
        </w:rPr>
        <w:t xml:space="preserve">a)  </w:t>
      </w:r>
      <w:r w:rsidRPr="00732CD8">
        <w:rPr>
          <w:rFonts w:ascii="Times New Roman" w:hAnsi="Times New Roman"/>
          <w:szCs w:val="24"/>
          <w:u w:val="single"/>
          <w:lang w:eastAsia="sk-SK"/>
        </w:rPr>
        <w:t>počet žiadostí na použitie ITP – § 4 ods.1, z toho:</w:t>
      </w:r>
    </w:p>
    <w:p w:rsidR="00732CD8" w:rsidRPr="00732CD8" w:rsidP="00732CD8">
      <w:pPr>
        <w:numPr>
          <w:numId w:val="12"/>
        </w:num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počet zákonným sudcom písomne povolených súhlasov/prípadov použitia ITP – vydané súhlasy (§ 6 ods.3 zákona)</w:t>
      </w:r>
    </w:p>
    <w:p w:rsidR="00732CD8" w:rsidRPr="00732CD8" w:rsidP="00732CD8">
      <w:pPr>
        <w:numPr>
          <w:numId w:val="12"/>
        </w:num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počet zákonným sudcom písomne nepovolených súhlasov/ prípadov použitia ITP – odmietnuté žiadosti (§ 6, ods.3 zákona)</w:t>
      </w:r>
    </w:p>
    <w:p w:rsidR="00732CD8" w:rsidRPr="00732CD8" w:rsidP="00732CD8">
      <w:pPr>
        <w:numPr>
          <w:numId w:val="13"/>
        </w:numPr>
        <w:bidi w:val="0"/>
        <w:spacing w:after="0" w:line="240" w:lineRule="auto"/>
        <w:jc w:val="both"/>
        <w:rPr>
          <w:rFonts w:ascii="Times New Roman" w:hAnsi="Times New Roman"/>
          <w:szCs w:val="24"/>
          <w:lang w:eastAsia="sk-SK"/>
        </w:rPr>
      </w:pPr>
      <w:r w:rsidRPr="00732CD8">
        <w:rPr>
          <w:rFonts w:ascii="Times New Roman" w:hAnsi="Times New Roman"/>
          <w:szCs w:val="24"/>
          <w:u w:val="single"/>
          <w:lang w:eastAsia="sk-SK"/>
        </w:rPr>
        <w:t>počet prípadov,  v ktorých sa predložila opakovaná žiadosť  zákonnému  sudcovi na predlženie doby použitia  ITP (§ 4 ods. 2) v tom istom prípade, z toho:</w:t>
      </w:r>
    </w:p>
    <w:p w:rsidR="00732CD8" w:rsidRPr="00732CD8" w:rsidP="00732CD8">
      <w:pPr>
        <w:numPr>
          <w:numId w:val="12"/>
        </w:num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počet zákonným sudcom písomne povolených súhlasov/prípadov použitia ITP – vydané súhlasy (§ 6 ods. 3 zákona)</w:t>
      </w:r>
    </w:p>
    <w:p w:rsidR="00732CD8" w:rsidRPr="00732CD8" w:rsidP="00732CD8">
      <w:pPr>
        <w:numPr>
          <w:numId w:val="12"/>
        </w:num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počet zákonným sudcom písomne nepovolených súhlasov/ prípadov použitia ITP – odmietnuté žiadosti (§ 6 ods. 3 zákona),</w:t>
      </w:r>
    </w:p>
    <w:p w:rsidR="00732CD8" w:rsidRPr="00732CD8" w:rsidP="00732CD8">
      <w:pPr>
        <w:bidi w:val="0"/>
        <w:spacing w:after="0" w:line="240" w:lineRule="auto"/>
        <w:ind w:left="1065" w:hanging="1065"/>
        <w:jc w:val="both"/>
        <w:rPr>
          <w:rFonts w:ascii="Times New Roman" w:hAnsi="Times New Roman"/>
          <w:szCs w:val="24"/>
          <w:u w:val="single"/>
          <w:lang w:eastAsia="sk-SK"/>
        </w:rPr>
      </w:pPr>
      <w:r w:rsidRPr="00732CD8">
        <w:rPr>
          <w:rFonts w:ascii="Times New Roman" w:hAnsi="Times New Roman"/>
          <w:szCs w:val="24"/>
          <w:lang w:eastAsia="sk-SK"/>
        </w:rPr>
        <w:t xml:space="preserve">           c) </w:t>
        <w:tab/>
      </w:r>
      <w:r w:rsidRPr="00732CD8">
        <w:rPr>
          <w:rFonts w:ascii="Times New Roman" w:hAnsi="Times New Roman"/>
          <w:szCs w:val="24"/>
          <w:u w:val="single"/>
          <w:lang w:eastAsia="sk-SK"/>
        </w:rPr>
        <w:t>počty prípadov použitia ITP v zmysle § 5 ods. 1 a 2 zákona NR SR č.166/2003 Z.      z., z toho:</w:t>
      </w:r>
    </w:p>
    <w:p w:rsidR="00732CD8" w:rsidRPr="00732CD8" w:rsidP="00732CD8">
      <w:pPr>
        <w:numPr>
          <w:numId w:val="12"/>
        </w:num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počet žiadostí o dodatočný súhlas, v ktorých zákonný sudca vydal súhlas</w:t>
      </w:r>
    </w:p>
    <w:p w:rsidR="00732CD8" w:rsidRPr="00732CD8" w:rsidP="00732CD8">
      <w:pPr>
        <w:numPr>
          <w:numId w:val="12"/>
        </w:num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 xml:space="preserve">počet zákonným sudcom odmietnutých žiadostí o dodatočný súhlas </w:t>
      </w:r>
    </w:p>
    <w:p w:rsidR="00732CD8" w:rsidRPr="00732CD8" w:rsidP="00732CD8">
      <w:pPr>
        <w:numPr>
          <w:numId w:val="12"/>
        </w:num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 xml:space="preserve">počet súhlasov/prípadov použitia ITP, pri ktorých bol dosiahnutý zákonom uznaný účel a cieľ, ktorý bol povolený zákonným sudcom, vo väzbe na § 3 a  § 7 zákona o ochrane pred odpočúvaním, kedy ITP možno použiť iba vtedy, ak je to v demokratickej spoločnosti nevyhnutné na zabezpečenie bezpečnosti štátu, obranu štátu, predchádzanie a objasňovanie trestnej činnosti alebo na ochranu práv a slobôd iných, teda zistili sa skutočnosti významné na dosiahnutie zákonom ustanoveného účelu použitia ITP </w:t>
      </w:r>
    </w:p>
    <w:p w:rsidR="00732CD8" w:rsidRPr="00732CD8" w:rsidP="00732CD8">
      <w:pPr>
        <w:numPr>
          <w:numId w:val="12"/>
        </w:num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počty prípadov, v ktorých informácie získané použitím ITP boli použité ako dôkaz v trestnom konaní</w:t>
      </w:r>
    </w:p>
    <w:p w:rsidR="00732CD8" w:rsidRPr="00732CD8" w:rsidP="00732CD8">
      <w:pPr>
        <w:numPr>
          <w:numId w:val="12"/>
        </w:numPr>
        <w:bidi w:val="0"/>
        <w:spacing w:after="0" w:line="240" w:lineRule="auto"/>
        <w:jc w:val="both"/>
        <w:rPr>
          <w:rFonts w:ascii="Times New Roman" w:hAnsi="Times New Roman"/>
          <w:szCs w:val="24"/>
          <w:lang w:eastAsia="sk-SK"/>
        </w:rPr>
      </w:pPr>
      <w:r w:rsidRPr="00732CD8">
        <w:rPr>
          <w:rFonts w:ascii="Times New Roman" w:hAnsi="Times New Roman"/>
          <w:szCs w:val="24"/>
          <w:lang w:eastAsia="sk-SK"/>
        </w:rPr>
        <w:t>počet zákonným sudcom zistených  prípadov nezákonného použitia ITP</w:t>
      </w: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ind w:firstLine="708"/>
        <w:jc w:val="both"/>
        <w:rPr>
          <w:rFonts w:ascii="Times New Roman" w:hAnsi="Times New Roman"/>
          <w:szCs w:val="24"/>
          <w:lang w:eastAsia="sk-SK"/>
        </w:rPr>
      </w:pPr>
      <w:r w:rsidRPr="00732CD8">
        <w:rPr>
          <w:rFonts w:ascii="Times New Roman" w:hAnsi="Times New Roman"/>
          <w:szCs w:val="24"/>
          <w:lang w:eastAsia="sk-SK"/>
        </w:rPr>
        <w:t xml:space="preserve">Správu o použití informačno-technických prostriedkov  za rok 2011 predložili všetky dotknuté subjekty vo verzii neobsahujúcej utajované skutočnosti a niektoré z nich aj informácie vo verzii obsahujúcej utajované skutočnosti. </w:t>
      </w:r>
    </w:p>
    <w:p w:rsidR="00732CD8" w:rsidRPr="00732CD8" w:rsidP="00732CD8">
      <w:pPr>
        <w:bidi w:val="0"/>
        <w:spacing w:after="0" w:line="240" w:lineRule="auto"/>
        <w:ind w:firstLine="708"/>
        <w:jc w:val="both"/>
        <w:rPr>
          <w:rFonts w:ascii="Times New Roman" w:hAnsi="Times New Roman"/>
          <w:szCs w:val="24"/>
          <w:lang w:eastAsia="sk-SK"/>
        </w:rPr>
      </w:pPr>
    </w:p>
    <w:p w:rsidR="00732CD8" w:rsidRPr="00732CD8" w:rsidP="00732CD8">
      <w:pPr>
        <w:bidi w:val="0"/>
        <w:spacing w:after="0" w:line="240" w:lineRule="auto"/>
        <w:ind w:firstLine="708"/>
        <w:jc w:val="both"/>
        <w:rPr>
          <w:rFonts w:ascii="Times New Roman" w:hAnsi="Times New Roman"/>
          <w:szCs w:val="24"/>
          <w:lang w:eastAsia="sk-SK"/>
        </w:rPr>
      </w:pPr>
      <w:r w:rsidRPr="00732CD8">
        <w:rPr>
          <w:rFonts w:ascii="Times New Roman" w:hAnsi="Times New Roman"/>
          <w:szCs w:val="24"/>
          <w:lang w:eastAsia="sk-SK"/>
        </w:rPr>
        <w:t xml:space="preserve">Údaje o použití informačno-technických prostriedkov neobsahujúce utajované skutočnosti, tak ako ich jednotlivé dotknuté subjekty predložili, sú uvedené v nasledujúcej časti správy. </w:t>
      </w:r>
    </w:p>
    <w:p w:rsidR="00732CD8" w:rsidRPr="00732CD8" w:rsidP="00732CD8">
      <w:pPr>
        <w:bidi w:val="0"/>
        <w:spacing w:after="0" w:line="240" w:lineRule="auto"/>
        <w:ind w:firstLine="708"/>
        <w:jc w:val="both"/>
        <w:rPr>
          <w:rFonts w:ascii="Times New Roman" w:hAnsi="Times New Roman"/>
          <w:szCs w:val="24"/>
          <w:lang w:eastAsia="sk-SK"/>
        </w:rPr>
      </w:pPr>
    </w:p>
    <w:p w:rsidR="00732CD8" w:rsidRPr="00732CD8" w:rsidP="00732CD8">
      <w:pPr>
        <w:bidi w:val="0"/>
        <w:spacing w:after="0" w:line="240" w:lineRule="auto"/>
        <w:ind w:firstLine="708"/>
        <w:jc w:val="both"/>
        <w:rPr>
          <w:rFonts w:ascii="Times New Roman" w:hAnsi="Times New Roman"/>
          <w:color w:val="FF0000"/>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color w:val="000000"/>
          <w:szCs w:val="24"/>
          <w:lang w:eastAsia="sk-SK"/>
        </w:rPr>
      </w:pPr>
      <w:r w:rsidRPr="00732CD8">
        <w:rPr>
          <w:rFonts w:ascii="Times New Roman" w:hAnsi="Times New Roman"/>
          <w:color w:val="000000"/>
          <w:szCs w:val="24"/>
          <w:lang w:eastAsia="sk-SK"/>
        </w:rPr>
        <w:t xml:space="preserve">    </w:t>
        <w:tab/>
      </w:r>
    </w:p>
    <w:p w:rsidR="00732CD8" w:rsidRPr="00732CD8" w:rsidP="00732CD8">
      <w:pPr>
        <w:bidi w:val="0"/>
        <w:spacing w:after="0" w:line="240" w:lineRule="auto"/>
        <w:jc w:val="both"/>
        <w:rPr>
          <w:rFonts w:ascii="Times New Roman" w:hAnsi="Times New Roman"/>
          <w:color w:val="000000"/>
          <w:szCs w:val="24"/>
          <w:lang w:eastAsia="sk-SK"/>
        </w:rPr>
      </w:pPr>
    </w:p>
    <w:p w:rsidR="00732CD8" w:rsidRPr="00732CD8" w:rsidP="00732CD8">
      <w:pPr>
        <w:bidi w:val="0"/>
        <w:spacing w:after="0" w:line="240" w:lineRule="auto"/>
        <w:jc w:val="both"/>
        <w:rPr>
          <w:rFonts w:ascii="Times New Roman" w:hAnsi="Times New Roman"/>
          <w:color w:val="000000"/>
          <w:szCs w:val="24"/>
          <w:lang w:eastAsia="sk-SK"/>
        </w:rPr>
      </w:pPr>
    </w:p>
    <w:p w:rsidR="00732CD8" w:rsidRPr="00732CD8" w:rsidP="00732CD8">
      <w:pPr>
        <w:bidi w:val="0"/>
        <w:spacing w:after="0" w:line="240" w:lineRule="auto"/>
        <w:jc w:val="both"/>
        <w:rPr>
          <w:rFonts w:ascii="Times New Roman" w:hAnsi="Times New Roman"/>
          <w:color w:val="000000"/>
          <w:szCs w:val="24"/>
          <w:lang w:eastAsia="sk-SK"/>
        </w:rPr>
      </w:pPr>
    </w:p>
    <w:p w:rsidR="00732CD8" w:rsidRPr="00732CD8" w:rsidP="00732CD8">
      <w:pPr>
        <w:bidi w:val="0"/>
        <w:spacing w:after="0" w:line="240" w:lineRule="auto"/>
        <w:jc w:val="both"/>
        <w:rPr>
          <w:rFonts w:ascii="Times New Roman" w:hAnsi="Times New Roman"/>
          <w:color w:val="000000"/>
          <w:szCs w:val="24"/>
          <w:lang w:eastAsia="sk-SK"/>
        </w:rPr>
      </w:pPr>
    </w:p>
    <w:p w:rsidR="00732CD8" w:rsidRPr="00732CD8" w:rsidP="00732CD8">
      <w:pPr>
        <w:bidi w:val="0"/>
        <w:spacing w:after="0" w:line="240" w:lineRule="auto"/>
        <w:jc w:val="both"/>
        <w:rPr>
          <w:rFonts w:ascii="Times New Roman" w:hAnsi="Times New Roman"/>
          <w:color w:val="000000"/>
          <w:szCs w:val="24"/>
          <w:lang w:eastAsia="sk-SK"/>
        </w:rPr>
      </w:pPr>
    </w:p>
    <w:p w:rsidR="00732CD8" w:rsidRPr="00732CD8" w:rsidP="00732CD8">
      <w:pPr>
        <w:bidi w:val="0"/>
        <w:spacing w:after="0" w:line="240" w:lineRule="auto"/>
        <w:jc w:val="both"/>
        <w:rPr>
          <w:rFonts w:ascii="Times New Roman" w:hAnsi="Times New Roman"/>
          <w:color w:val="000000"/>
          <w:szCs w:val="24"/>
          <w:lang w:eastAsia="sk-SK"/>
        </w:rPr>
      </w:pPr>
    </w:p>
    <w:p w:rsidR="00732CD8" w:rsidRPr="00732CD8" w:rsidP="00732CD8">
      <w:pPr>
        <w:bidi w:val="0"/>
        <w:spacing w:after="0" w:line="240" w:lineRule="auto"/>
        <w:jc w:val="both"/>
        <w:rPr>
          <w:rFonts w:ascii="Times New Roman" w:hAnsi="Times New Roman"/>
          <w:color w:val="000000"/>
          <w:szCs w:val="24"/>
          <w:lang w:eastAsia="sk-SK"/>
        </w:rPr>
      </w:pPr>
    </w:p>
    <w:p w:rsidR="00732CD8" w:rsidRPr="00732CD8" w:rsidP="00732CD8">
      <w:pPr>
        <w:bidi w:val="0"/>
        <w:spacing w:after="0" w:line="240" w:lineRule="auto"/>
        <w:jc w:val="both"/>
        <w:rPr>
          <w:rFonts w:ascii="Times New Roman" w:hAnsi="Times New Roman"/>
          <w:color w:val="000000"/>
          <w:szCs w:val="24"/>
          <w:lang w:eastAsia="sk-SK"/>
        </w:rPr>
      </w:pPr>
    </w:p>
    <w:p w:rsidR="00732CD8" w:rsidRPr="00732CD8" w:rsidP="00732CD8">
      <w:pPr>
        <w:bidi w:val="0"/>
        <w:spacing w:after="0" w:line="240" w:lineRule="auto"/>
        <w:jc w:val="both"/>
        <w:rPr>
          <w:rFonts w:ascii="Times New Roman" w:hAnsi="Times New Roman"/>
          <w:color w:val="000000"/>
          <w:szCs w:val="24"/>
          <w:lang w:eastAsia="sk-SK"/>
        </w:rPr>
      </w:pPr>
    </w:p>
    <w:p w:rsidR="00732CD8" w:rsidRPr="00732CD8" w:rsidP="00732CD8">
      <w:pPr>
        <w:bidi w:val="0"/>
        <w:spacing w:after="0" w:line="240" w:lineRule="auto"/>
        <w:jc w:val="both"/>
        <w:rPr>
          <w:rFonts w:ascii="Times New Roman" w:hAnsi="Times New Roman"/>
          <w:color w:val="FF0000"/>
          <w:szCs w:val="24"/>
          <w:lang w:eastAsia="sk-SK"/>
        </w:rPr>
      </w:pPr>
    </w:p>
    <w:p w:rsidR="00732CD8" w:rsidRPr="00732CD8" w:rsidP="00732CD8">
      <w:pPr>
        <w:numPr>
          <w:numId w:val="14"/>
        </w:numPr>
        <w:bidi w:val="0"/>
        <w:spacing w:after="0" w:line="240" w:lineRule="auto"/>
        <w:rPr>
          <w:rFonts w:ascii="Times New Roman" w:hAnsi="Times New Roman"/>
          <w:sz w:val="28"/>
          <w:szCs w:val="28"/>
          <w:u w:val="single"/>
          <w:lang w:eastAsia="sk-SK"/>
        </w:rPr>
      </w:pPr>
      <w:r w:rsidRPr="00732CD8">
        <w:rPr>
          <w:rFonts w:ascii="Times New Roman" w:hAnsi="Times New Roman"/>
          <w:sz w:val="28"/>
          <w:szCs w:val="28"/>
          <w:u w:val="single"/>
          <w:lang w:eastAsia="sk-SK"/>
        </w:rPr>
        <w:t xml:space="preserve">Použitie informačno-technických prostriedkov </w:t>
      </w:r>
    </w:p>
    <w:p w:rsidR="00732CD8" w:rsidRPr="00732CD8" w:rsidP="00732CD8">
      <w:pPr>
        <w:bidi w:val="0"/>
        <w:spacing w:after="0" w:line="240" w:lineRule="auto"/>
        <w:ind w:left="360"/>
        <w:rPr>
          <w:rFonts w:ascii="Times New Roman" w:hAnsi="Times New Roman"/>
          <w:sz w:val="28"/>
          <w:szCs w:val="28"/>
          <w:u w:val="single"/>
          <w:lang w:eastAsia="sk-SK"/>
        </w:rPr>
      </w:pPr>
      <w:r w:rsidRPr="00732CD8">
        <w:rPr>
          <w:rFonts w:ascii="Times New Roman" w:hAnsi="Times New Roman"/>
          <w:b/>
          <w:sz w:val="28"/>
          <w:szCs w:val="28"/>
          <w:lang w:eastAsia="sk-SK"/>
        </w:rPr>
        <w:t xml:space="preserve">     </w:t>
      </w:r>
      <w:r w:rsidRPr="00732CD8">
        <w:rPr>
          <w:rFonts w:ascii="Times New Roman" w:hAnsi="Times New Roman"/>
          <w:b/>
          <w:sz w:val="28"/>
          <w:szCs w:val="28"/>
          <w:u w:val="single"/>
          <w:lang w:eastAsia="sk-SK"/>
        </w:rPr>
        <w:t xml:space="preserve">Slovenskou informačnou službou  </w:t>
      </w:r>
      <w:r w:rsidRPr="00732CD8">
        <w:rPr>
          <w:rFonts w:ascii="Times New Roman" w:hAnsi="Times New Roman"/>
          <w:sz w:val="28"/>
          <w:szCs w:val="28"/>
          <w:u w:val="single"/>
          <w:lang w:eastAsia="sk-SK"/>
        </w:rPr>
        <w:t>za rok 2011</w:t>
      </w:r>
    </w:p>
    <w:p w:rsidR="00732CD8" w:rsidRPr="00732CD8" w:rsidP="00732CD8">
      <w:pPr>
        <w:bidi w:val="0"/>
        <w:spacing w:after="0" w:line="240" w:lineRule="auto"/>
        <w:ind w:left="360"/>
        <w:rPr>
          <w:rFonts w:ascii="Times New Roman" w:hAnsi="Times New Roman"/>
          <w:sz w:val="28"/>
          <w:szCs w:val="28"/>
          <w:u w:val="single"/>
          <w:lang w:eastAsia="sk-SK"/>
        </w:rPr>
      </w:pPr>
    </w:p>
    <w:p w:rsidR="00732CD8" w:rsidRPr="00732CD8" w:rsidP="00732CD8">
      <w:pPr>
        <w:keepNext/>
        <w:bidi w:val="0"/>
        <w:spacing w:before="40" w:after="40" w:line="240" w:lineRule="auto"/>
        <w:outlineLvl w:val="5"/>
        <w:rPr>
          <w:rFonts w:ascii="Times New Roman" w:hAnsi="Times New Roman"/>
          <w:b/>
          <w:sz w:val="26"/>
          <w:szCs w:val="20"/>
          <w:lang w:eastAsia="sk-SK"/>
        </w:rPr>
      </w:pPr>
      <w:r w:rsidRPr="00732CD8">
        <w:rPr>
          <w:rFonts w:ascii="Times New Roman" w:hAnsi="Times New Roman"/>
          <w:b/>
          <w:sz w:val="26"/>
          <w:szCs w:val="20"/>
          <w:lang w:eastAsia="sk-SK"/>
        </w:rPr>
        <w:t>Zákonný rámec použitia informačno-technických prostriedkov</w:t>
      </w:r>
    </w:p>
    <w:p w:rsidR="00732CD8" w:rsidRPr="00732CD8" w:rsidP="00732CD8">
      <w:pPr>
        <w:bidi w:val="0"/>
        <w:spacing w:before="40" w:after="40" w:line="240" w:lineRule="auto"/>
        <w:ind w:firstLine="708"/>
        <w:jc w:val="both"/>
        <w:rPr>
          <w:rFonts w:ascii="Times New Roman" w:hAnsi="Times New Roman"/>
          <w:szCs w:val="20"/>
          <w:lang w:eastAsia="sk-SK"/>
        </w:rPr>
      </w:pPr>
      <w:r w:rsidRPr="00732CD8">
        <w:rPr>
          <w:rFonts w:ascii="Times New Roman" w:hAnsi="Times New Roman"/>
          <w:szCs w:val="20"/>
          <w:lang w:eastAsia="sk-SK"/>
        </w:rPr>
        <w:t>Slovenská informačná služba (ďalej len „SIS“) je podľa § 10 ods. 1 písm. b) zákona Národnej rady Slovenskej republiky č. 46/1993 Z. z. o Slovenskej informačnej službe v znení neskorších predpisov a § 2 ods. 2 zákona č. 166/2003 Z. z. o ochrane súkromia pred neoprávneným použitím informačno-technických prostriedkov a o zmene a doplnení niektorých zákonov (zákon o ochrane pred odpočúvaním) v znení neskorších predpisov oprávnená používať pri plnení svojich zákonných úloh informačno-technické prostriedky (ďalej len „ITP“). Ich použitím je možné zasahovať do súkromia občanov bez ich predchádzajúceho súhlasu, avšak len za podmienok ustanovených zákonom.</w:t>
      </w:r>
    </w:p>
    <w:p w:rsidR="00732CD8" w:rsidRPr="00732CD8" w:rsidP="00732CD8">
      <w:pPr>
        <w:bidi w:val="0"/>
        <w:spacing w:before="40" w:after="40" w:line="240" w:lineRule="auto"/>
        <w:ind w:firstLine="708"/>
        <w:jc w:val="both"/>
        <w:rPr>
          <w:rFonts w:ascii="Times New Roman" w:hAnsi="Times New Roman"/>
          <w:spacing w:val="-2"/>
          <w:szCs w:val="24"/>
          <w:lang w:eastAsia="sk-SK"/>
        </w:rPr>
      </w:pPr>
      <w:r w:rsidRPr="00732CD8">
        <w:rPr>
          <w:rFonts w:ascii="Times New Roman" w:hAnsi="Times New Roman"/>
          <w:spacing w:val="-2"/>
          <w:szCs w:val="24"/>
          <w:lang w:eastAsia="sk-SK"/>
        </w:rPr>
        <w:t>Toto zákonné oprávnenie je podmienené predchádzajúcim písomným súhlasom zákonného sudcu. ITP však možno použiť len na nevyhnutný čas, najdlhšie na šesť mesiacov. Lehota začína plynúť dňom udelenia súhlasu sudcu. Ak je nevyhnutné použiť naraz alebo následne niekoľko druhov ITP, každý z nich možno použiť len v rozsahu výslovne udeleného súhlasu. Ak sa má ITP použiť v miestach, ktoré nie sú verejne prístupné, sudca, ktorý udeľuje písomný súhlas, rozhodne i o tom, či sa súhlas vzťahuje aj na vstup na tieto miesta.</w:t>
      </w: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keepNext/>
        <w:bidi w:val="0"/>
        <w:spacing w:before="40" w:after="40" w:line="240" w:lineRule="auto"/>
        <w:outlineLvl w:val="5"/>
        <w:rPr>
          <w:rFonts w:ascii="Times New Roman" w:hAnsi="Times New Roman"/>
          <w:b/>
          <w:sz w:val="26"/>
          <w:szCs w:val="20"/>
          <w:lang w:eastAsia="sk-SK"/>
        </w:rPr>
      </w:pPr>
      <w:r w:rsidRPr="00732CD8">
        <w:rPr>
          <w:rFonts w:ascii="Times New Roman" w:hAnsi="Times New Roman"/>
          <w:b/>
          <w:sz w:val="26"/>
          <w:szCs w:val="20"/>
          <w:lang w:eastAsia="sk-SK"/>
        </w:rPr>
        <w:t>Použitie ITP v roku 2011</w:t>
      </w:r>
    </w:p>
    <w:p w:rsidR="00732CD8" w:rsidRPr="00732CD8" w:rsidP="00732CD8">
      <w:pPr>
        <w:bidi w:val="0"/>
        <w:spacing w:before="40" w:after="40" w:line="240" w:lineRule="auto"/>
        <w:ind w:firstLine="708"/>
        <w:jc w:val="both"/>
        <w:rPr>
          <w:rFonts w:ascii="Times New Roman" w:hAnsi="Times New Roman"/>
          <w:szCs w:val="20"/>
          <w:lang w:eastAsia="sk-SK"/>
        </w:rPr>
      </w:pPr>
      <w:r w:rsidRPr="00732CD8">
        <w:rPr>
          <w:rFonts w:ascii="Times New Roman" w:hAnsi="Times New Roman"/>
          <w:szCs w:val="20"/>
          <w:lang w:eastAsia="sk-SK"/>
        </w:rPr>
        <w:t>SIS v roku 2011 podala 531 žiadostí o použitie ITP,</w:t>
      </w:r>
      <w:r>
        <w:rPr>
          <w:rFonts w:ascii="Times New Roman" w:hAnsi="Times New Roman"/>
          <w:szCs w:val="20"/>
          <w:vertAlign w:val="superscript"/>
          <w:rtl w:val="0"/>
          <w:lang w:eastAsia="sk-SK"/>
        </w:rPr>
        <w:footnoteReference w:id="2"/>
      </w:r>
      <w:r w:rsidRPr="00732CD8">
        <w:rPr>
          <w:rFonts w:ascii="Times New Roman" w:hAnsi="Times New Roman"/>
          <w:szCs w:val="20"/>
          <w:lang w:eastAsia="sk-SK"/>
        </w:rPr>
        <w:t xml:space="preserve"> pričom sudcovia vydali 530 súhlasov na ich použitie a jedna žiadosť SIS bola zamietnutá. Jedna žiadosť nebola z technických príčin realizovaná. </w:t>
      </w:r>
    </w:p>
    <w:p w:rsidR="00732CD8" w:rsidRPr="00732CD8" w:rsidP="00732CD8">
      <w:pPr>
        <w:bidi w:val="0"/>
        <w:spacing w:before="40" w:after="40" w:line="240" w:lineRule="auto"/>
        <w:ind w:firstLine="708"/>
        <w:jc w:val="both"/>
        <w:rPr>
          <w:rFonts w:ascii="Times New Roman" w:hAnsi="Times New Roman"/>
          <w:szCs w:val="20"/>
          <w:lang w:eastAsia="sk-SK"/>
        </w:rPr>
      </w:pPr>
      <w:r w:rsidRPr="00732CD8">
        <w:rPr>
          <w:rFonts w:ascii="Times New Roman" w:hAnsi="Times New Roman"/>
          <w:szCs w:val="20"/>
          <w:lang w:eastAsia="sk-SK"/>
        </w:rPr>
        <w:t>Z realizovaných 529 použití ITP bolo v termíne predloženia správy z hľadiska dosiahnutia zákonom uznaného účelu a cieľa, na ktorý slúži, vyhodnotených 339 prípadov. Zákonom uznaný účel a cieľ bol dosiahnutý pri 299 použitiach ITP a nebol dosiahnutý v 40 prípadoch. K termínu predloženia správy nebolo možné vyhodnotiť zvyšných 190 realizovaných prípadov.</w:t>
      </w:r>
      <w:r>
        <w:rPr>
          <w:rFonts w:ascii="Times New Roman" w:hAnsi="Times New Roman"/>
          <w:szCs w:val="20"/>
          <w:vertAlign w:val="superscript"/>
          <w:rtl w:val="0"/>
          <w:lang w:eastAsia="sk-SK"/>
        </w:rPr>
        <w:footnoteReference w:id="3"/>
      </w:r>
      <w:r w:rsidRPr="00732CD8">
        <w:rPr>
          <w:rFonts w:ascii="Times New Roman" w:hAnsi="Times New Roman"/>
          <w:szCs w:val="20"/>
          <w:lang w:eastAsia="sk-SK"/>
        </w:rPr>
        <w:t xml:space="preserve"> </w:t>
      </w:r>
    </w:p>
    <w:p w:rsidR="00732CD8" w:rsidRPr="00732CD8" w:rsidP="00732CD8">
      <w:pPr>
        <w:bidi w:val="0"/>
        <w:spacing w:before="40" w:after="40" w:line="240" w:lineRule="auto"/>
        <w:ind w:firstLine="708"/>
        <w:jc w:val="both"/>
        <w:rPr>
          <w:rFonts w:ascii="Times New Roman" w:hAnsi="Times New Roman"/>
          <w:szCs w:val="24"/>
          <w:lang w:eastAsia="sk-SK"/>
        </w:rPr>
      </w:pPr>
      <w:r w:rsidRPr="00732CD8">
        <w:rPr>
          <w:rFonts w:ascii="Times New Roman" w:hAnsi="Times New Roman"/>
          <w:szCs w:val="24"/>
          <w:lang w:eastAsia="sk-SK"/>
        </w:rPr>
        <w:t>Použité technické riešenia spolu s prísnymi organizačnými a kontrolnými opatreniami zaručujú kontrolu zákonnosti pri používaní ITP a vylučujú možnosť neoprávneného zásahu do systému odpočúvania, ako aj</w:t>
      </w:r>
      <w:r w:rsidRPr="00732CD8">
        <w:rPr>
          <w:rFonts w:ascii="Times New Roman" w:hAnsi="Times New Roman"/>
          <w:b/>
          <w:szCs w:val="24"/>
          <w:lang w:eastAsia="sk-SK"/>
        </w:rPr>
        <w:t xml:space="preserve"> </w:t>
      </w:r>
      <w:r w:rsidRPr="00732CD8">
        <w:rPr>
          <w:rFonts w:ascii="Times New Roman" w:hAnsi="Times New Roman"/>
          <w:szCs w:val="24"/>
          <w:lang w:eastAsia="sk-SK"/>
        </w:rPr>
        <w:t xml:space="preserve">ukladania a archivovania takýmto spôsobom získaných dát. </w:t>
      </w:r>
    </w:p>
    <w:p w:rsidR="00732CD8" w:rsidRPr="00732CD8" w:rsidP="00732CD8">
      <w:pPr>
        <w:bidi w:val="0"/>
        <w:spacing w:before="40" w:after="40" w:line="240" w:lineRule="auto"/>
        <w:ind w:firstLine="708"/>
        <w:jc w:val="both"/>
        <w:rPr>
          <w:rFonts w:ascii="Times New Roman" w:hAnsi="Times New Roman"/>
          <w:szCs w:val="24"/>
          <w:lang w:eastAsia="sk-SK"/>
        </w:rPr>
      </w:pPr>
    </w:p>
    <w:p w:rsidR="00732CD8" w:rsidRPr="00732CD8" w:rsidP="00732CD8">
      <w:pPr>
        <w:bidi w:val="0"/>
        <w:spacing w:before="40" w:after="40" w:line="240" w:lineRule="auto"/>
        <w:ind w:firstLine="708"/>
        <w:jc w:val="both"/>
        <w:rPr>
          <w:rFonts w:ascii="Times New Roman" w:hAnsi="Times New Roman"/>
          <w:szCs w:val="20"/>
          <w:lang w:eastAsia="sk-SK"/>
        </w:rPr>
      </w:pPr>
      <w:r w:rsidRPr="00732CD8">
        <w:rPr>
          <w:rFonts w:ascii="Times New Roman" w:hAnsi="Times New Roman"/>
          <w:szCs w:val="20"/>
          <w:lang w:eastAsia="sk-SK"/>
        </w:rPr>
        <w:t>V priebehu roka 2011 nedošlo zo strany SIS k žiadnemu prípadu nezákonného použitia ITP.</w:t>
      </w: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bidi w:val="0"/>
        <w:spacing w:before="40" w:after="40" w:line="240" w:lineRule="auto"/>
        <w:ind w:firstLine="708"/>
        <w:jc w:val="both"/>
        <w:rPr>
          <w:rFonts w:ascii="Times New Roman" w:hAnsi="Times New Roman"/>
          <w:szCs w:val="20"/>
          <w:lang w:eastAsia="sk-SK"/>
        </w:rPr>
      </w:pPr>
    </w:p>
    <w:p w:rsidR="00732CD8" w:rsidRPr="00732CD8" w:rsidP="00732CD8">
      <w:pPr>
        <w:bidi w:val="0"/>
        <w:spacing w:before="40" w:after="40" w:line="240" w:lineRule="auto"/>
        <w:jc w:val="both"/>
        <w:rPr>
          <w:rFonts w:ascii="Times New Roman" w:hAnsi="Times New Roman"/>
          <w:b/>
          <w:sz w:val="20"/>
          <w:szCs w:val="20"/>
          <w:lang w:eastAsia="sk-SK"/>
        </w:rPr>
      </w:pPr>
      <w:r w:rsidRPr="00732CD8">
        <w:rPr>
          <w:rFonts w:ascii="Times New Roman" w:hAnsi="Times New Roman"/>
          <w:b/>
          <w:sz w:val="20"/>
          <w:szCs w:val="20"/>
          <w:lang w:eastAsia="sk-SK"/>
        </w:rPr>
        <w:t>Tabuľka: Použitie ITP v roku 2011</w:t>
      </w:r>
    </w:p>
    <w:tbl>
      <w:tblPr>
        <w:tblStyle w:val="TableNorm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26"/>
        <w:gridCol w:w="4819"/>
        <w:gridCol w:w="950"/>
        <w:gridCol w:w="950"/>
        <w:gridCol w:w="950"/>
        <w:gridCol w:w="950"/>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bidi w:val="0"/>
              <w:spacing w:before="40" w:after="40" w:line="240" w:lineRule="auto"/>
              <w:rPr>
                <w:rFonts w:ascii="Times New Roman" w:hAnsi="Times New Roman"/>
                <w:b/>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jc w:val="center"/>
              <w:rPr>
                <w:rFonts w:ascii="Times New Roman" w:hAnsi="Times New Roman"/>
                <w:b/>
                <w:sz w:val="20"/>
                <w:szCs w:val="20"/>
                <w:lang w:eastAsia="sk-SK"/>
              </w:rPr>
            </w:pPr>
            <w:r w:rsidRPr="00732CD8">
              <w:rPr>
                <w:rFonts w:ascii="Times New Roman" w:hAnsi="Times New Roman"/>
                <w:b/>
                <w:sz w:val="20"/>
                <w:szCs w:val="20"/>
                <w:lang w:eastAsia="sk-SK"/>
              </w:rPr>
              <w:t>Obsahový počet</w:t>
            </w:r>
          </w:p>
        </w:tc>
        <w:tc>
          <w:tcPr>
            <w:tcW w:w="950"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jc w:val="center"/>
              <w:rPr>
                <w:rFonts w:ascii="Times New Roman" w:hAnsi="Times New Roman"/>
                <w:b/>
                <w:sz w:val="20"/>
                <w:szCs w:val="20"/>
                <w:lang w:eastAsia="sk-SK"/>
              </w:rPr>
            </w:pPr>
            <w:r w:rsidRPr="00732CD8">
              <w:rPr>
                <w:rFonts w:ascii="Times New Roman" w:hAnsi="Times New Roman"/>
                <w:b/>
                <w:sz w:val="20"/>
                <w:szCs w:val="20"/>
                <w:lang w:eastAsia="sk-SK"/>
              </w:rPr>
              <w:t>§ 2 ods. 1 písm. a)</w:t>
            </w:r>
          </w:p>
        </w:tc>
        <w:tc>
          <w:tcPr>
            <w:tcW w:w="950"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jc w:val="center"/>
              <w:rPr>
                <w:rFonts w:ascii="Times New Roman" w:hAnsi="Times New Roman"/>
                <w:sz w:val="20"/>
                <w:szCs w:val="20"/>
                <w:lang w:eastAsia="sk-SK"/>
              </w:rPr>
            </w:pPr>
            <w:r w:rsidRPr="00732CD8">
              <w:rPr>
                <w:rFonts w:ascii="Times New Roman" w:hAnsi="Times New Roman"/>
                <w:b/>
                <w:sz w:val="20"/>
                <w:szCs w:val="20"/>
                <w:lang w:eastAsia="sk-SK"/>
              </w:rPr>
              <w:t>§ 2 ods. 1 písm. b)</w:t>
            </w:r>
          </w:p>
        </w:tc>
        <w:tc>
          <w:tcPr>
            <w:tcW w:w="950"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jc w:val="center"/>
              <w:rPr>
                <w:rFonts w:ascii="Times New Roman" w:hAnsi="Times New Roman"/>
                <w:b/>
                <w:sz w:val="20"/>
                <w:szCs w:val="20"/>
                <w:lang w:eastAsia="sk-SK"/>
              </w:rPr>
            </w:pPr>
            <w:r w:rsidRPr="00732CD8">
              <w:rPr>
                <w:rFonts w:ascii="Times New Roman" w:hAnsi="Times New Roman"/>
                <w:b/>
                <w:sz w:val="20"/>
                <w:szCs w:val="20"/>
                <w:lang w:eastAsia="sk-SK"/>
              </w:rPr>
              <w:t>§ 2 ods. 1 písm. c)</w:t>
            </w:r>
          </w:p>
        </w:tc>
        <w:tc>
          <w:tcPr>
            <w:tcW w:w="950"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jc w:val="center"/>
              <w:rPr>
                <w:rFonts w:ascii="Times New Roman" w:hAnsi="Times New Roman"/>
                <w:b/>
                <w:sz w:val="20"/>
                <w:szCs w:val="20"/>
                <w:lang w:eastAsia="sk-SK"/>
              </w:rPr>
            </w:pPr>
            <w:r w:rsidRPr="00732CD8">
              <w:rPr>
                <w:rFonts w:ascii="Times New Roman" w:hAnsi="Times New Roman"/>
                <w:b/>
                <w:sz w:val="20"/>
                <w:szCs w:val="20"/>
                <w:lang w:eastAsia="sk-SK"/>
              </w:rPr>
              <w:t>Celkový počet</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sz w:val="20"/>
                <w:szCs w:val="20"/>
                <w:lang w:eastAsia="sk-SK"/>
              </w:rPr>
            </w:pPr>
            <w:r w:rsidRPr="00732CD8">
              <w:rPr>
                <w:rFonts w:ascii="Times New Roman" w:hAnsi="Times New Roman"/>
                <w:b/>
                <w:sz w:val="20"/>
                <w:szCs w:val="20"/>
                <w:lang w:eastAsia="sk-SK"/>
              </w:rPr>
              <w:t>Počet žiadostí na použitie ITP – § 4 ods. 1</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5</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441</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85</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531</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i/>
                <w:sz w:val="20"/>
                <w:szCs w:val="20"/>
                <w:lang w:eastAsia="sk-SK"/>
              </w:rPr>
            </w:pPr>
            <w:r w:rsidRPr="00732CD8">
              <w:rPr>
                <w:rFonts w:ascii="Times New Roman" w:hAnsi="Times New Roman"/>
                <w:b/>
                <w:i/>
                <w:sz w:val="20"/>
                <w:szCs w:val="20"/>
                <w:lang w:eastAsia="sk-SK"/>
              </w:rPr>
              <w:t>z toho:</w:t>
            </w:r>
            <w:r w:rsidRPr="00732CD8">
              <w:rPr>
                <w:rFonts w:ascii="Times New Roman" w:hAnsi="Times New Roman"/>
                <w:i/>
                <w:sz w:val="20"/>
                <w:szCs w:val="20"/>
                <w:lang w:eastAsia="sk-SK"/>
              </w:rPr>
              <w:tab/>
              <w:t>vydané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5</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441</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84</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530</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i/>
                <w:sz w:val="20"/>
                <w:szCs w:val="20"/>
                <w:lang w:eastAsia="sk-SK"/>
              </w:rPr>
            </w:pPr>
            <w:r w:rsidRPr="00732CD8">
              <w:rPr>
                <w:rFonts w:ascii="Times New Roman" w:hAnsi="Times New Roman"/>
                <w:i/>
                <w:sz w:val="20"/>
                <w:szCs w:val="20"/>
                <w:lang w:eastAsia="sk-SK"/>
              </w:rPr>
              <w:tab/>
              <w:t>odmietnuté žiadosti sudcom</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1</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1</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sz w:val="20"/>
                <w:szCs w:val="20"/>
                <w:lang w:eastAsia="sk-SK"/>
              </w:rPr>
            </w:pPr>
            <w:r w:rsidRPr="00732CD8">
              <w:rPr>
                <w:rFonts w:ascii="Times New Roman" w:hAnsi="Times New Roman"/>
                <w:b/>
                <w:sz w:val="20"/>
                <w:szCs w:val="20"/>
                <w:lang w:eastAsia="sk-SK"/>
              </w:rPr>
              <w:t>Počet opakovaných žiadostí* na predĺženie doby použitia ITP v tom istom prípade – § 4 ods. 2</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i/>
                <w:sz w:val="20"/>
                <w:szCs w:val="20"/>
                <w:lang w:eastAsia="sk-SK"/>
              </w:rPr>
            </w:pPr>
            <w:r w:rsidRPr="00732CD8">
              <w:rPr>
                <w:rFonts w:ascii="Times New Roman" w:hAnsi="Times New Roman"/>
                <w:b/>
                <w:i/>
                <w:sz w:val="20"/>
                <w:szCs w:val="20"/>
                <w:lang w:eastAsia="sk-SK"/>
              </w:rPr>
              <w:t>z toho:</w:t>
            </w:r>
            <w:r w:rsidRPr="00732CD8">
              <w:rPr>
                <w:rFonts w:ascii="Times New Roman" w:hAnsi="Times New Roman"/>
                <w:i/>
                <w:sz w:val="20"/>
                <w:szCs w:val="20"/>
                <w:lang w:eastAsia="sk-SK"/>
              </w:rPr>
              <w:tab/>
              <w:t>vydané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i/>
                <w:sz w:val="20"/>
                <w:szCs w:val="20"/>
                <w:lang w:eastAsia="sk-SK"/>
              </w:rPr>
            </w:pPr>
            <w:r w:rsidRPr="00732CD8">
              <w:rPr>
                <w:rFonts w:ascii="Times New Roman" w:hAnsi="Times New Roman"/>
                <w:i/>
                <w:sz w:val="20"/>
                <w:szCs w:val="20"/>
                <w:lang w:eastAsia="sk-SK"/>
              </w:rPr>
              <w:tab/>
              <w:t>odmietnuté žiadosti sudcom</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b/>
                <w:sz w:val="20"/>
                <w:szCs w:val="20"/>
                <w:lang w:eastAsia="sk-SK"/>
              </w:rPr>
            </w:pPr>
            <w:r w:rsidRPr="00732CD8">
              <w:rPr>
                <w:rFonts w:ascii="Times New Roman" w:hAnsi="Times New Roman"/>
                <w:b/>
                <w:sz w:val="20"/>
                <w:szCs w:val="20"/>
                <w:lang w:eastAsia="sk-SK"/>
              </w:rPr>
              <w:t>Počet prípadov použitia ITP v zmysle</w:t>
              <w:br/>
              <w:t xml:space="preserve">§ 5 ods. </w:t>
            </w:r>
            <w:smartTag w:uri="urn:schemas-microsoft-com:office:smarttags" w:element="metricconverter">
              <w:smartTagPr>
                <w:attr w:name="ProductID" w:val="1 a"/>
              </w:smartTagPr>
              <w:r w:rsidRPr="00732CD8">
                <w:rPr>
                  <w:rFonts w:ascii="Times New Roman" w:hAnsi="Times New Roman"/>
                  <w:b/>
                  <w:sz w:val="20"/>
                  <w:szCs w:val="20"/>
                  <w:lang w:eastAsia="sk-SK"/>
                </w:rPr>
                <w:t>1 a</w:t>
              </w:r>
            </w:smartTag>
            <w:r w:rsidRPr="00732CD8">
              <w:rPr>
                <w:rFonts w:ascii="Times New Roman" w:hAnsi="Times New Roman"/>
                <w:b/>
                <w:sz w:val="20"/>
                <w:szCs w:val="20"/>
                <w:lang w:eastAsia="sk-SK"/>
              </w:rPr>
              <w:t xml:space="preserve"> 2 – dodatočné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i/>
                <w:sz w:val="20"/>
                <w:szCs w:val="20"/>
                <w:lang w:eastAsia="sk-SK"/>
              </w:rPr>
            </w:pPr>
            <w:r w:rsidRPr="00732CD8">
              <w:rPr>
                <w:rFonts w:ascii="Times New Roman" w:hAnsi="Times New Roman"/>
                <w:b/>
                <w:i/>
                <w:sz w:val="20"/>
                <w:szCs w:val="20"/>
                <w:lang w:eastAsia="sk-SK"/>
              </w:rPr>
              <w:t>z toho:</w:t>
            </w:r>
            <w:r w:rsidRPr="00732CD8">
              <w:rPr>
                <w:rFonts w:ascii="Times New Roman" w:hAnsi="Times New Roman"/>
                <w:i/>
                <w:sz w:val="20"/>
                <w:szCs w:val="20"/>
                <w:lang w:eastAsia="sk-SK"/>
              </w:rPr>
              <w:tab/>
              <w:t>vydané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i/>
                <w:sz w:val="20"/>
                <w:szCs w:val="20"/>
                <w:lang w:eastAsia="sk-SK"/>
              </w:rPr>
            </w:pPr>
            <w:r w:rsidRPr="00732CD8">
              <w:rPr>
                <w:rFonts w:ascii="Times New Roman" w:hAnsi="Times New Roman"/>
                <w:i/>
                <w:sz w:val="20"/>
                <w:szCs w:val="20"/>
                <w:lang w:eastAsia="sk-SK"/>
              </w:rPr>
              <w:tab/>
              <w:t>odmietnuté žiadosti sudcom</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b/>
                <w:sz w:val="20"/>
                <w:szCs w:val="20"/>
                <w:lang w:eastAsia="sk-SK"/>
              </w:rPr>
            </w:pPr>
            <w:r w:rsidRPr="00732CD8">
              <w:rPr>
                <w:rFonts w:ascii="Times New Roman" w:hAnsi="Times New Roman"/>
                <w:b/>
                <w:sz w:val="20"/>
                <w:szCs w:val="20"/>
                <w:lang w:eastAsia="sk-SK"/>
              </w:rPr>
              <w:t>Počet ITP, u ktorých bol dosiahnutý zákonom uznaný účel a cieľ</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3</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247</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49</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299</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b/>
                <w:sz w:val="20"/>
                <w:szCs w:val="20"/>
                <w:lang w:eastAsia="sk-SK"/>
              </w:rPr>
            </w:pPr>
            <w:r w:rsidRPr="00732CD8">
              <w:rPr>
                <w:rFonts w:ascii="Times New Roman" w:hAnsi="Times New Roman"/>
                <w:b/>
                <w:sz w:val="20"/>
                <w:szCs w:val="20"/>
                <w:lang w:eastAsia="sk-SK"/>
              </w:rPr>
              <w:t>Počet ITP, u ktorých nebol dosiahnutý zákonom uznaný účel a cieľ</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1</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26</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13</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40</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b/>
                <w:sz w:val="20"/>
                <w:szCs w:val="20"/>
                <w:lang w:eastAsia="sk-SK"/>
              </w:rPr>
            </w:pPr>
            <w:r w:rsidRPr="00732CD8">
              <w:rPr>
                <w:rFonts w:ascii="Times New Roman" w:hAnsi="Times New Roman"/>
                <w:b/>
                <w:sz w:val="20"/>
                <w:szCs w:val="20"/>
                <w:lang w:eastAsia="sk-SK"/>
              </w:rPr>
              <w:t>Počty prípadov použitia ITP, z ktorých boli informácie použité ako dôkaz v trestnom konaní***</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b/>
                <w:sz w:val="20"/>
                <w:szCs w:val="20"/>
                <w:lang w:eastAsia="sk-SK"/>
              </w:rPr>
            </w:pPr>
            <w:r w:rsidRPr="00732CD8">
              <w:rPr>
                <w:rFonts w:ascii="Times New Roman" w:hAnsi="Times New Roman"/>
                <w:b/>
                <w:sz w:val="20"/>
                <w:szCs w:val="20"/>
                <w:lang w:eastAsia="sk-SK"/>
              </w:rPr>
              <w:t>Počet prípadov nezákonného použitia ITP</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b/>
                <w:sz w:val="20"/>
                <w:szCs w:val="20"/>
                <w:lang w:eastAsia="sk-SK"/>
              </w:rPr>
            </w:pPr>
            <w:r w:rsidRPr="00732CD8">
              <w:rPr>
                <w:rFonts w:ascii="Times New Roman" w:hAnsi="Times New Roman"/>
                <w:b/>
                <w:sz w:val="20"/>
                <w:szCs w:val="20"/>
                <w:lang w:eastAsia="sk-SK"/>
              </w:rPr>
              <w:t>Celkový počet žiadostí na použitie ITP</w:t>
              <w:br/>
            </w:r>
            <w:r w:rsidRPr="00732CD8">
              <w:rPr>
                <w:rFonts w:ascii="Times New Roman" w:hAnsi="Times New Roman"/>
                <w:i/>
                <w:sz w:val="20"/>
                <w:szCs w:val="20"/>
                <w:lang w:eastAsia="sk-SK"/>
              </w:rPr>
              <w:t>súčet r. 1+4+7</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5</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441</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85</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531</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b/>
                <w:sz w:val="20"/>
                <w:szCs w:val="20"/>
                <w:lang w:eastAsia="sk-SK"/>
              </w:rPr>
            </w:pPr>
            <w:r w:rsidRPr="00732CD8">
              <w:rPr>
                <w:rFonts w:ascii="Times New Roman" w:hAnsi="Times New Roman"/>
                <w:b/>
                <w:sz w:val="20"/>
                <w:szCs w:val="20"/>
                <w:lang w:eastAsia="sk-SK"/>
              </w:rPr>
              <w:t>Celkový počet vydaných súhlasov</w:t>
              <w:br/>
            </w:r>
            <w:r w:rsidRPr="00732CD8">
              <w:rPr>
                <w:rFonts w:ascii="Times New Roman" w:hAnsi="Times New Roman"/>
                <w:i/>
                <w:sz w:val="20"/>
                <w:szCs w:val="20"/>
                <w:lang w:eastAsia="sk-SK"/>
              </w:rPr>
              <w:t>súčet r. 2+5+8</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5</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441</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84</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530</w:t>
            </w:r>
          </w:p>
        </w:tc>
      </w:tr>
      <w:tr>
        <w:tblPrEx>
          <w:tblW w:w="0" w:type="auto"/>
          <w:tblInd w:w="70" w:type="dxa"/>
          <w:tblLayout w:type="fixed"/>
          <w:tblCellMar>
            <w:left w:w="7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numPr>
                <w:ilvl w:val="0"/>
                <w:numId w:val="15"/>
              </w:numPr>
              <w:bidi w:val="0"/>
              <w:spacing w:before="40" w:after="40" w:line="240" w:lineRule="auto"/>
              <w:ind w:left="360"/>
              <w:rPr>
                <w:rFonts w:ascii="Times New Roman" w:hAnsi="Times New Roman"/>
                <w:sz w:val="20"/>
                <w:szCs w:val="20"/>
                <w:lang w:eastAsia="sk-SK"/>
              </w:rPr>
            </w:pPr>
          </w:p>
        </w:tc>
        <w:tc>
          <w:tcPr>
            <w:tcW w:w="4819"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before="40" w:after="40" w:line="240" w:lineRule="auto"/>
              <w:rPr>
                <w:rFonts w:ascii="Times New Roman" w:hAnsi="Times New Roman"/>
                <w:b/>
                <w:sz w:val="20"/>
                <w:szCs w:val="20"/>
                <w:lang w:eastAsia="sk-SK"/>
              </w:rPr>
            </w:pPr>
            <w:r w:rsidRPr="00732CD8">
              <w:rPr>
                <w:rFonts w:ascii="Times New Roman" w:hAnsi="Times New Roman"/>
                <w:b/>
                <w:sz w:val="20"/>
                <w:szCs w:val="20"/>
                <w:lang w:eastAsia="sk-SK"/>
              </w:rPr>
              <w:t>Celkový počet odmietnutých žiadostí</w:t>
              <w:br/>
            </w:r>
            <w:r w:rsidRPr="00732CD8">
              <w:rPr>
                <w:rFonts w:ascii="Times New Roman" w:hAnsi="Times New Roman"/>
                <w:i/>
                <w:sz w:val="20"/>
                <w:szCs w:val="20"/>
                <w:lang w:eastAsia="sk-SK"/>
              </w:rPr>
              <w:t>súčet r. 3+6+9</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1</w:t>
            </w:r>
          </w:p>
        </w:tc>
        <w:tc>
          <w:tcPr>
            <w:tcW w:w="950"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keepNext/>
              <w:keepLines/>
              <w:autoSpaceDE w:val="0"/>
              <w:autoSpaceDN w:val="0"/>
              <w:bidi w:val="0"/>
              <w:adjustRightInd w:val="0"/>
              <w:spacing w:before="40" w:after="40" w:line="240" w:lineRule="auto"/>
              <w:jc w:val="center"/>
              <w:rPr>
                <w:rFonts w:ascii="Times New Roman" w:hAnsi="Times New Roman"/>
                <w:sz w:val="20"/>
                <w:szCs w:val="20"/>
                <w:lang w:eastAsia="sk-SK"/>
              </w:rPr>
            </w:pPr>
            <w:r w:rsidRPr="00732CD8">
              <w:rPr>
                <w:rFonts w:ascii="Times New Roman" w:hAnsi="Times New Roman"/>
                <w:sz w:val="20"/>
                <w:szCs w:val="20"/>
                <w:lang w:eastAsia="sk-SK"/>
              </w:rPr>
              <w:t>1</w:t>
            </w:r>
          </w:p>
        </w:tc>
      </w:tr>
    </w:tbl>
    <w:p w:rsidR="00732CD8" w:rsidRPr="00732CD8" w:rsidP="00732CD8">
      <w:pPr>
        <w:bidi w:val="0"/>
        <w:spacing w:before="40" w:after="0" w:line="240" w:lineRule="auto"/>
        <w:ind w:left="284" w:hanging="284"/>
        <w:rPr>
          <w:rFonts w:ascii="Times New Roman" w:hAnsi="Times New Roman"/>
          <w:sz w:val="20"/>
          <w:szCs w:val="20"/>
          <w:lang w:eastAsia="sk-SK"/>
        </w:rPr>
      </w:pPr>
    </w:p>
    <w:p w:rsidR="00732CD8" w:rsidRPr="00732CD8" w:rsidP="00732CD8">
      <w:pPr>
        <w:bidi w:val="0"/>
        <w:spacing w:before="40" w:after="0" w:line="240" w:lineRule="auto"/>
        <w:ind w:left="284" w:hanging="284"/>
        <w:jc w:val="both"/>
        <w:rPr>
          <w:rFonts w:ascii="Times New Roman" w:hAnsi="Times New Roman"/>
          <w:sz w:val="20"/>
          <w:szCs w:val="20"/>
          <w:lang w:eastAsia="sk-SK"/>
        </w:rPr>
      </w:pPr>
      <w:r w:rsidRPr="00732CD8">
        <w:rPr>
          <w:rFonts w:ascii="Times New Roman" w:hAnsi="Times New Roman"/>
          <w:sz w:val="20"/>
          <w:szCs w:val="20"/>
          <w:lang w:eastAsia="sk-SK"/>
        </w:rPr>
        <w:t>Vysvetlivky:</w:t>
      </w:r>
    </w:p>
    <w:p w:rsidR="00732CD8" w:rsidRPr="00732CD8" w:rsidP="00732CD8">
      <w:pPr>
        <w:bidi w:val="0"/>
        <w:spacing w:after="0" w:line="240" w:lineRule="auto"/>
        <w:ind w:left="284" w:right="1" w:hanging="284"/>
        <w:jc w:val="both"/>
        <w:rPr>
          <w:rFonts w:ascii="Times New Roman" w:hAnsi="Times New Roman"/>
          <w:sz w:val="20"/>
          <w:szCs w:val="20"/>
          <w:lang w:eastAsia="sk-SK"/>
        </w:rPr>
      </w:pPr>
      <w:r w:rsidRPr="00732CD8">
        <w:rPr>
          <w:rFonts w:ascii="Times New Roman" w:hAnsi="Times New Roman"/>
          <w:sz w:val="20"/>
          <w:szCs w:val="20"/>
          <w:lang w:eastAsia="sk-SK"/>
        </w:rPr>
        <w:t>*</w:t>
        <w:tab/>
        <w:t>Každá žiadosť o použitie ITP, vrátane žiadosti o predĺženie lehoty použitia ITP sa eviduje samostatne.</w:t>
      </w:r>
    </w:p>
    <w:p w:rsidR="00732CD8" w:rsidRPr="00732CD8" w:rsidP="00732CD8">
      <w:pPr>
        <w:bidi w:val="0"/>
        <w:spacing w:after="0" w:line="240" w:lineRule="auto"/>
        <w:ind w:left="284" w:right="1" w:hanging="284"/>
        <w:jc w:val="both"/>
        <w:rPr>
          <w:rFonts w:ascii="Times New Roman" w:hAnsi="Times New Roman"/>
          <w:sz w:val="20"/>
          <w:szCs w:val="20"/>
          <w:lang w:eastAsia="sk-SK"/>
        </w:rPr>
      </w:pPr>
      <w:r w:rsidRPr="00732CD8">
        <w:rPr>
          <w:rFonts w:ascii="Times New Roman" w:hAnsi="Times New Roman"/>
          <w:sz w:val="20"/>
          <w:szCs w:val="20"/>
          <w:lang w:eastAsia="sk-SK"/>
        </w:rPr>
        <w:t>**</w:t>
        <w:tab/>
        <w:t>SIS nemá oprávnenie použiť ITP bez predchádzajúceho súhlasu sudcu, touto kompetenciou disponuje iba Policajný zbor.</w:t>
      </w:r>
    </w:p>
    <w:p w:rsidR="00732CD8" w:rsidRPr="00732CD8" w:rsidP="00732CD8">
      <w:pPr>
        <w:bidi w:val="0"/>
        <w:spacing w:after="0" w:line="240" w:lineRule="auto"/>
        <w:ind w:left="284" w:right="1" w:hanging="284"/>
        <w:jc w:val="both"/>
        <w:rPr>
          <w:rFonts w:ascii="Times New Roman" w:hAnsi="Times New Roman"/>
          <w:sz w:val="20"/>
          <w:szCs w:val="20"/>
          <w:lang w:eastAsia="sk-SK"/>
        </w:rPr>
      </w:pPr>
      <w:r w:rsidRPr="00732CD8">
        <w:rPr>
          <w:rFonts w:ascii="Times New Roman" w:hAnsi="Times New Roman"/>
          <w:sz w:val="20"/>
          <w:szCs w:val="20"/>
          <w:lang w:eastAsia="sk-SK"/>
        </w:rPr>
        <w:t>***</w:t>
        <w:tab/>
        <w:t>Zmyslom použitia ITP Slovenskou informačnou službou nie je primárne využitie získaných poznatkov v trestnom konaní, keďže SIS podľa právneho poriadku Slovenskej republiky nie je orgánom činným v trestnom konaní. Výsledky použitia ITP odstupuje SIS orgánom činným v trestnom konaní za účelom ďalšieho využitia.</w:t>
      </w:r>
    </w:p>
    <w:p w:rsidR="00732CD8" w:rsidRPr="00732CD8" w:rsidP="00732CD8">
      <w:pPr>
        <w:bidi w:val="0"/>
        <w:spacing w:after="0" w:line="240" w:lineRule="auto"/>
        <w:ind w:left="284" w:right="993" w:hanging="284"/>
        <w:jc w:val="both"/>
        <w:rPr>
          <w:rFonts w:ascii="Times New Roman" w:hAnsi="Times New Roman"/>
          <w:color w:val="000080"/>
          <w:sz w:val="20"/>
          <w:szCs w:val="20"/>
          <w:lang w:eastAsia="sk-SK"/>
        </w:rPr>
      </w:pPr>
    </w:p>
    <w:p w:rsidR="00732CD8" w:rsidRPr="00732CD8" w:rsidP="00732CD8">
      <w:pPr>
        <w:bidi w:val="0"/>
        <w:spacing w:before="40" w:after="40" w:line="240" w:lineRule="auto"/>
        <w:rPr>
          <w:rFonts w:ascii="Times New Roman" w:hAnsi="Times New Roman"/>
          <w:szCs w:val="20"/>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color w:val="FF0000"/>
          <w:szCs w:val="24"/>
          <w:lang w:eastAsia="sk-SK"/>
        </w:rPr>
      </w:pPr>
    </w:p>
    <w:p w:rsidR="00732CD8" w:rsidRPr="00732CD8" w:rsidP="00732CD8">
      <w:pPr>
        <w:numPr>
          <w:numId w:val="14"/>
        </w:numPr>
        <w:bidi w:val="0"/>
        <w:spacing w:after="0" w:line="240" w:lineRule="auto"/>
        <w:rPr>
          <w:rFonts w:ascii="Times New Roman" w:hAnsi="Times New Roman"/>
          <w:sz w:val="28"/>
          <w:szCs w:val="28"/>
          <w:u w:val="single"/>
          <w:lang w:eastAsia="sk-SK"/>
        </w:rPr>
      </w:pPr>
      <w:r w:rsidRPr="00732CD8">
        <w:rPr>
          <w:rFonts w:ascii="Times New Roman" w:hAnsi="Times New Roman"/>
          <w:sz w:val="28"/>
          <w:szCs w:val="28"/>
          <w:u w:val="single"/>
          <w:lang w:eastAsia="sk-SK"/>
        </w:rPr>
        <w:t>Použitie informačno-technických prostriedkov v pôsobnosti</w:t>
      </w:r>
      <w:r w:rsidRPr="00732CD8">
        <w:rPr>
          <w:rFonts w:ascii="Times New Roman" w:hAnsi="Times New Roman"/>
          <w:b/>
          <w:sz w:val="28"/>
          <w:szCs w:val="28"/>
          <w:u w:val="single"/>
          <w:lang w:eastAsia="sk-SK"/>
        </w:rPr>
        <w:t xml:space="preserve">   </w:t>
      </w:r>
    </w:p>
    <w:p w:rsidR="00732CD8" w:rsidRPr="00732CD8" w:rsidP="00732CD8">
      <w:pPr>
        <w:bidi w:val="0"/>
        <w:spacing w:after="0" w:line="240" w:lineRule="auto"/>
        <w:ind w:left="720"/>
        <w:rPr>
          <w:rFonts w:ascii="Times New Roman" w:hAnsi="Times New Roman"/>
          <w:sz w:val="28"/>
          <w:szCs w:val="28"/>
          <w:u w:val="single"/>
          <w:lang w:eastAsia="sk-SK"/>
        </w:rPr>
      </w:pPr>
      <w:r w:rsidRPr="00732CD8">
        <w:rPr>
          <w:rFonts w:ascii="Times New Roman" w:hAnsi="Times New Roman"/>
          <w:b/>
          <w:sz w:val="28"/>
          <w:szCs w:val="28"/>
          <w:u w:val="single"/>
          <w:lang w:eastAsia="sk-SK"/>
        </w:rPr>
        <w:t xml:space="preserve">Policajného zboru SR  </w:t>
      </w:r>
      <w:r w:rsidRPr="00732CD8">
        <w:rPr>
          <w:rFonts w:ascii="Times New Roman" w:hAnsi="Times New Roman"/>
          <w:sz w:val="28"/>
          <w:szCs w:val="28"/>
          <w:u w:val="single"/>
          <w:lang w:eastAsia="sk-SK"/>
        </w:rPr>
        <w:t>za rok 2011</w:t>
      </w:r>
    </w:p>
    <w:p w:rsidR="00732CD8" w:rsidRPr="00732CD8" w:rsidP="00732CD8">
      <w:pPr>
        <w:bidi w:val="0"/>
        <w:spacing w:after="0" w:line="240" w:lineRule="auto"/>
        <w:ind w:left="720"/>
        <w:rPr>
          <w:rFonts w:ascii="Times New Roman" w:hAnsi="Times New Roman"/>
          <w:color w:val="FF0000"/>
          <w:sz w:val="28"/>
          <w:szCs w:val="28"/>
          <w:u w:val="single"/>
          <w:lang w:eastAsia="sk-SK"/>
        </w:rPr>
      </w:pPr>
    </w:p>
    <w:p w:rsidR="00732CD8" w:rsidRPr="00732CD8" w:rsidP="00732CD8">
      <w:pPr>
        <w:tabs>
          <w:tab w:val="left" w:pos="0"/>
        </w:tabs>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ab/>
        <w:t>Policajný zbor podľa § 2 zákona č. 166/2003 Z. z. o ochrane pred odpočúvaním pôsobí jednak ako orgán štátu, ktorý je oprávnený používať ITP, a aj ako subjekt, ktorý po predložení písomného súhlasu zákonného sudcu technicky zabezpečuje používanie ITP aj pre iné orgány štátu (Colná správa, Vojenské spravodajstvo, Zbor väzenskej a justičnej stráže).</w:t>
      </w:r>
    </w:p>
    <w:p w:rsidR="00732CD8" w:rsidRPr="00732CD8" w:rsidP="00732CD8">
      <w:pPr>
        <w:tabs>
          <w:tab w:val="left" w:pos="0"/>
        </w:tabs>
        <w:bidi w:val="0"/>
        <w:spacing w:after="0" w:line="240" w:lineRule="auto"/>
        <w:jc w:val="both"/>
        <w:rPr>
          <w:rFonts w:ascii="Times New Roman" w:hAnsi="Times New Roman"/>
          <w:szCs w:val="24"/>
          <w:lang w:eastAsia="cs-CZ"/>
        </w:rPr>
      </w:pP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ab/>
        <w:t>Nasledujúca informácia obsahuje prípady použitia ITP, kedy žiadateľom o použitie ITP bol iba Policajný zbor a neobsahuje údaje o prípadoch, pri ktorých bol žiadateľom o ich použitie iný orgán štátu, ani prípady použitia ITP podľa Trestného poriadku.</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ab/>
        <w:t>Jednotlivé žiadosti na použitie ITP podľa zákona č. 166/2003 Z. z. o ochrane  pred odpočúvaním  sa  v roku 2011 realizovali takto:</w:t>
      </w: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7"/>
          <w:tab w:val="right" w:pos="8509"/>
        </w:tabs>
        <w:bidi w:val="0"/>
        <w:spacing w:after="0" w:line="240" w:lineRule="auto"/>
        <w:ind w:left="303" w:hanging="303"/>
        <w:jc w:val="both"/>
        <w:rPr>
          <w:rFonts w:ascii="Times New Roman" w:hAnsi="Times New Roman"/>
          <w:szCs w:val="24"/>
          <w:lang w:eastAsia="cs-CZ"/>
        </w:rPr>
      </w:pPr>
      <w:r w:rsidRPr="00732CD8">
        <w:rPr>
          <w:rFonts w:ascii="Times New Roman" w:hAnsi="Times New Roman"/>
          <w:szCs w:val="24"/>
          <w:lang w:eastAsia="cs-CZ"/>
        </w:rPr>
        <w:t>1. Podľa § 4 ods. 1 bolo uplatnených 1719 žiadostí na použitie ITP, pričom zákonný sudca                   udelil súhlas v 1681  prípadoch a v 38 prípadoch nevydal súhlas na použitie ITP.</w:t>
      </w: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ind w:left="303" w:hanging="303"/>
        <w:jc w:val="both"/>
        <w:rPr>
          <w:rFonts w:ascii="Times New Roman" w:hAnsi="Times New Roman"/>
          <w:szCs w:val="24"/>
          <w:lang w:eastAsia="cs-CZ"/>
        </w:rPr>
      </w:pPr>
      <w:r w:rsidRPr="00732CD8">
        <w:rPr>
          <w:rFonts w:ascii="Times New Roman" w:hAnsi="Times New Roman"/>
          <w:szCs w:val="24"/>
          <w:lang w:eastAsia="cs-CZ"/>
        </w:rPr>
        <w:t>2. Opakované žiadosti o predĺženie doby použitia ITP podľa § 4 ods. 2 boli predložené v 91         prípadoch, súhlas na použitie ITP bol vydaný v 88 prípadoch a v 3 prípade súhlas na použitie ITP vydaný nebol.</w:t>
      </w: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ind w:left="303" w:hanging="303"/>
        <w:jc w:val="both"/>
        <w:rPr>
          <w:rFonts w:ascii="Times New Roman" w:hAnsi="Times New Roman"/>
          <w:szCs w:val="24"/>
          <w:lang w:eastAsia="cs-CZ"/>
        </w:rPr>
      </w:pPr>
      <w:r w:rsidRPr="00732CD8">
        <w:rPr>
          <w:rFonts w:ascii="Times New Roman" w:hAnsi="Times New Roman"/>
          <w:szCs w:val="24"/>
          <w:lang w:eastAsia="cs-CZ"/>
        </w:rPr>
        <w:t>3. Žiadosti o dodatočný súhlas zákonného sudcu vo výnimočnom prípade, keď vec neznesie odklad podľa § 5 ods. 1 a 2 boli predložené v 8 prípadoch, pričom zákonný sudca udelil súhlas vo všetkých prípadoch.</w:t>
      </w: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ind w:left="303" w:hanging="303"/>
        <w:jc w:val="both"/>
        <w:rPr>
          <w:rFonts w:ascii="Times New Roman" w:hAnsi="Times New Roman"/>
          <w:szCs w:val="24"/>
          <w:lang w:eastAsia="cs-CZ"/>
        </w:rPr>
      </w:pPr>
      <w:r w:rsidRPr="00732CD8">
        <w:rPr>
          <w:rFonts w:ascii="Times New Roman" w:hAnsi="Times New Roman"/>
          <w:szCs w:val="24"/>
          <w:lang w:eastAsia="cs-CZ"/>
        </w:rPr>
        <w:t xml:space="preserve">4. Dosiahnutý zákonom uznaný účel a cieľ použitia ITP podľa § </w:t>
      </w:r>
      <w:smartTag w:uri="urn:schemas-microsoft-com:office:smarttags" w:element="metricconverter">
        <w:smartTagPr>
          <w:attr w:name="ProductID" w:val="3 a"/>
        </w:smartTagPr>
        <w:r w:rsidRPr="00732CD8">
          <w:rPr>
            <w:rFonts w:ascii="Times New Roman" w:hAnsi="Times New Roman"/>
            <w:szCs w:val="24"/>
            <w:lang w:eastAsia="cs-CZ"/>
          </w:rPr>
          <w:t>3 a</w:t>
        </w:r>
      </w:smartTag>
      <w:r w:rsidRPr="00732CD8">
        <w:rPr>
          <w:rFonts w:ascii="Times New Roman" w:hAnsi="Times New Roman"/>
          <w:szCs w:val="24"/>
          <w:lang w:eastAsia="cs-CZ"/>
        </w:rPr>
        <w:t xml:space="preserve"> § 7 bol v 1527 prípadoch a v 250 prípadoch nebol tento účel a cieľ dosiahnutý.</w:t>
      </w: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303"/>
          <w:tab w:val="left" w:pos="708"/>
          <w:tab w:val="right" w:pos="8509"/>
        </w:tabs>
        <w:bidi w:val="0"/>
        <w:spacing w:after="0" w:line="240" w:lineRule="auto"/>
        <w:ind w:left="303" w:hanging="303"/>
        <w:jc w:val="both"/>
        <w:rPr>
          <w:rFonts w:ascii="Times New Roman" w:hAnsi="Times New Roman"/>
          <w:szCs w:val="24"/>
          <w:lang w:eastAsia="cs-CZ"/>
        </w:rPr>
      </w:pPr>
      <w:r w:rsidRPr="00732CD8">
        <w:rPr>
          <w:rFonts w:ascii="Times New Roman" w:hAnsi="Times New Roman"/>
          <w:szCs w:val="24"/>
          <w:lang w:eastAsia="cs-CZ"/>
        </w:rPr>
        <w:t>5. Informácie získané použitím ITP boli využité ako dôkaz v trestnom konaní v 77 prípadoch. Výsledky využitia informácií získaných použitím ITP v jednotlivých prípadoch sú u oprávnených žiadateľov.</w:t>
      </w: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6. Nezákonné použitie ITP Policajným zborom sa v roku 2011 nezistilo.</w:t>
      </w: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ab/>
        <w:t xml:space="preserve"> </w:t>
      </w:r>
    </w:p>
    <w:p w:rsidR="00732CD8" w:rsidRPr="00732CD8" w:rsidP="00732CD8">
      <w:pPr>
        <w:tabs>
          <w:tab w:val="left" w:pos="0"/>
          <w:tab w:val="right" w:pos="8509"/>
        </w:tabs>
        <w:bidi w:val="0"/>
        <w:spacing w:after="0" w:line="240" w:lineRule="auto"/>
        <w:ind w:hanging="101"/>
        <w:jc w:val="both"/>
        <w:rPr>
          <w:rFonts w:ascii="Times New Roman" w:hAnsi="Times New Roman"/>
          <w:szCs w:val="24"/>
          <w:lang w:eastAsia="cs-CZ"/>
        </w:rPr>
      </w:pPr>
      <w:r w:rsidRPr="00732CD8">
        <w:rPr>
          <w:rFonts w:ascii="Times New Roman" w:hAnsi="Times New Roman"/>
          <w:szCs w:val="24"/>
          <w:lang w:eastAsia="cs-CZ"/>
        </w:rPr>
        <w:tab/>
        <w:tab/>
        <w:t xml:space="preserve">      Podrobnejší prehľad o počte realizovaných prípadov použitia ITP v členení podľa § 2    ods. 1 písm. a), b), c) je uvedený v priloženej tabuľke.</w:t>
      </w: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240" w:lineRule="auto"/>
        <w:jc w:val="both"/>
        <w:rPr>
          <w:rFonts w:ascii="Times New Roman" w:hAnsi="Times New Roman"/>
          <w:szCs w:val="24"/>
          <w:lang w:eastAsia="cs-CZ"/>
        </w:rPr>
      </w:pPr>
    </w:p>
    <w:p w:rsidR="00732CD8" w:rsidRPr="00732CD8" w:rsidP="00732CD8">
      <w:pPr>
        <w:tabs>
          <w:tab w:val="left" w:pos="708"/>
          <w:tab w:val="right" w:pos="8509"/>
        </w:tabs>
        <w:bidi w:val="0"/>
        <w:spacing w:after="0" w:line="360" w:lineRule="auto"/>
        <w:jc w:val="both"/>
        <w:rPr>
          <w:rFonts w:ascii="Times New Roman" w:hAnsi="Times New Roman"/>
          <w:szCs w:val="24"/>
          <w:lang w:eastAsia="cs-CZ"/>
        </w:rPr>
      </w:pPr>
    </w:p>
    <w:p w:rsidR="00732CD8" w:rsidRPr="00732CD8" w:rsidP="00732CD8">
      <w:pPr>
        <w:tabs>
          <w:tab w:val="left" w:pos="5757"/>
        </w:tabs>
        <w:bidi w:val="0"/>
        <w:spacing w:after="0" w:line="240" w:lineRule="auto"/>
        <w:rPr>
          <w:rFonts w:ascii="Times New Roman" w:hAnsi="Times New Roman"/>
          <w:bCs/>
          <w:szCs w:val="24"/>
          <w:lang w:eastAsia="cs-CZ"/>
        </w:rPr>
      </w:pPr>
      <w:r w:rsidRPr="00732CD8">
        <w:rPr>
          <w:rFonts w:ascii="Times New Roman" w:hAnsi="Times New Roman"/>
          <w:bCs/>
          <w:szCs w:val="24"/>
          <w:lang w:eastAsia="cs-CZ"/>
        </w:rPr>
        <w:t xml:space="preserve"> </w:t>
      </w:r>
    </w:p>
    <w:p w:rsidR="00732CD8" w:rsidRPr="00732CD8" w:rsidP="00732CD8">
      <w:pPr>
        <w:bidi w:val="0"/>
        <w:spacing w:after="0" w:line="240" w:lineRule="auto"/>
        <w:rPr>
          <w:rFonts w:ascii="Times New Roman" w:hAnsi="Times New Roman"/>
          <w:b/>
          <w:sz w:val="28"/>
          <w:szCs w:val="28"/>
          <w:lang w:eastAsia="cs-CZ"/>
        </w:rPr>
      </w:pPr>
      <w:r w:rsidRPr="00732CD8">
        <w:rPr>
          <w:rFonts w:ascii="Times New Roman" w:hAnsi="Times New Roman"/>
          <w:b/>
          <w:sz w:val="28"/>
          <w:szCs w:val="28"/>
          <w:lang w:eastAsia="cs-CZ"/>
        </w:rPr>
        <w:t xml:space="preserve">    Štatistický  prehľad  o  použití  informačno - technických  prostriedkov</w:t>
      </w:r>
    </w:p>
    <w:p w:rsidR="00732CD8" w:rsidRPr="00732CD8" w:rsidP="00732CD8">
      <w:pPr>
        <w:bidi w:val="0"/>
        <w:spacing w:after="0" w:line="240" w:lineRule="auto"/>
        <w:jc w:val="center"/>
        <w:rPr>
          <w:rFonts w:ascii="Times New Roman" w:hAnsi="Times New Roman"/>
          <w:b/>
          <w:sz w:val="28"/>
          <w:szCs w:val="28"/>
          <w:lang w:eastAsia="cs-CZ"/>
        </w:rPr>
      </w:pPr>
      <w:r w:rsidRPr="00732CD8">
        <w:rPr>
          <w:rFonts w:ascii="Times New Roman" w:hAnsi="Times New Roman"/>
          <w:b/>
          <w:sz w:val="28"/>
          <w:szCs w:val="28"/>
          <w:lang w:eastAsia="cs-CZ"/>
        </w:rPr>
        <w:t xml:space="preserve">za obdobie roku 2011 v pôsobnosti Policajného zboru </w:t>
      </w:r>
    </w:p>
    <w:p w:rsidR="00732CD8" w:rsidRPr="00732CD8" w:rsidP="00732CD8">
      <w:pPr>
        <w:bidi w:val="0"/>
        <w:spacing w:after="0" w:line="240" w:lineRule="auto"/>
        <w:jc w:val="center"/>
        <w:rPr>
          <w:rFonts w:ascii="Times New Roman" w:hAnsi="Times New Roman"/>
          <w:b/>
          <w:sz w:val="28"/>
          <w:szCs w:val="28"/>
          <w:lang w:eastAsia="cs-CZ"/>
        </w:rPr>
      </w:pPr>
    </w:p>
    <w:p w:rsidR="00732CD8" w:rsidRPr="00732CD8" w:rsidP="00732CD8">
      <w:pPr>
        <w:bidi w:val="0"/>
        <w:spacing w:after="0" w:line="240" w:lineRule="auto"/>
        <w:jc w:val="center"/>
        <w:rPr>
          <w:rFonts w:ascii="Times New Roman" w:hAnsi="Times New Roman"/>
          <w:b/>
          <w:sz w:val="28"/>
          <w:szCs w:val="28"/>
          <w:lang w:eastAsia="cs-CZ"/>
        </w:rPr>
      </w:pPr>
    </w:p>
    <w:tbl>
      <w:tblPr>
        <w:tblStyle w:val="TableNormal"/>
        <w:tblW w:w="965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6"/>
        <w:gridCol w:w="2725"/>
        <w:gridCol w:w="1424"/>
        <w:gridCol w:w="1333"/>
        <w:gridCol w:w="1285"/>
        <w:gridCol w:w="2419"/>
      </w:tblGrid>
      <w:tr>
        <w:tblPrEx>
          <w:tblW w:w="965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973"/>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732CD8" w:rsidRPr="00732CD8" w:rsidP="00732CD8">
            <w:pPr>
              <w:bidi w:val="0"/>
              <w:spacing w:after="0" w:line="240" w:lineRule="auto"/>
              <w:ind w:right="-65"/>
              <w:jc w:val="center"/>
              <w:rPr>
                <w:rFonts w:ascii="Times New Roman" w:hAnsi="Times New Roman"/>
                <w:sz w:val="26"/>
                <w:szCs w:val="24"/>
                <w:lang w:eastAsia="sk-SK"/>
              </w:rPr>
            </w:pP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jc w:val="center"/>
              <w:rPr>
                <w:rFonts w:ascii="Times New Roman" w:hAnsi="Times New Roman"/>
                <w:b/>
                <w:sz w:val="26"/>
                <w:szCs w:val="24"/>
                <w:lang w:eastAsia="sk-SK"/>
              </w:rPr>
            </w:pPr>
            <w:r w:rsidRPr="00732CD8">
              <w:rPr>
                <w:rFonts w:ascii="Times New Roman" w:hAnsi="Times New Roman"/>
                <w:b/>
                <w:sz w:val="26"/>
                <w:szCs w:val="24"/>
                <w:lang w:eastAsia="cs-CZ"/>
              </w:rPr>
              <w:t>Obsahový počet</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b/>
                <w:sz w:val="26"/>
                <w:szCs w:val="24"/>
                <w:lang w:eastAsia="sk-SK"/>
              </w:rPr>
            </w:pPr>
            <w:r w:rsidRPr="00732CD8">
              <w:rPr>
                <w:rFonts w:ascii="Times New Roman" w:hAnsi="Times New Roman"/>
                <w:b/>
                <w:sz w:val="26"/>
                <w:szCs w:val="24"/>
                <w:lang w:eastAsia="cs-CZ"/>
              </w:rPr>
              <w:t>§ 2 ods. 1 písm. a)</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b/>
                <w:sz w:val="26"/>
                <w:szCs w:val="24"/>
                <w:lang w:eastAsia="sk-SK"/>
              </w:rPr>
            </w:pPr>
            <w:r w:rsidRPr="00732CD8">
              <w:rPr>
                <w:rFonts w:ascii="Times New Roman" w:hAnsi="Times New Roman"/>
                <w:b/>
                <w:sz w:val="26"/>
                <w:szCs w:val="24"/>
                <w:lang w:eastAsia="cs-CZ"/>
              </w:rPr>
              <w:t>§ 2 ods. 1 písm. b)</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b/>
                <w:sz w:val="26"/>
                <w:szCs w:val="24"/>
                <w:lang w:eastAsia="sk-SK"/>
              </w:rPr>
            </w:pPr>
            <w:r w:rsidRPr="00732CD8">
              <w:rPr>
                <w:rFonts w:ascii="Times New Roman" w:hAnsi="Times New Roman"/>
                <w:b/>
                <w:sz w:val="26"/>
                <w:szCs w:val="24"/>
                <w:lang w:eastAsia="cs-CZ"/>
              </w:rPr>
              <w:t>§ 2 ods.</w:t>
            </w:r>
          </w:p>
          <w:p w:rsidR="00732CD8" w:rsidRPr="00732CD8" w:rsidP="00732CD8">
            <w:pPr>
              <w:bidi w:val="0"/>
              <w:spacing w:after="0" w:line="240" w:lineRule="auto"/>
              <w:jc w:val="center"/>
              <w:rPr>
                <w:rFonts w:ascii="Times New Roman" w:hAnsi="Times New Roman"/>
                <w:b/>
                <w:sz w:val="26"/>
                <w:szCs w:val="24"/>
                <w:lang w:eastAsia="sk-SK"/>
              </w:rPr>
            </w:pPr>
            <w:r w:rsidRPr="00732CD8">
              <w:rPr>
                <w:rFonts w:ascii="Times New Roman" w:hAnsi="Times New Roman"/>
                <w:b/>
                <w:sz w:val="26"/>
                <w:szCs w:val="24"/>
                <w:lang w:eastAsia="cs-CZ"/>
              </w:rPr>
              <w:t>písm. c)</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b/>
                <w:sz w:val="26"/>
                <w:szCs w:val="24"/>
                <w:lang w:eastAsia="sk-SK"/>
              </w:rPr>
            </w:pPr>
            <w:r w:rsidRPr="00732CD8">
              <w:rPr>
                <w:rFonts w:ascii="Times New Roman" w:hAnsi="Times New Roman"/>
                <w:b/>
                <w:sz w:val="26"/>
                <w:szCs w:val="24"/>
                <w:lang w:eastAsia="cs-CZ"/>
              </w:rPr>
              <w:t>Celkový počet</w:t>
            </w:r>
          </w:p>
        </w:tc>
      </w:tr>
      <w:tr>
        <w:tblPrEx>
          <w:tblW w:w="9652" w:type="dxa"/>
          <w:tblInd w:w="-290" w:type="dxa"/>
          <w:tblCellMar>
            <w:left w:w="70" w:type="dxa"/>
            <w:right w:w="70" w:type="dxa"/>
          </w:tblCellMar>
          <w:tblLook w:val="04A0"/>
        </w:tblPrEx>
        <w:trPr>
          <w:trHeight w:val="750"/>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1.</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b/>
                <w:sz w:val="20"/>
                <w:szCs w:val="20"/>
                <w:lang w:eastAsia="sk-SK"/>
              </w:rPr>
            </w:pPr>
            <w:r w:rsidRPr="00732CD8">
              <w:rPr>
                <w:rFonts w:ascii="Times New Roman" w:hAnsi="Times New Roman"/>
                <w:b/>
                <w:sz w:val="20"/>
                <w:szCs w:val="20"/>
                <w:lang w:eastAsia="cs-CZ"/>
              </w:rPr>
              <w:t xml:space="preserve">Počet žiadostí na použitie ITP-§ 4 ods.1 </w:t>
            </w:r>
          </w:p>
          <w:p w:rsidR="00732CD8" w:rsidRPr="00732CD8" w:rsidP="00732CD8">
            <w:pPr>
              <w:bidi w:val="0"/>
              <w:spacing w:after="0" w:line="240" w:lineRule="auto"/>
              <w:rPr>
                <w:rFonts w:ascii="Times New Roman" w:hAnsi="Times New Roman"/>
                <w:b/>
                <w:sz w:val="22"/>
                <w:lang w:eastAsia="sk-SK"/>
              </w:rPr>
            </w:pPr>
            <w:r w:rsidRPr="00732CD8">
              <w:rPr>
                <w:rFonts w:ascii="Times New Roman" w:hAnsi="Times New Roman"/>
                <w:b/>
                <w:sz w:val="20"/>
                <w:szCs w:val="20"/>
                <w:lang w:eastAsia="cs-CZ"/>
              </w:rPr>
              <w:t>z toho :</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16"/>
                <w:szCs w:val="16"/>
                <w:lang w:eastAsia="sk-SK"/>
              </w:rPr>
            </w:pPr>
            <w:r w:rsidRPr="00732CD8">
              <w:rPr>
                <w:rFonts w:ascii="Times New Roman" w:hAnsi="Times New Roman"/>
                <w:sz w:val="16"/>
                <w:szCs w:val="16"/>
                <w:lang w:eastAsia="sk-SK"/>
              </w:rPr>
              <w:t xml:space="preserve"> -</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1712</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7</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1719</w:t>
            </w:r>
          </w:p>
        </w:tc>
      </w:tr>
      <w:tr>
        <w:tblPrEx>
          <w:tblW w:w="9652" w:type="dxa"/>
          <w:tblInd w:w="-290" w:type="dxa"/>
          <w:tblCellMar>
            <w:left w:w="70" w:type="dxa"/>
            <w:right w:w="70" w:type="dxa"/>
          </w:tblCellMar>
          <w:tblLook w:val="04A0"/>
        </w:tblPrEx>
        <w:trPr>
          <w:trHeight w:val="523"/>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2.</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sz w:val="22"/>
                <w:lang w:eastAsia="sk-SK"/>
              </w:rPr>
            </w:pPr>
            <w:r w:rsidRPr="00732CD8">
              <w:rPr>
                <w:rFonts w:ascii="Times New Roman" w:hAnsi="Times New Roman"/>
                <w:sz w:val="22"/>
                <w:lang w:eastAsia="cs-CZ"/>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1675</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6</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1681</w:t>
            </w:r>
          </w:p>
        </w:tc>
      </w:tr>
      <w:tr>
        <w:tblPrEx>
          <w:tblW w:w="9652" w:type="dxa"/>
          <w:tblInd w:w="-290" w:type="dxa"/>
          <w:tblCellMar>
            <w:left w:w="70" w:type="dxa"/>
            <w:right w:w="70" w:type="dxa"/>
          </w:tblCellMar>
          <w:tblLook w:val="04A0"/>
        </w:tblPrEx>
        <w:trPr>
          <w:trHeight w:val="531"/>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3.</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sz w:val="22"/>
                <w:lang w:eastAsia="sk-SK"/>
              </w:rPr>
            </w:pPr>
            <w:r w:rsidRPr="00732CD8">
              <w:rPr>
                <w:rFonts w:ascii="Times New Roman" w:hAnsi="Times New Roman"/>
                <w:sz w:val="22"/>
                <w:lang w:eastAsia="cs-CZ"/>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37</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38</w:t>
            </w:r>
          </w:p>
        </w:tc>
      </w:tr>
      <w:tr>
        <w:tblPrEx>
          <w:tblW w:w="9652" w:type="dxa"/>
          <w:tblInd w:w="-290" w:type="dxa"/>
          <w:tblCellMar>
            <w:left w:w="70" w:type="dxa"/>
            <w:right w:w="70" w:type="dxa"/>
          </w:tblCellMar>
          <w:tblLook w:val="04A0"/>
        </w:tblPrEx>
        <w:trPr>
          <w:trHeight w:val="705"/>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4.</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b/>
                <w:sz w:val="20"/>
                <w:szCs w:val="20"/>
                <w:lang w:eastAsia="sk-SK"/>
              </w:rPr>
            </w:pPr>
            <w:r w:rsidRPr="00732CD8">
              <w:rPr>
                <w:rFonts w:ascii="Times New Roman" w:hAnsi="Times New Roman"/>
                <w:b/>
                <w:sz w:val="20"/>
                <w:szCs w:val="20"/>
                <w:lang w:eastAsia="cs-CZ"/>
              </w:rPr>
              <w:t>Počet opakovaných žiadostí  na predĺženie doby použitia ITP v tom prípade - § 4 ods.2</w:t>
            </w:r>
          </w:p>
          <w:p w:rsidR="00732CD8" w:rsidRPr="00732CD8" w:rsidP="00732CD8">
            <w:pPr>
              <w:bidi w:val="0"/>
              <w:spacing w:after="0" w:line="240" w:lineRule="auto"/>
              <w:rPr>
                <w:rFonts w:ascii="Times New Roman" w:hAnsi="Times New Roman"/>
                <w:sz w:val="22"/>
                <w:lang w:eastAsia="sk-SK"/>
              </w:rPr>
            </w:pPr>
            <w:r w:rsidRPr="00732CD8">
              <w:rPr>
                <w:rFonts w:ascii="Times New Roman" w:hAnsi="Times New Roman"/>
                <w:b/>
                <w:sz w:val="20"/>
                <w:szCs w:val="20"/>
                <w:lang w:eastAsia="cs-CZ"/>
              </w:rPr>
              <w:t>z toho:</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732CD8" w:rsidRPr="00732CD8" w:rsidP="00732CD8">
            <w:pPr>
              <w:bidi w:val="0"/>
              <w:spacing w:after="0" w:line="240" w:lineRule="auto"/>
              <w:jc w:val="center"/>
              <w:rPr>
                <w:rFonts w:ascii="Times New Roman" w:hAnsi="Times New Roman"/>
                <w:sz w:val="26"/>
                <w:szCs w:val="24"/>
                <w:lang w:eastAsia="sk-SK"/>
              </w:rPr>
            </w:pPr>
          </w:p>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90</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91</w:t>
            </w:r>
          </w:p>
        </w:tc>
      </w:tr>
      <w:tr>
        <w:tblPrEx>
          <w:tblW w:w="9652" w:type="dxa"/>
          <w:tblInd w:w="-290" w:type="dxa"/>
          <w:tblCellMar>
            <w:left w:w="70" w:type="dxa"/>
            <w:right w:w="70" w:type="dxa"/>
          </w:tblCellMar>
          <w:tblLook w:val="04A0"/>
        </w:tblPrEx>
        <w:trPr>
          <w:trHeight w:val="502"/>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5.</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sz w:val="22"/>
                <w:lang w:eastAsia="sk-SK"/>
              </w:rPr>
            </w:pPr>
            <w:r w:rsidRPr="00732CD8">
              <w:rPr>
                <w:rFonts w:ascii="Times New Roman" w:hAnsi="Times New Roman"/>
                <w:sz w:val="22"/>
                <w:lang w:eastAsia="cs-CZ"/>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87</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88</w:t>
            </w:r>
          </w:p>
        </w:tc>
      </w:tr>
      <w:tr>
        <w:tblPrEx>
          <w:tblW w:w="9652" w:type="dxa"/>
          <w:tblInd w:w="-290" w:type="dxa"/>
          <w:tblCellMar>
            <w:left w:w="70" w:type="dxa"/>
            <w:right w:w="70" w:type="dxa"/>
          </w:tblCellMar>
          <w:tblLook w:val="04A0"/>
        </w:tblPrEx>
        <w:trPr>
          <w:trHeight w:val="510"/>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6.</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sz w:val="22"/>
                <w:lang w:eastAsia="sk-SK"/>
              </w:rPr>
            </w:pPr>
            <w:r w:rsidRPr="00732CD8">
              <w:rPr>
                <w:rFonts w:ascii="Times New Roman" w:hAnsi="Times New Roman"/>
                <w:sz w:val="22"/>
                <w:lang w:eastAsia="cs-CZ"/>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3</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3</w:t>
            </w:r>
          </w:p>
        </w:tc>
      </w:tr>
      <w:tr>
        <w:tblPrEx>
          <w:tblW w:w="9652" w:type="dxa"/>
          <w:tblInd w:w="-290" w:type="dxa"/>
          <w:tblCellMar>
            <w:left w:w="70" w:type="dxa"/>
            <w:right w:w="70" w:type="dxa"/>
          </w:tblCellMar>
          <w:tblLook w:val="04A0"/>
        </w:tblPrEx>
        <w:trPr>
          <w:trHeight w:val="705"/>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7.</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b/>
                <w:sz w:val="20"/>
                <w:szCs w:val="20"/>
                <w:lang w:eastAsia="sk-SK"/>
              </w:rPr>
            </w:pPr>
            <w:r w:rsidRPr="00732CD8">
              <w:rPr>
                <w:rFonts w:ascii="Times New Roman" w:hAnsi="Times New Roman"/>
                <w:b/>
                <w:sz w:val="20"/>
                <w:szCs w:val="20"/>
                <w:lang w:eastAsia="cs-CZ"/>
              </w:rPr>
              <w:t>Počet prípadov použitia  ITP v zmysle § 5 ods.1 a 2-dodatočné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8</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8</w:t>
            </w:r>
          </w:p>
        </w:tc>
      </w:tr>
      <w:tr>
        <w:tblPrEx>
          <w:tblW w:w="9652" w:type="dxa"/>
          <w:tblInd w:w="-290" w:type="dxa"/>
          <w:tblCellMar>
            <w:left w:w="70" w:type="dxa"/>
            <w:right w:w="70" w:type="dxa"/>
          </w:tblCellMar>
          <w:tblLook w:val="04A0"/>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8.</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sz w:val="22"/>
                <w:lang w:eastAsia="sk-SK"/>
              </w:rPr>
            </w:pPr>
            <w:r w:rsidRPr="00732CD8">
              <w:rPr>
                <w:rFonts w:ascii="Times New Roman" w:hAnsi="Times New Roman"/>
                <w:sz w:val="22"/>
                <w:lang w:eastAsia="cs-CZ"/>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8</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8</w:t>
            </w:r>
          </w:p>
        </w:tc>
      </w:tr>
      <w:tr>
        <w:tblPrEx>
          <w:tblW w:w="9652" w:type="dxa"/>
          <w:tblInd w:w="-290" w:type="dxa"/>
          <w:tblCellMar>
            <w:left w:w="70" w:type="dxa"/>
            <w:right w:w="70" w:type="dxa"/>
          </w:tblCellMar>
          <w:tblLook w:val="04A0"/>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9.</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sz w:val="22"/>
                <w:lang w:eastAsia="sk-SK"/>
              </w:rPr>
            </w:pPr>
            <w:r w:rsidRPr="00732CD8">
              <w:rPr>
                <w:rFonts w:ascii="Times New Roman" w:hAnsi="Times New Roman"/>
                <w:sz w:val="22"/>
                <w:lang w:eastAsia="cs-CZ"/>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r>
      <w:tr>
        <w:tblPrEx>
          <w:tblW w:w="9652" w:type="dxa"/>
          <w:tblInd w:w="-290" w:type="dxa"/>
          <w:tblCellMar>
            <w:left w:w="70" w:type="dxa"/>
            <w:right w:w="70" w:type="dxa"/>
          </w:tblCellMar>
          <w:tblLook w:val="04A0"/>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10.</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b/>
                <w:sz w:val="20"/>
                <w:szCs w:val="20"/>
                <w:lang w:eastAsia="sk-SK"/>
              </w:rPr>
            </w:pPr>
            <w:r w:rsidRPr="00732CD8">
              <w:rPr>
                <w:rFonts w:ascii="Times New Roman" w:hAnsi="Times New Roman"/>
                <w:b/>
                <w:sz w:val="20"/>
                <w:szCs w:val="20"/>
                <w:lang w:eastAsia="cs-CZ"/>
              </w:rPr>
              <w:t>Počet ITP , u ktorých bol dosiahnutý zákonom uznaný účel a cieľ</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1523</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4</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1527</w:t>
            </w:r>
          </w:p>
        </w:tc>
      </w:tr>
      <w:tr>
        <w:tblPrEx>
          <w:tblW w:w="9652" w:type="dxa"/>
          <w:tblInd w:w="-290" w:type="dxa"/>
          <w:tblCellMar>
            <w:left w:w="70" w:type="dxa"/>
            <w:right w:w="70" w:type="dxa"/>
          </w:tblCellMar>
          <w:tblLook w:val="04A0"/>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11.</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sz w:val="20"/>
                <w:szCs w:val="20"/>
                <w:lang w:eastAsia="sk-SK"/>
              </w:rPr>
            </w:pPr>
            <w:r w:rsidRPr="00732CD8">
              <w:rPr>
                <w:rFonts w:ascii="Times New Roman" w:hAnsi="Times New Roman"/>
                <w:b/>
                <w:sz w:val="20"/>
                <w:szCs w:val="20"/>
                <w:lang w:eastAsia="cs-CZ"/>
              </w:rPr>
              <w:t>Počet ITP , u ktorých nebol dosiahnutý zákonom uznaný účel a cieľ</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247</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3</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250</w:t>
            </w:r>
          </w:p>
        </w:tc>
      </w:tr>
      <w:tr>
        <w:tblPrEx>
          <w:tblW w:w="9652" w:type="dxa"/>
          <w:tblInd w:w="-290" w:type="dxa"/>
          <w:tblCellMar>
            <w:left w:w="70" w:type="dxa"/>
            <w:right w:w="70" w:type="dxa"/>
          </w:tblCellMar>
          <w:tblLook w:val="04A0"/>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12.</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137"/>
              <w:rPr>
                <w:rFonts w:ascii="Times New Roman" w:hAnsi="Times New Roman"/>
                <w:b/>
                <w:sz w:val="20"/>
                <w:szCs w:val="20"/>
                <w:lang w:eastAsia="sk-SK"/>
              </w:rPr>
            </w:pPr>
            <w:r w:rsidRPr="00732CD8">
              <w:rPr>
                <w:rFonts w:ascii="Times New Roman" w:hAnsi="Times New Roman"/>
                <w:b/>
                <w:sz w:val="20"/>
                <w:szCs w:val="20"/>
                <w:lang w:eastAsia="cs-CZ"/>
              </w:rPr>
              <w:t>Počet prípadov použitia ITP, z ktorých boli informácie použité ako dôkaz v trestnom konaní</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732CD8" w:rsidRPr="00732CD8" w:rsidP="00732CD8">
            <w:pPr>
              <w:bidi w:val="0"/>
              <w:spacing w:after="0" w:line="240" w:lineRule="auto"/>
              <w:jc w:val="center"/>
              <w:rPr>
                <w:rFonts w:ascii="Times New Roman" w:hAnsi="Times New Roman"/>
                <w:sz w:val="26"/>
                <w:szCs w:val="24"/>
                <w:lang w:eastAsia="sk-SK"/>
              </w:rPr>
            </w:pPr>
          </w:p>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66</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11</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77</w:t>
            </w:r>
          </w:p>
        </w:tc>
      </w:tr>
      <w:tr>
        <w:tblPrEx>
          <w:tblW w:w="9652" w:type="dxa"/>
          <w:tblInd w:w="-290" w:type="dxa"/>
          <w:tblCellMar>
            <w:left w:w="70" w:type="dxa"/>
            <w:right w:w="70" w:type="dxa"/>
          </w:tblCellMar>
          <w:tblLook w:val="04A0"/>
        </w:tblPrEx>
        <w:trPr>
          <w:trHeight w:val="571"/>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13.</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b/>
                <w:sz w:val="20"/>
                <w:szCs w:val="20"/>
                <w:lang w:eastAsia="sk-SK"/>
              </w:rPr>
            </w:pPr>
            <w:r w:rsidRPr="00732CD8">
              <w:rPr>
                <w:rFonts w:ascii="Times New Roman" w:hAnsi="Times New Roman"/>
                <w:b/>
                <w:sz w:val="20"/>
                <w:szCs w:val="20"/>
                <w:lang w:eastAsia="cs-CZ"/>
              </w:rPr>
              <w:t>Počet prípadov nezákonného použitia ITP</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r>
      <w:tr>
        <w:tblPrEx>
          <w:tblW w:w="9652" w:type="dxa"/>
          <w:tblInd w:w="-290" w:type="dxa"/>
          <w:tblCellMar>
            <w:left w:w="70" w:type="dxa"/>
            <w:right w:w="70" w:type="dxa"/>
          </w:tblCellMar>
          <w:tblLook w:val="04A0"/>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14.</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sz w:val="20"/>
                <w:szCs w:val="20"/>
                <w:lang w:eastAsia="sk-SK"/>
              </w:rPr>
            </w:pPr>
            <w:r w:rsidRPr="00732CD8">
              <w:rPr>
                <w:rFonts w:ascii="Times New Roman" w:hAnsi="Times New Roman"/>
                <w:b/>
                <w:sz w:val="20"/>
                <w:szCs w:val="20"/>
                <w:lang w:eastAsia="cs-CZ"/>
              </w:rPr>
              <w:t>Celkový počet žiadostí na použitie ITP</w:t>
            </w:r>
            <w:r w:rsidRPr="00732CD8">
              <w:rPr>
                <w:rFonts w:ascii="Times New Roman" w:hAnsi="Times New Roman"/>
                <w:sz w:val="20"/>
                <w:szCs w:val="20"/>
                <w:lang w:eastAsia="cs-CZ"/>
              </w:rPr>
              <w:t xml:space="preserve"> –súčet r. 1+4+7</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1810</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8</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1818</w:t>
            </w:r>
          </w:p>
        </w:tc>
      </w:tr>
      <w:tr>
        <w:tblPrEx>
          <w:tblW w:w="9652" w:type="dxa"/>
          <w:tblInd w:w="-290" w:type="dxa"/>
          <w:tblCellMar>
            <w:left w:w="70" w:type="dxa"/>
            <w:right w:w="70" w:type="dxa"/>
          </w:tblCellMar>
          <w:tblLook w:val="04A0"/>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15.</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sz w:val="20"/>
                <w:szCs w:val="20"/>
                <w:lang w:eastAsia="sk-SK"/>
              </w:rPr>
            </w:pPr>
            <w:r w:rsidRPr="00732CD8">
              <w:rPr>
                <w:rFonts w:ascii="Times New Roman" w:hAnsi="Times New Roman"/>
                <w:b/>
                <w:sz w:val="20"/>
                <w:szCs w:val="20"/>
                <w:lang w:eastAsia="cs-CZ"/>
              </w:rPr>
              <w:t xml:space="preserve">Celkový počet vydaných súhlasov </w:t>
            </w:r>
            <w:r w:rsidRPr="00732CD8">
              <w:rPr>
                <w:rFonts w:ascii="Times New Roman" w:hAnsi="Times New Roman"/>
                <w:sz w:val="20"/>
                <w:szCs w:val="20"/>
                <w:lang w:eastAsia="cs-CZ"/>
              </w:rPr>
              <w:t>– súčet r. 2+5+8</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1770</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7</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1777</w:t>
            </w:r>
          </w:p>
        </w:tc>
      </w:tr>
      <w:tr>
        <w:tblPrEx>
          <w:tblW w:w="9652" w:type="dxa"/>
          <w:tblInd w:w="-290" w:type="dxa"/>
          <w:tblCellMar>
            <w:left w:w="70" w:type="dxa"/>
            <w:right w:w="70" w:type="dxa"/>
          </w:tblCellMar>
          <w:tblLook w:val="04A0"/>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ind w:right="-65"/>
              <w:jc w:val="center"/>
              <w:rPr>
                <w:rFonts w:ascii="Times New Roman" w:hAnsi="Times New Roman"/>
                <w:sz w:val="26"/>
                <w:szCs w:val="24"/>
                <w:lang w:eastAsia="sk-SK"/>
              </w:rPr>
            </w:pPr>
            <w:r w:rsidRPr="00732CD8">
              <w:rPr>
                <w:rFonts w:ascii="Times New Roman" w:hAnsi="Times New Roman"/>
                <w:sz w:val="26"/>
                <w:szCs w:val="24"/>
                <w:lang w:eastAsia="cs-CZ"/>
              </w:rPr>
              <w:t>16.</w:t>
            </w:r>
          </w:p>
        </w:tc>
        <w:tc>
          <w:tcPr>
            <w:tcW w:w="2725" w:type="dxa"/>
            <w:tcBorders>
              <w:top w:val="single" w:sz="4" w:space="0" w:color="auto"/>
              <w:left w:val="single" w:sz="4" w:space="0" w:color="auto"/>
              <w:bottom w:val="single" w:sz="4" w:space="0" w:color="auto"/>
              <w:right w:val="single" w:sz="4" w:space="0" w:color="auto"/>
            </w:tcBorders>
            <w:textDirection w:val="lrTb"/>
            <w:vAlign w:val="top"/>
            <w:hideMark/>
          </w:tcPr>
          <w:p w:rsidR="00732CD8" w:rsidRPr="00732CD8" w:rsidP="00732CD8">
            <w:pPr>
              <w:bidi w:val="0"/>
              <w:spacing w:after="0" w:line="240" w:lineRule="auto"/>
              <w:rPr>
                <w:rFonts w:ascii="Times New Roman" w:hAnsi="Times New Roman"/>
                <w:sz w:val="20"/>
                <w:szCs w:val="20"/>
                <w:lang w:eastAsia="sk-SK"/>
              </w:rPr>
            </w:pPr>
            <w:r w:rsidRPr="00732CD8">
              <w:rPr>
                <w:rFonts w:ascii="Times New Roman" w:hAnsi="Times New Roman"/>
                <w:b/>
                <w:sz w:val="20"/>
                <w:szCs w:val="20"/>
                <w:lang w:eastAsia="cs-CZ"/>
              </w:rPr>
              <w:t xml:space="preserve">Celkový počet odmietnutých žiadostí </w:t>
            </w:r>
            <w:r w:rsidRPr="00732CD8">
              <w:rPr>
                <w:rFonts w:ascii="Times New Roman" w:hAnsi="Times New Roman"/>
                <w:sz w:val="20"/>
                <w:szCs w:val="20"/>
                <w:lang w:eastAsia="cs-CZ"/>
              </w:rPr>
              <w:t>– súčet r. 3+6+9</w:t>
            </w:r>
          </w:p>
        </w:tc>
        <w:tc>
          <w:tcPr>
            <w:tcW w:w="1424"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40</w:t>
            </w:r>
          </w:p>
        </w:tc>
        <w:tc>
          <w:tcPr>
            <w:tcW w:w="1285"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 w:val="26"/>
                <w:szCs w:val="24"/>
                <w:lang w:eastAsia="sk-SK"/>
              </w:rPr>
            </w:pPr>
            <w:r w:rsidRPr="00732CD8">
              <w:rPr>
                <w:rFonts w:ascii="Times New Roman" w:hAnsi="Times New Roman"/>
                <w:sz w:val="26"/>
                <w:szCs w:val="24"/>
                <w:lang w:eastAsia="sk-SK"/>
              </w:rPr>
              <w:t>41</w:t>
            </w:r>
          </w:p>
        </w:tc>
      </w:tr>
    </w:tbl>
    <w:p w:rsidR="00732CD8" w:rsidRPr="00732CD8" w:rsidP="00732CD8">
      <w:pPr>
        <w:bidi w:val="0"/>
        <w:spacing w:after="0" w:line="240" w:lineRule="auto"/>
        <w:jc w:val="both"/>
        <w:rPr>
          <w:rFonts w:ascii="Times New Roman" w:hAnsi="Times New Roman"/>
          <w:sz w:val="26"/>
          <w:szCs w:val="24"/>
          <w:lang w:eastAsia="cs-CZ"/>
        </w:rPr>
      </w:pPr>
    </w:p>
    <w:p w:rsidR="00732CD8" w:rsidRPr="00732CD8" w:rsidP="00732CD8">
      <w:pPr>
        <w:bidi w:val="0"/>
        <w:spacing w:after="0" w:line="240" w:lineRule="auto"/>
        <w:ind w:left="4248" w:firstLine="708"/>
        <w:rPr>
          <w:rFonts w:ascii="Times New Roman" w:hAnsi="Times New Roman"/>
          <w:sz w:val="26"/>
          <w:szCs w:val="24"/>
          <w:lang w:eastAsia="cs-CZ"/>
        </w:rPr>
      </w:pPr>
    </w:p>
    <w:p w:rsidR="00732CD8" w:rsidRPr="00732CD8" w:rsidP="00732CD8">
      <w:pPr>
        <w:bidi w:val="0"/>
        <w:spacing w:after="0" w:line="240" w:lineRule="auto"/>
        <w:rPr>
          <w:rFonts w:ascii="Times New Roman" w:hAnsi="Times New Roman"/>
          <w:color w:val="FF0000"/>
          <w:sz w:val="28"/>
          <w:szCs w:val="28"/>
          <w:u w:val="single"/>
          <w:lang w:eastAsia="sk-SK"/>
        </w:rPr>
      </w:pPr>
    </w:p>
    <w:p w:rsidR="00732CD8" w:rsidRPr="00732CD8" w:rsidP="00732CD8">
      <w:pPr>
        <w:bidi w:val="0"/>
        <w:spacing w:after="0" w:line="240" w:lineRule="auto"/>
        <w:rPr>
          <w:rFonts w:ascii="Times New Roman" w:hAnsi="Times New Roman"/>
          <w:b/>
          <w:sz w:val="28"/>
          <w:szCs w:val="28"/>
          <w:u w:val="single"/>
          <w:lang w:eastAsia="sk-SK"/>
        </w:rPr>
      </w:pPr>
    </w:p>
    <w:p w:rsidR="00732CD8" w:rsidRPr="00732CD8" w:rsidP="00732CD8">
      <w:pPr>
        <w:numPr>
          <w:numId w:val="14"/>
        </w:numPr>
        <w:bidi w:val="0"/>
        <w:spacing w:after="0" w:line="240" w:lineRule="auto"/>
        <w:rPr>
          <w:rFonts w:ascii="Times New Roman" w:hAnsi="Times New Roman"/>
          <w:b/>
          <w:sz w:val="28"/>
          <w:szCs w:val="28"/>
          <w:u w:val="single"/>
          <w:lang w:eastAsia="sk-SK"/>
        </w:rPr>
      </w:pPr>
      <w:r w:rsidRPr="00732CD8">
        <w:rPr>
          <w:rFonts w:ascii="Times New Roman" w:hAnsi="Times New Roman"/>
          <w:sz w:val="28"/>
          <w:szCs w:val="28"/>
          <w:u w:val="single"/>
          <w:lang w:eastAsia="sk-SK"/>
        </w:rPr>
        <w:t>Použitie informačno-technických prostriedkov</w:t>
      </w:r>
      <w:r w:rsidRPr="00732CD8">
        <w:rPr>
          <w:rFonts w:ascii="Times New Roman" w:hAnsi="Times New Roman"/>
          <w:b/>
          <w:sz w:val="28"/>
          <w:szCs w:val="28"/>
          <w:u w:val="single"/>
          <w:lang w:eastAsia="sk-SK"/>
        </w:rPr>
        <w:t xml:space="preserve">  </w:t>
      </w:r>
      <w:r w:rsidRPr="00732CD8">
        <w:rPr>
          <w:rFonts w:ascii="Times New Roman" w:hAnsi="Times New Roman"/>
          <w:sz w:val="28"/>
          <w:szCs w:val="28"/>
          <w:u w:val="single"/>
          <w:lang w:eastAsia="sk-SK"/>
        </w:rPr>
        <w:t xml:space="preserve">v pôsobnosti </w:t>
      </w:r>
      <w:r w:rsidRPr="00732CD8">
        <w:rPr>
          <w:rFonts w:ascii="Times New Roman" w:hAnsi="Times New Roman"/>
          <w:b/>
          <w:sz w:val="28"/>
          <w:szCs w:val="28"/>
          <w:u w:val="single"/>
          <w:lang w:eastAsia="sk-SK"/>
        </w:rPr>
        <w:t xml:space="preserve"> Ministerstva obrany SR – Vojenským spravodajstvom </w:t>
      </w:r>
    </w:p>
    <w:p w:rsidR="00732CD8" w:rsidRPr="00732CD8" w:rsidP="00732CD8">
      <w:pPr>
        <w:bidi w:val="0"/>
        <w:spacing w:after="0" w:line="240" w:lineRule="auto"/>
        <w:ind w:firstLine="708"/>
        <w:rPr>
          <w:rFonts w:ascii="Times New Roman" w:hAnsi="Times New Roman"/>
          <w:b/>
          <w:sz w:val="28"/>
          <w:szCs w:val="28"/>
          <w:u w:val="single"/>
          <w:lang w:eastAsia="sk-SK"/>
        </w:rPr>
      </w:pPr>
      <w:r w:rsidRPr="00732CD8">
        <w:rPr>
          <w:rFonts w:ascii="Times New Roman" w:hAnsi="Times New Roman"/>
          <w:sz w:val="28"/>
          <w:szCs w:val="28"/>
          <w:u w:val="single"/>
          <w:lang w:eastAsia="sk-SK"/>
        </w:rPr>
        <w:t>za rok 2011</w:t>
      </w:r>
    </w:p>
    <w:p w:rsidR="00732CD8" w:rsidRPr="00732CD8" w:rsidP="00732CD8">
      <w:pPr>
        <w:widowControl w:val="0"/>
        <w:shd w:val="clear" w:color="auto" w:fill="FFFFFF"/>
        <w:bidi w:val="0"/>
        <w:snapToGrid w:val="0"/>
        <w:spacing w:after="0" w:line="240" w:lineRule="auto"/>
        <w:ind w:left="369"/>
        <w:rPr>
          <w:rFonts w:ascii="Times New Roman" w:hAnsi="Times New Roman"/>
          <w:b/>
          <w:color w:val="FF0000"/>
          <w:szCs w:val="24"/>
          <w:u w:val="single"/>
          <w:lang w:eastAsia="sk-SK"/>
        </w:rPr>
      </w:pPr>
    </w:p>
    <w:p w:rsidR="00732CD8" w:rsidRPr="00732CD8" w:rsidP="00732CD8">
      <w:pPr>
        <w:tabs>
          <w:tab w:val="left" w:pos="0"/>
        </w:tabs>
        <w:bidi w:val="0"/>
        <w:spacing w:before="120" w:after="0" w:line="240" w:lineRule="auto"/>
        <w:ind w:firstLine="709"/>
        <w:jc w:val="both"/>
        <w:rPr>
          <w:rFonts w:ascii="Times New Roman" w:hAnsi="Times New Roman"/>
          <w:szCs w:val="24"/>
          <w:lang w:eastAsia="cs-CZ"/>
        </w:rPr>
      </w:pPr>
      <w:r w:rsidRPr="00732CD8">
        <w:rPr>
          <w:rFonts w:ascii="Times New Roman" w:hAnsi="Times New Roman"/>
          <w:szCs w:val="24"/>
          <w:lang w:eastAsia="cs-CZ"/>
        </w:rPr>
        <w:t>Použitie informačno-technických prostriedkov (ďalej len „ITP“) v pôsobnosti Vojenského spravodajstva upravuje zákon č. 166/2003 Z. z. o ochrane súkromia pred neoprávneným použitím informačno-technických prostriedkov a o zmene a doplnení niektorých zákonov (zákon o ochrane pred odpočúvaním) v znení neskorších predpisov (ďalej len „zákon o ochrane pred odpočúvaním“) a zákon č. 198/1994 Z. z. o Vojenskom spravodajstve v znení neskorších predpisov (ďalej len „zákon o Vojenskom spravodajstve“). Podrobnosti o používaní ITP, spôsoboch ich vyžadovania, evidovania a kontrole upravuje ďalej Vyhláška Ministerstva spravodlivosti Slovenskej republiky č. 543/2005 Z. z. o Spravovacom a kancelárskom poriadku pre okresné súdy, krajské súdy, Špeciálny súd a vojenské súdy v znení neskorších predpisov a interné normatívne akty Vojenského obranného spravodajstva a Vojenskej spravodajskej služby.</w:t>
      </w:r>
    </w:p>
    <w:p w:rsidR="00732CD8" w:rsidRPr="00732CD8" w:rsidP="00732CD8">
      <w:pPr>
        <w:bidi w:val="0"/>
        <w:spacing w:before="120" w:after="0" w:line="240" w:lineRule="auto"/>
        <w:jc w:val="both"/>
        <w:rPr>
          <w:rFonts w:ascii="Times New Roman" w:hAnsi="Times New Roman"/>
          <w:szCs w:val="24"/>
          <w:lang w:eastAsia="cs-CZ"/>
        </w:rPr>
      </w:pPr>
    </w:p>
    <w:p w:rsidR="00732CD8" w:rsidRPr="00732CD8" w:rsidP="00732CD8">
      <w:pPr>
        <w:numPr>
          <w:numId w:val="16"/>
        </w:numPr>
        <w:bidi w:val="0"/>
        <w:spacing w:before="120" w:after="0" w:line="240" w:lineRule="auto"/>
        <w:jc w:val="both"/>
        <w:rPr>
          <w:rFonts w:ascii="Times New Roman" w:hAnsi="Times New Roman"/>
          <w:b/>
          <w:szCs w:val="24"/>
          <w:lang w:eastAsia="cs-CZ"/>
        </w:rPr>
      </w:pPr>
      <w:r w:rsidRPr="00732CD8">
        <w:rPr>
          <w:rFonts w:ascii="Times New Roman" w:hAnsi="Times New Roman"/>
          <w:b/>
          <w:szCs w:val="24"/>
          <w:lang w:eastAsia="cs-CZ"/>
        </w:rPr>
        <w:t>Časť Vojenské obranné spravodajstvo</w:t>
      </w:r>
    </w:p>
    <w:p w:rsidR="00732CD8" w:rsidRPr="00732CD8" w:rsidP="00732CD8">
      <w:pPr>
        <w:bidi w:val="0"/>
        <w:spacing w:before="120" w:after="0" w:line="240" w:lineRule="auto"/>
        <w:ind w:firstLine="709"/>
        <w:jc w:val="both"/>
        <w:rPr>
          <w:rFonts w:ascii="Times New Roman" w:hAnsi="Times New Roman"/>
          <w:strike/>
          <w:szCs w:val="24"/>
          <w:lang w:eastAsia="cs-CZ"/>
        </w:rPr>
      </w:pPr>
      <w:r w:rsidRPr="00732CD8">
        <w:rPr>
          <w:rFonts w:ascii="Times New Roman" w:hAnsi="Times New Roman"/>
          <w:szCs w:val="24"/>
          <w:lang w:eastAsia="cs-CZ"/>
        </w:rPr>
        <w:t xml:space="preserve">Vojenské obranné spravodajstvo využívalo ITP v súlade s ustanoveniami zákona o ochrane pred odpočúvaním a zákona o Vojenskom spravodajstve, pričom použitie ITP bolo realizované na základe predchádzajúceho písomného súhlasu zákonného sudcu. </w:t>
      </w:r>
    </w:p>
    <w:p w:rsidR="00732CD8" w:rsidRPr="00732CD8" w:rsidP="00732CD8">
      <w:pPr>
        <w:bidi w:val="0"/>
        <w:spacing w:before="120" w:after="0" w:line="240" w:lineRule="auto"/>
        <w:jc w:val="both"/>
        <w:rPr>
          <w:rFonts w:ascii="Times New Roman" w:hAnsi="Times New Roman"/>
          <w:szCs w:val="24"/>
          <w:lang w:eastAsia="cs-CZ"/>
        </w:rPr>
      </w:pPr>
      <w:r w:rsidRPr="00732CD8">
        <w:rPr>
          <w:rFonts w:ascii="Times New Roman" w:hAnsi="Times New Roman"/>
          <w:szCs w:val="24"/>
          <w:lang w:eastAsia="cs-CZ"/>
        </w:rPr>
        <w:tab/>
        <w:t xml:space="preserve">a) Vojenské obranné spravodajstvo za obdobie roku 2011 podalo celkom </w:t>
      </w:r>
      <w:r w:rsidRPr="00732CD8">
        <w:rPr>
          <w:rFonts w:ascii="Times New Roman" w:hAnsi="Times New Roman"/>
          <w:b/>
          <w:szCs w:val="24"/>
          <w:lang w:eastAsia="cs-CZ"/>
        </w:rPr>
        <w:t xml:space="preserve">130 </w:t>
      </w:r>
      <w:r w:rsidRPr="00732CD8">
        <w:rPr>
          <w:rFonts w:ascii="Times New Roman" w:hAnsi="Times New Roman"/>
          <w:szCs w:val="24"/>
          <w:lang w:eastAsia="cs-CZ"/>
        </w:rPr>
        <w:t xml:space="preserve">žiadostí na použitie ITP v súlade s ustanoveniami § 4 ods. 1 zákona o ochrane pred odpočúvaním. Z tohto počtu bolo zákonným sudcom vydaných </w:t>
      </w:r>
      <w:r w:rsidRPr="00732CD8">
        <w:rPr>
          <w:rFonts w:ascii="Times New Roman" w:hAnsi="Times New Roman"/>
          <w:b/>
          <w:szCs w:val="24"/>
          <w:lang w:eastAsia="cs-CZ"/>
        </w:rPr>
        <w:t>120</w:t>
      </w:r>
      <w:r w:rsidRPr="00732CD8">
        <w:rPr>
          <w:rFonts w:ascii="Times New Roman" w:hAnsi="Times New Roman"/>
          <w:szCs w:val="24"/>
          <w:lang w:eastAsia="cs-CZ"/>
        </w:rPr>
        <w:t xml:space="preserve"> písomných súhlasov na použitie ITP, </w:t>
      </w:r>
      <w:r w:rsidRPr="00732CD8">
        <w:rPr>
          <w:rFonts w:ascii="Times New Roman" w:hAnsi="Times New Roman"/>
          <w:b/>
          <w:szCs w:val="24"/>
          <w:lang w:eastAsia="cs-CZ"/>
        </w:rPr>
        <w:t>10 žiadostí</w:t>
      </w:r>
      <w:r w:rsidRPr="00732CD8">
        <w:rPr>
          <w:rFonts w:ascii="Times New Roman" w:hAnsi="Times New Roman"/>
          <w:szCs w:val="24"/>
          <w:lang w:eastAsia="cs-CZ"/>
        </w:rPr>
        <w:t xml:space="preserve"> bolo odmietnutých (§ 6 ods. 3 zákona o ochrane pred odpočúvaním).</w:t>
      </w:r>
    </w:p>
    <w:p w:rsidR="00732CD8" w:rsidRPr="00732CD8" w:rsidP="00732CD8">
      <w:pPr>
        <w:bidi w:val="0"/>
        <w:spacing w:before="120" w:after="0" w:line="240" w:lineRule="auto"/>
        <w:jc w:val="both"/>
        <w:rPr>
          <w:rFonts w:ascii="Times New Roman" w:hAnsi="Times New Roman"/>
          <w:szCs w:val="24"/>
          <w:lang w:eastAsia="cs-CZ"/>
        </w:rPr>
      </w:pPr>
      <w:r w:rsidRPr="00732CD8">
        <w:rPr>
          <w:rFonts w:ascii="Times New Roman" w:hAnsi="Times New Roman"/>
          <w:szCs w:val="24"/>
          <w:lang w:eastAsia="cs-CZ"/>
        </w:rPr>
        <w:tab/>
        <w:t xml:space="preserve">b) Vojenské obranné spravodajstvo predložilo zákonnému sudcovi celkom  </w:t>
      </w:r>
      <w:r w:rsidRPr="00732CD8">
        <w:rPr>
          <w:rFonts w:ascii="Times New Roman" w:hAnsi="Times New Roman"/>
          <w:b/>
          <w:szCs w:val="24"/>
          <w:lang w:eastAsia="cs-CZ"/>
        </w:rPr>
        <w:t>17</w:t>
      </w:r>
      <w:r w:rsidRPr="00732CD8">
        <w:rPr>
          <w:rFonts w:ascii="Times New Roman" w:hAnsi="Times New Roman"/>
          <w:szCs w:val="24"/>
          <w:lang w:eastAsia="cs-CZ"/>
        </w:rPr>
        <w:t xml:space="preserve"> žiadostí na predĺženie doby použitia ITP v tom istom prípade (§ 4 ods. 2 zákona o ochrane pred odpočúvaním). Na všetky predložené žiadosti o predĺženie doby použitia ITP boli zákonným sudcom vydané písomné súhlasy na ich použitie.</w:t>
      </w:r>
    </w:p>
    <w:p w:rsidR="00732CD8" w:rsidRPr="00732CD8" w:rsidP="00732CD8">
      <w:pPr>
        <w:bidi w:val="0"/>
        <w:spacing w:before="120" w:after="0" w:line="240" w:lineRule="auto"/>
        <w:jc w:val="both"/>
        <w:rPr>
          <w:rFonts w:ascii="Times New Roman" w:hAnsi="Times New Roman"/>
          <w:szCs w:val="24"/>
          <w:lang w:eastAsia="cs-CZ"/>
        </w:rPr>
      </w:pPr>
      <w:r w:rsidRPr="00732CD8">
        <w:rPr>
          <w:rFonts w:ascii="Times New Roman" w:hAnsi="Times New Roman"/>
          <w:szCs w:val="24"/>
          <w:lang w:eastAsia="cs-CZ"/>
        </w:rPr>
        <w:tab/>
        <w:t>c) Vojenské obranné spravodajstvo nemá zákonné oprávnenie na uplatňovanie ustanovenia § 5 zákona o ochrane pred odpočúvaním a v žiadnom zo zrealizovaných prípadov ITP nedošlo k ich použitiu bez predchádzajúceho súhlasu zákonného sudcu.</w:t>
      </w:r>
    </w:p>
    <w:p w:rsidR="00732CD8" w:rsidRPr="00732CD8" w:rsidP="00732CD8">
      <w:pPr>
        <w:bidi w:val="0"/>
        <w:spacing w:before="120" w:after="0" w:line="240" w:lineRule="auto"/>
        <w:jc w:val="both"/>
        <w:rPr>
          <w:rFonts w:ascii="Times New Roman" w:hAnsi="Times New Roman"/>
          <w:szCs w:val="24"/>
          <w:lang w:eastAsia="cs-CZ"/>
        </w:rPr>
      </w:pPr>
      <w:r w:rsidRPr="00732CD8">
        <w:rPr>
          <w:rFonts w:ascii="Times New Roman" w:hAnsi="Times New Roman"/>
          <w:szCs w:val="24"/>
          <w:lang w:eastAsia="cs-CZ"/>
        </w:rPr>
        <w:tab/>
        <w:t xml:space="preserve"> </w:t>
      </w:r>
    </w:p>
    <w:p w:rsidR="00732CD8" w:rsidRPr="00732CD8" w:rsidP="00732CD8">
      <w:pPr>
        <w:bidi w:val="0"/>
        <w:spacing w:before="120" w:after="0" w:line="240" w:lineRule="auto"/>
        <w:jc w:val="both"/>
        <w:rPr>
          <w:rFonts w:ascii="Times New Roman" w:hAnsi="Times New Roman"/>
          <w:szCs w:val="24"/>
          <w:lang w:eastAsia="cs-CZ"/>
        </w:rPr>
      </w:pPr>
      <w:r w:rsidRPr="00732CD8">
        <w:rPr>
          <w:rFonts w:ascii="Times New Roman" w:hAnsi="Times New Roman"/>
          <w:szCs w:val="24"/>
          <w:lang w:eastAsia="cs-CZ"/>
        </w:rPr>
        <w:tab/>
        <w:t>Používanie ITP vo Vojenskom obrannom spravodajstve upravuje Smernica Ministerstva obrany Slovenskej republiky č. p.: V-23/12-20 pre použitie informačno-technických prostriedkov Vojenským obranným spravodajstvom zo dňa 4. septembra 2006 s účinnosťou od 16. októbra 2006 v znení neskoršej úpravy.</w:t>
      </w:r>
    </w:p>
    <w:p w:rsidR="00732CD8" w:rsidRPr="00732CD8" w:rsidP="00732CD8">
      <w:pPr>
        <w:bidi w:val="0"/>
        <w:spacing w:before="120" w:after="0" w:line="240" w:lineRule="auto"/>
        <w:ind w:firstLine="708"/>
        <w:jc w:val="both"/>
        <w:rPr>
          <w:rFonts w:ascii="Times New Roman" w:hAnsi="Times New Roman"/>
          <w:szCs w:val="24"/>
          <w:lang w:eastAsia="cs-CZ"/>
        </w:rPr>
      </w:pPr>
      <w:r w:rsidRPr="00732CD8">
        <w:rPr>
          <w:rFonts w:ascii="Times New Roman" w:hAnsi="Times New Roman"/>
          <w:szCs w:val="24"/>
          <w:lang w:eastAsia="cs-CZ"/>
        </w:rPr>
        <w:t>V zmysle § 2 ods. 6 zákona o ochrane pred odpočúvaním je účinná Smernica na vykonávanie psychofyziologického vyšetrenia vo Vojenskom obrannom spravodajstve č. p. ELVS-VS100-V-1/9/95-2008-TPD . Smernica ustanovuje povinnosť vykonať u uvedených zamestnancov psychofyziologické vyšetrenie minimálne raz za tri roky. Vyšetrenie vykonáva polygrafista Vojenského obranného spravodajstva formou stanovených metodík v súlade s citovanou smernicou.</w:t>
      </w:r>
    </w:p>
    <w:p w:rsidR="00732CD8" w:rsidRPr="00732CD8" w:rsidP="00732CD8">
      <w:pPr>
        <w:bidi w:val="0"/>
        <w:spacing w:before="120" w:after="0" w:line="240" w:lineRule="auto"/>
        <w:jc w:val="both"/>
        <w:rPr>
          <w:rFonts w:ascii="Times New Roman" w:hAnsi="Times New Roman"/>
          <w:szCs w:val="24"/>
          <w:lang w:eastAsia="cs-CZ"/>
        </w:rPr>
      </w:pPr>
    </w:p>
    <w:p w:rsidR="00732CD8" w:rsidRPr="00732CD8" w:rsidP="00732CD8">
      <w:pPr>
        <w:bidi w:val="0"/>
        <w:spacing w:before="120" w:after="0" w:line="240" w:lineRule="auto"/>
        <w:jc w:val="both"/>
        <w:rPr>
          <w:rFonts w:ascii="Times New Roman" w:hAnsi="Times New Roman"/>
          <w:szCs w:val="24"/>
          <w:lang w:eastAsia="cs-CZ"/>
        </w:rPr>
      </w:pPr>
    </w:p>
    <w:p w:rsidR="00732CD8" w:rsidRPr="00732CD8" w:rsidP="00732CD8">
      <w:pPr>
        <w:numPr>
          <w:numId w:val="16"/>
        </w:numPr>
        <w:bidi w:val="0"/>
        <w:spacing w:before="120" w:after="0" w:line="240" w:lineRule="auto"/>
        <w:jc w:val="both"/>
        <w:rPr>
          <w:rFonts w:ascii="Times New Roman" w:hAnsi="Times New Roman"/>
          <w:b/>
          <w:szCs w:val="24"/>
          <w:lang w:eastAsia="cs-CZ"/>
        </w:rPr>
      </w:pPr>
      <w:r w:rsidRPr="00732CD8">
        <w:rPr>
          <w:rFonts w:ascii="Times New Roman" w:hAnsi="Times New Roman"/>
          <w:b/>
          <w:szCs w:val="24"/>
          <w:lang w:eastAsia="cs-CZ"/>
        </w:rPr>
        <w:t xml:space="preserve">Časť Vojenská spravodajská služba </w:t>
      </w:r>
    </w:p>
    <w:p w:rsidR="00732CD8" w:rsidRPr="00732CD8" w:rsidP="00732CD8">
      <w:pPr>
        <w:bidi w:val="0"/>
        <w:spacing w:after="0" w:line="240" w:lineRule="auto"/>
        <w:ind w:left="360"/>
        <w:jc w:val="both"/>
        <w:rPr>
          <w:rFonts w:ascii="Times New Roman" w:hAnsi="Times New Roman"/>
          <w:szCs w:val="24"/>
          <w:lang w:eastAsia="cs-CZ"/>
        </w:rPr>
      </w:pPr>
    </w:p>
    <w:p w:rsidR="00732CD8" w:rsidRPr="00732CD8" w:rsidP="00732CD8">
      <w:pPr>
        <w:bidi w:val="0"/>
        <w:spacing w:before="120" w:after="0" w:line="240" w:lineRule="auto"/>
        <w:ind w:firstLine="709"/>
        <w:jc w:val="both"/>
        <w:rPr>
          <w:rFonts w:ascii="Times New Roman" w:hAnsi="Times New Roman"/>
          <w:szCs w:val="24"/>
          <w:lang w:eastAsia="cs-CZ"/>
        </w:rPr>
      </w:pPr>
      <w:r w:rsidRPr="00732CD8">
        <w:rPr>
          <w:rFonts w:ascii="Times New Roman" w:hAnsi="Times New Roman"/>
          <w:szCs w:val="24"/>
          <w:lang w:eastAsia="cs-CZ"/>
        </w:rPr>
        <w:t xml:space="preserve">Vojenská spravodajská služba získava, sústreďuje a vyhodnocuje informácie o aktivitách, ktoré sa primárne dejú mimo územia Slovenskej republiky a smerujú proti suverenite, zvrchovanosti, územnej celistvosti a obranyschopnosti Slovenskej republiky a zároveň môžu vážne poškodiť, alebo ohroziť ďalšie chránené záujmy Slovenskej republiky. </w:t>
      </w:r>
    </w:p>
    <w:p w:rsidR="00732CD8" w:rsidRPr="00732CD8" w:rsidP="00732CD8">
      <w:pPr>
        <w:bidi w:val="0"/>
        <w:spacing w:before="120" w:after="0" w:line="240" w:lineRule="auto"/>
        <w:ind w:firstLine="709"/>
        <w:jc w:val="both"/>
        <w:rPr>
          <w:rFonts w:ascii="Times New Roman" w:hAnsi="Times New Roman"/>
          <w:szCs w:val="24"/>
          <w:lang w:eastAsia="cs-CZ"/>
        </w:rPr>
      </w:pPr>
      <w:r w:rsidRPr="00732CD8">
        <w:rPr>
          <w:rFonts w:ascii="Times New Roman" w:hAnsi="Times New Roman"/>
          <w:szCs w:val="24"/>
          <w:lang w:eastAsia="cs-CZ"/>
        </w:rPr>
        <w:t>Vojenská spravodajská služba (ďalej len „VSS“) plní v rozsahu svojej pôsobnosti aj ďalšie úlohy podľa osobitných predpisov a úlohy vyplývajúce z medzinárodných zmlúv a dohôd, ktorými je Slovenská republika viazaná.</w:t>
      </w:r>
    </w:p>
    <w:p w:rsidR="00732CD8" w:rsidRPr="00732CD8" w:rsidP="00732CD8">
      <w:pPr>
        <w:bidi w:val="0"/>
        <w:spacing w:before="120" w:after="0" w:line="240" w:lineRule="auto"/>
        <w:ind w:firstLine="709"/>
        <w:jc w:val="both"/>
        <w:rPr>
          <w:rFonts w:ascii="Times New Roman" w:hAnsi="Times New Roman"/>
          <w:szCs w:val="24"/>
          <w:lang w:eastAsia="cs-CZ"/>
        </w:rPr>
      </w:pPr>
      <w:r w:rsidRPr="00732CD8">
        <w:rPr>
          <w:rFonts w:ascii="Times New Roman" w:hAnsi="Times New Roman"/>
          <w:szCs w:val="24"/>
          <w:lang w:eastAsia="cs-CZ"/>
        </w:rPr>
        <w:t xml:space="preserve">Priority VSS a zameranie jej spravodajskej činnosti ako jedného z pilierov bezpečnosti štátu, reflektovali na zmeny v geopolitickom postavení Slovenskej republiky vyplývajúce z členstva v NATO a EÚ. </w:t>
      </w:r>
    </w:p>
    <w:p w:rsidR="00732CD8" w:rsidRPr="00732CD8" w:rsidP="00732CD8">
      <w:pPr>
        <w:bidi w:val="0"/>
        <w:spacing w:before="120" w:after="0" w:line="240" w:lineRule="auto"/>
        <w:ind w:firstLine="709"/>
        <w:jc w:val="both"/>
        <w:rPr>
          <w:rFonts w:ascii="Times New Roman" w:eastAsia="MS Mincho" w:hAnsi="Times New Roman" w:hint="default"/>
          <w:szCs w:val="24"/>
          <w:lang w:eastAsia="cs-CZ"/>
        </w:rPr>
      </w:pPr>
      <w:r w:rsidRPr="00732CD8">
        <w:rPr>
          <w:rFonts w:ascii="Times New Roman" w:hAnsi="Times New Roman"/>
          <w:szCs w:val="24"/>
          <w:lang w:eastAsia="cs-CZ"/>
        </w:rPr>
        <w:t xml:space="preserve">Pri plnení priorít vyplývajúcich z úloh stanovených zákonom o Vojenskom spravodajstve, ktorých cieľom je </w:t>
      </w:r>
      <w:r w:rsidRPr="00732CD8">
        <w:rPr>
          <w:rFonts w:ascii="Times New Roman" w:eastAsia="MS Mincho" w:hAnsi="Times New Roman" w:hint="default"/>
          <w:szCs w:val="24"/>
          <w:lang w:eastAsia="cs-CZ"/>
        </w:rPr>
        <w:t>zí</w:t>
      </w:r>
      <w:r w:rsidRPr="00732CD8">
        <w:rPr>
          <w:rFonts w:ascii="Times New Roman" w:eastAsia="MS Mincho" w:hAnsi="Times New Roman" w:hint="default"/>
          <w:szCs w:val="24"/>
          <w:lang w:eastAsia="cs-CZ"/>
        </w:rPr>
        <w:t>skavanie, sú</w:t>
      </w:r>
      <w:r w:rsidRPr="00732CD8">
        <w:rPr>
          <w:rFonts w:ascii="Times New Roman" w:eastAsia="MS Mincho" w:hAnsi="Times New Roman" w:hint="default"/>
          <w:szCs w:val="24"/>
          <w:lang w:eastAsia="cs-CZ"/>
        </w:rPr>
        <w:t>streď</w:t>
      </w:r>
      <w:r w:rsidRPr="00732CD8">
        <w:rPr>
          <w:rFonts w:ascii="Times New Roman" w:eastAsia="MS Mincho" w:hAnsi="Times New Roman" w:hint="default"/>
          <w:szCs w:val="24"/>
          <w:lang w:eastAsia="cs-CZ"/>
        </w:rPr>
        <w:t>ovanie a </w:t>
      </w:r>
      <w:r w:rsidRPr="00732CD8">
        <w:rPr>
          <w:rFonts w:ascii="Times New Roman" w:eastAsia="MS Mincho" w:hAnsi="Times New Roman" w:hint="default"/>
          <w:szCs w:val="24"/>
          <w:lang w:eastAsia="cs-CZ"/>
        </w:rPr>
        <w:t>vyhodnocovanie informá</w:t>
      </w:r>
      <w:r w:rsidRPr="00732CD8">
        <w:rPr>
          <w:rFonts w:ascii="Times New Roman" w:eastAsia="MS Mincho" w:hAnsi="Times New Roman" w:hint="default"/>
          <w:szCs w:val="24"/>
          <w:lang w:eastAsia="cs-CZ"/>
        </w:rPr>
        <w:t>cií</w:t>
      </w:r>
      <w:r w:rsidRPr="00732CD8">
        <w:rPr>
          <w:rFonts w:ascii="Times New Roman" w:eastAsia="MS Mincho" w:hAnsi="Times New Roman" w:hint="default"/>
          <w:szCs w:val="24"/>
          <w:lang w:eastAsia="cs-CZ"/>
        </w:rPr>
        <w:t xml:space="preserve"> o aktivit</w:t>
      </w:r>
      <w:r w:rsidRPr="00732CD8">
        <w:rPr>
          <w:rFonts w:ascii="Times New Roman" w:eastAsia="MS Mincho" w:hAnsi="Times New Roman" w:hint="default"/>
          <w:szCs w:val="24"/>
          <w:lang w:eastAsia="cs-CZ"/>
        </w:rPr>
        <w:t>á</w:t>
      </w:r>
      <w:r w:rsidRPr="00732CD8">
        <w:rPr>
          <w:rFonts w:ascii="Times New Roman" w:eastAsia="MS Mincho" w:hAnsi="Times New Roman" w:hint="default"/>
          <w:szCs w:val="24"/>
          <w:lang w:eastAsia="cs-CZ"/>
        </w:rPr>
        <w:t>ch smerujú</w:t>
      </w:r>
      <w:r w:rsidRPr="00732CD8">
        <w:rPr>
          <w:rFonts w:ascii="Times New Roman" w:eastAsia="MS Mincho" w:hAnsi="Times New Roman" w:hint="default"/>
          <w:szCs w:val="24"/>
          <w:lang w:eastAsia="cs-CZ"/>
        </w:rPr>
        <w:t>cich proti suverenite, zvrchovanosti, ú</w:t>
      </w:r>
      <w:r w:rsidRPr="00732CD8">
        <w:rPr>
          <w:rFonts w:ascii="Times New Roman" w:eastAsia="MS Mincho" w:hAnsi="Times New Roman" w:hint="default"/>
          <w:szCs w:val="24"/>
          <w:lang w:eastAsia="cs-CZ"/>
        </w:rPr>
        <w:t>zemnej celistvosti a obranyschopnosti Slovenskej republiky</w:t>
      </w:r>
      <w:r w:rsidRPr="00732CD8">
        <w:rPr>
          <w:rFonts w:ascii="Times New Roman" w:hAnsi="Times New Roman"/>
          <w:szCs w:val="24"/>
          <w:lang w:eastAsia="cs-CZ"/>
        </w:rPr>
        <w:t xml:space="preserve"> a ktoré zároveň môžu vážne poškodiť, alebo ohroziť ďalšie chránené záujmy Slovenskej republiky</w:t>
      </w:r>
      <w:r w:rsidRPr="00732CD8">
        <w:rPr>
          <w:rFonts w:ascii="Times New Roman" w:eastAsia="MS Mincho" w:hAnsi="Times New Roman"/>
          <w:szCs w:val="24"/>
          <w:lang w:eastAsia="cs-CZ"/>
        </w:rPr>
        <w:t xml:space="preserve"> je VSS </w:t>
      </w:r>
      <w:r w:rsidRPr="00732CD8">
        <w:rPr>
          <w:rFonts w:ascii="Times New Roman" w:hAnsi="Times New Roman"/>
          <w:szCs w:val="24"/>
          <w:lang w:eastAsia="cs-CZ"/>
        </w:rPr>
        <w:t xml:space="preserve">v súlade s § 10 ods. 1 písm. b) zákona o Vojenskom spravodajstve a v zmysle § 2 ods. 2 zákona o ochrane pred odpočúvaním </w:t>
      </w:r>
      <w:r w:rsidRPr="00732CD8">
        <w:rPr>
          <w:rFonts w:ascii="Times New Roman" w:eastAsia="MS Mincho" w:hAnsi="Times New Roman" w:hint="default"/>
          <w:szCs w:val="24"/>
          <w:lang w:eastAsia="cs-CZ"/>
        </w:rPr>
        <w:t>oprá</w:t>
      </w:r>
      <w:r w:rsidRPr="00732CD8">
        <w:rPr>
          <w:rFonts w:ascii="Times New Roman" w:eastAsia="MS Mincho" w:hAnsi="Times New Roman" w:hint="default"/>
          <w:szCs w:val="24"/>
          <w:lang w:eastAsia="cs-CZ"/>
        </w:rPr>
        <w:t>vnená</w:t>
      </w:r>
      <w:r w:rsidRPr="00732CD8">
        <w:rPr>
          <w:rFonts w:ascii="Times New Roman" w:eastAsia="MS Mincho" w:hAnsi="Times New Roman" w:hint="default"/>
          <w:szCs w:val="24"/>
          <w:lang w:eastAsia="cs-CZ"/>
        </w:rPr>
        <w:t xml:space="preserve"> použ</w:t>
      </w:r>
      <w:r w:rsidRPr="00732CD8">
        <w:rPr>
          <w:rFonts w:ascii="Times New Roman" w:eastAsia="MS Mincho" w:hAnsi="Times New Roman" w:hint="default"/>
          <w:szCs w:val="24"/>
          <w:lang w:eastAsia="cs-CZ"/>
        </w:rPr>
        <w:t>iť</w:t>
      </w:r>
      <w:r w:rsidRPr="00732CD8">
        <w:rPr>
          <w:rFonts w:ascii="Times New Roman" w:eastAsia="MS Mincho" w:hAnsi="Times New Roman" w:hint="default"/>
          <w:szCs w:val="24"/>
          <w:lang w:eastAsia="cs-CZ"/>
        </w:rPr>
        <w:t xml:space="preserve">  ITP. </w:t>
      </w:r>
    </w:p>
    <w:p w:rsidR="00732CD8" w:rsidRPr="00732CD8" w:rsidP="00732CD8">
      <w:pPr>
        <w:bidi w:val="0"/>
        <w:spacing w:before="120" w:after="0" w:line="240" w:lineRule="auto"/>
        <w:ind w:firstLine="709"/>
        <w:jc w:val="both"/>
        <w:rPr>
          <w:rFonts w:ascii="Times New Roman" w:hAnsi="Times New Roman"/>
          <w:szCs w:val="24"/>
          <w:lang w:eastAsia="cs-CZ"/>
        </w:rPr>
      </w:pPr>
      <w:r w:rsidRPr="00732CD8">
        <w:rPr>
          <w:rFonts w:ascii="Times New Roman" w:hAnsi="Times New Roman"/>
          <w:szCs w:val="24"/>
          <w:lang w:eastAsia="cs-CZ"/>
        </w:rPr>
        <w:t>Na základe uvedeného je možné konštatovať, že VSS v roku 2011 využila právo použiť ITP. Štatistické údaje o použití ITP v roku 2011 sú uvedené v tabuľke.</w:t>
      </w:r>
    </w:p>
    <w:p w:rsidR="00732CD8" w:rsidRPr="00732CD8" w:rsidP="00732CD8">
      <w:pPr>
        <w:bidi w:val="0"/>
        <w:spacing w:before="120" w:after="0" w:line="240" w:lineRule="auto"/>
        <w:jc w:val="both"/>
        <w:rPr>
          <w:rFonts w:ascii="Times New Roman" w:hAnsi="Times New Roman"/>
          <w:szCs w:val="24"/>
          <w:lang w:eastAsia="cs-CZ"/>
        </w:rPr>
      </w:pPr>
    </w:p>
    <w:p w:rsidR="00732CD8" w:rsidRPr="00732CD8" w:rsidP="00732CD8">
      <w:pPr>
        <w:numPr>
          <w:numId w:val="16"/>
        </w:numPr>
        <w:bidi w:val="0"/>
        <w:spacing w:before="120" w:after="0" w:line="240" w:lineRule="auto"/>
        <w:jc w:val="both"/>
        <w:rPr>
          <w:rFonts w:ascii="Times New Roman" w:hAnsi="Times New Roman"/>
          <w:b/>
          <w:szCs w:val="24"/>
          <w:lang w:eastAsia="cs-CZ"/>
        </w:rPr>
      </w:pPr>
      <w:r w:rsidRPr="00732CD8">
        <w:rPr>
          <w:rFonts w:ascii="Times New Roman" w:hAnsi="Times New Roman"/>
          <w:b/>
          <w:szCs w:val="24"/>
          <w:lang w:eastAsia="cs-CZ"/>
        </w:rPr>
        <w:t>Záver</w:t>
      </w:r>
    </w:p>
    <w:p w:rsidR="00732CD8" w:rsidRPr="00732CD8" w:rsidP="00732CD8">
      <w:pPr>
        <w:bidi w:val="0"/>
        <w:spacing w:before="120" w:after="0" w:line="240" w:lineRule="auto"/>
        <w:ind w:firstLine="708"/>
        <w:jc w:val="both"/>
        <w:rPr>
          <w:rFonts w:ascii="Times New Roman" w:hAnsi="Times New Roman"/>
          <w:szCs w:val="24"/>
          <w:lang w:eastAsia="cs-CZ"/>
        </w:rPr>
      </w:pPr>
      <w:r w:rsidRPr="00732CD8">
        <w:rPr>
          <w:rFonts w:ascii="Times New Roman" w:hAnsi="Times New Roman"/>
          <w:szCs w:val="24"/>
          <w:lang w:eastAsia="cs-CZ"/>
        </w:rPr>
        <w:t>V pôsobnosti Vojenského spravodajstva pri plnení úloh Vojenského obranného spravodajstva, boli všetky ITP realizované na základe predchádzajúceho písomného súhlasu zákonného sudcu.</w:t>
      </w:r>
    </w:p>
    <w:p w:rsidR="00732CD8" w:rsidRPr="00732CD8" w:rsidP="00732CD8">
      <w:pPr>
        <w:bidi w:val="0"/>
        <w:spacing w:before="120" w:after="0" w:line="240" w:lineRule="auto"/>
        <w:ind w:firstLine="708"/>
        <w:jc w:val="both"/>
        <w:rPr>
          <w:rFonts w:ascii="Times New Roman" w:hAnsi="Times New Roman"/>
          <w:szCs w:val="24"/>
          <w:lang w:eastAsia="cs-CZ"/>
        </w:rPr>
      </w:pPr>
      <w:r w:rsidRPr="00732CD8">
        <w:rPr>
          <w:rFonts w:ascii="Times New Roman" w:hAnsi="Times New Roman"/>
          <w:szCs w:val="24"/>
          <w:lang w:eastAsia="cs-CZ"/>
        </w:rPr>
        <w:t>V roku 2011 došlo z prostredia Vojenského obranného spravodajstva k úniku utajovaných skutočností a osobných údajov vzťahujúcich sa k ITP a ich následnej medializácii dňa 21. novembra 2011. Bezprostredne po tejto udalosti začala Generálna prokuratúra SR trestné stíhanie vo veci prečinu ohrozenia dôvernej a vyhradenej skutočnosti podľa § 353 ods. 1 Trestného zákona v jednočinnom súbehu s prečinom neoprávneného nakladania s osobnými údajmi podľa § 374 ods. 1 písm. a), ods. 2 písm. a), písm. c) Trestného zákona. V priebehu vyšetrovania vzniklo podozrenie, že ITP mohli byť Vojenským obranným spravodajstvom použité v rozpore s ustanoveniami § 3 zákona o ochrane pred odpočúvaním. Došlo tým k spochybneniu zákonnosti pri použití ITP na ktoré bol vydaný súhlas sudcu za obdobie od 1. júna 2010 do 25. novembra 2011. V tejto súvislosti začala Generálna prokuratúra SR trestné stíhanie vo veci zločinu zneužívania právomoci verejného činiteľa podľa § 326 ods. 1 písm. a), ods. 2 písm. a) Trestného zákona. Vo Vojenskom obrannom spravodajstve od 3. decembra 2011 prebieha interné vyšetrovania pričom došlo k prijatiu konkrétnych opatrení smerujúcich k zamedzeniu úniku utajovaných skutočností. Zároveň sa sprísnili pravidlá na použitie ITP tak, aby ich použitie bolo vykonávané vždy v súlade s ustanoveniami § 3 zákona o ochrane pred odpočúvaním.</w:t>
      </w:r>
    </w:p>
    <w:p w:rsidR="00732CD8" w:rsidRPr="00732CD8" w:rsidP="00732CD8">
      <w:pPr>
        <w:bidi w:val="0"/>
        <w:spacing w:before="120" w:after="0" w:line="240" w:lineRule="auto"/>
        <w:ind w:firstLine="708"/>
        <w:jc w:val="both"/>
        <w:rPr>
          <w:rFonts w:ascii="Times New Roman" w:hAnsi="Times New Roman"/>
          <w:szCs w:val="24"/>
          <w:lang w:eastAsia="cs-CZ"/>
        </w:rPr>
      </w:pPr>
      <w:r w:rsidRPr="00732CD8">
        <w:rPr>
          <w:rFonts w:ascii="Times New Roman" w:hAnsi="Times New Roman"/>
          <w:szCs w:val="24"/>
          <w:lang w:eastAsia="cs-CZ"/>
        </w:rPr>
        <w:t>Ostatné ITP realizované Vojenským obranným spravodajstvom za rok 2011 podľa tejto informácie boli použité v súlade s ustanoveniami § 3 zákona o ochrane pred odpočúvaním.</w:t>
      </w:r>
    </w:p>
    <w:p w:rsidR="00732CD8" w:rsidRPr="00732CD8" w:rsidP="00732CD8">
      <w:pPr>
        <w:bidi w:val="0"/>
        <w:spacing w:before="120" w:after="0" w:line="240" w:lineRule="auto"/>
        <w:ind w:firstLine="708"/>
        <w:jc w:val="both"/>
        <w:rPr>
          <w:rFonts w:ascii="Times New Roman" w:hAnsi="Times New Roman"/>
          <w:szCs w:val="24"/>
          <w:lang w:eastAsia="cs-CZ"/>
        </w:rPr>
      </w:pPr>
      <w:r w:rsidRPr="00732CD8">
        <w:rPr>
          <w:rFonts w:ascii="Times New Roman" w:hAnsi="Times New Roman"/>
          <w:szCs w:val="24"/>
          <w:lang w:eastAsia="cs-CZ"/>
        </w:rPr>
        <w:t>V pôsobnosti Vojenského spravodajstva pri plnení úloh Vojenskej spravodajskej služby boli deklarované ITP podľa tejto informácie použité v súlade s ustanoveniami § 3 zákona o ochrane pred odpočúvaním, kedy ich použitie bolo nevyhnutné na zabezpečenie bezpečnosti štátu, obrany štátu, predchádzanie a objasňovanie trestnej činnosti alebo na ochranu práv a slobôd iných a boli použité len v nevyhnutnom rozsahu.</w:t>
      </w:r>
    </w:p>
    <w:p w:rsidR="00732CD8" w:rsidRPr="00732CD8" w:rsidP="00732CD8">
      <w:pPr>
        <w:bidi w:val="0"/>
        <w:spacing w:before="120" w:after="0" w:line="240" w:lineRule="auto"/>
        <w:ind w:firstLine="708"/>
        <w:jc w:val="both"/>
        <w:rPr>
          <w:rFonts w:ascii="Times New Roman" w:hAnsi="Times New Roman"/>
          <w:szCs w:val="24"/>
          <w:lang w:eastAsia="cs-CZ"/>
        </w:rPr>
      </w:pPr>
    </w:p>
    <w:p w:rsidR="00732CD8" w:rsidRPr="00732CD8" w:rsidP="00732CD8">
      <w:pPr>
        <w:pageBreakBefore/>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Vojenské obranné spravodajstvo – tabuľková časť</w:t>
      </w:r>
    </w:p>
    <w:tbl>
      <w:tblPr>
        <w:tblStyle w:val="TableNormal"/>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33"/>
        <w:gridCol w:w="3286"/>
        <w:gridCol w:w="1276"/>
        <w:gridCol w:w="1276"/>
        <w:gridCol w:w="1275"/>
        <w:gridCol w:w="1276"/>
      </w:tblGrid>
      <w:tr>
        <w:tblPrEx>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624"/>
        </w:trPr>
        <w:tc>
          <w:tcPr>
            <w:tcW w:w="933" w:type="dxa"/>
            <w:tcBorders>
              <w:top w:val="single" w:sz="4" w:space="0" w:color="auto"/>
              <w:left w:val="single" w:sz="4" w:space="0" w:color="auto"/>
              <w:bottom w:val="single" w:sz="6" w:space="0" w:color="auto"/>
              <w:right w:val="single" w:sz="6" w:space="0" w:color="auto"/>
            </w:tcBorders>
            <w:textDirection w:val="lrTb"/>
            <w:vAlign w:val="center"/>
          </w:tcPr>
          <w:p w:rsidR="00732CD8" w:rsidRPr="00732CD8" w:rsidP="00732CD8">
            <w:pPr>
              <w:bidi w:val="0"/>
              <w:spacing w:after="0" w:line="240" w:lineRule="auto"/>
              <w:jc w:val="center"/>
              <w:rPr>
                <w:rFonts w:ascii="Times New Roman" w:hAnsi="Times New Roman"/>
                <w:szCs w:val="24"/>
                <w:lang w:eastAsia="cs-CZ"/>
              </w:rPr>
            </w:pPr>
          </w:p>
        </w:tc>
        <w:tc>
          <w:tcPr>
            <w:tcW w:w="3286" w:type="dxa"/>
            <w:tcBorders>
              <w:top w:val="single" w:sz="4"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Obsahový počet</w:t>
            </w:r>
          </w:p>
        </w:tc>
        <w:tc>
          <w:tcPr>
            <w:tcW w:w="1276" w:type="dxa"/>
            <w:tcBorders>
              <w:top w:val="single" w:sz="4"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 2 ods.1 písm. a)</w:t>
            </w:r>
          </w:p>
        </w:tc>
        <w:tc>
          <w:tcPr>
            <w:tcW w:w="1276" w:type="dxa"/>
            <w:tcBorders>
              <w:top w:val="single" w:sz="4"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 2 ods.1 písm. b)</w:t>
            </w:r>
          </w:p>
        </w:tc>
        <w:tc>
          <w:tcPr>
            <w:tcW w:w="1275" w:type="dxa"/>
            <w:tcBorders>
              <w:top w:val="single" w:sz="4"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 2 ods.1 písm. c)</w:t>
            </w:r>
          </w:p>
        </w:tc>
        <w:tc>
          <w:tcPr>
            <w:tcW w:w="1276" w:type="dxa"/>
            <w:tcBorders>
              <w:top w:val="single" w:sz="4"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Celkový počet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1./a)</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Počet žiadostí na použitie ITP – par. 4 ods.1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126</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4</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130</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2.</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Vydané súhlasy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116</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4</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120</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3.</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Odmietnuté žiadosti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10</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10</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4./b)</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Počet prípadov, v ktorých sa predložila opakovaná žiadosť na predĺženie doby použitia ITP v tom istom prípade – par. 4 ods. 2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17</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17</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5.</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Vydané súhlasy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17</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17</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6.</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Odmietnuté žiadosti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7./c)</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Počet prípadov použitia ITP v zmysle par. 5 ods. 1 a 2 – dodatočné súhlasy,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8.</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Počet žiadostí o dodatočný súhlas, v ktorých sudca vydal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22" w:type="dxa"/>
          <w:tblLook w:val="01E0"/>
        </w:tblPrEx>
        <w:trPr>
          <w:trHeight w:val="658"/>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9.</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Počet zákonným sudcom odmietnutých žiadostí o dodatočný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10.</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Počet ITP u ktorých bol dosiahnutý zákonom uznaný účel a cieľ (k § </w:t>
            </w:r>
            <w:smartTag w:uri="urn:schemas-microsoft-com:office:smarttags" w:element="metricconverter">
              <w:smartTagPr>
                <w:attr w:name="ProductID" w:val="3 a"/>
              </w:smartTagPr>
              <w:r w:rsidRPr="00732CD8">
                <w:rPr>
                  <w:rFonts w:ascii="Times New Roman" w:hAnsi="Times New Roman"/>
                  <w:szCs w:val="24"/>
                  <w:lang w:eastAsia="cs-CZ"/>
                </w:rPr>
                <w:t>3 a</w:t>
              </w:r>
            </w:smartTag>
            <w:r w:rsidRPr="00732CD8">
              <w:rPr>
                <w:rFonts w:ascii="Times New Roman" w:hAnsi="Times New Roman"/>
                <w:szCs w:val="24"/>
                <w:lang w:eastAsia="cs-CZ"/>
              </w:rPr>
              <w:t xml:space="preserve"> §7)</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11.</w:t>
            </w:r>
          </w:p>
        </w:tc>
        <w:tc>
          <w:tcPr>
            <w:tcW w:w="328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Počty prípadov použitia ITP, z ktorých boli informácie použité ako dôkaz v trestnom konaní:</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22" w:type="dxa"/>
          <w:tblLook w:val="01E0"/>
        </w:tblPrEx>
        <w:trPr>
          <w:trHeight w:val="624"/>
        </w:trPr>
        <w:tc>
          <w:tcPr>
            <w:tcW w:w="933" w:type="dxa"/>
            <w:tcBorders>
              <w:top w:val="single" w:sz="6" w:space="0" w:color="auto"/>
              <w:left w:val="single" w:sz="4" w:space="0" w:color="auto"/>
              <w:bottom w:val="single" w:sz="4"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12.</w:t>
            </w:r>
          </w:p>
        </w:tc>
        <w:tc>
          <w:tcPr>
            <w:tcW w:w="3286" w:type="dxa"/>
            <w:tcBorders>
              <w:top w:val="single" w:sz="6" w:space="0" w:color="auto"/>
              <w:left w:val="single" w:sz="6" w:space="0" w:color="auto"/>
              <w:bottom w:val="single" w:sz="4"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Počet prípadov nezákonného použitia ITP:</w:t>
            </w:r>
          </w:p>
        </w:tc>
        <w:tc>
          <w:tcPr>
            <w:tcW w:w="1276" w:type="dxa"/>
            <w:tcBorders>
              <w:top w:val="single" w:sz="6" w:space="0" w:color="auto"/>
              <w:left w:val="single" w:sz="6" w:space="0" w:color="auto"/>
              <w:bottom w:val="single" w:sz="4"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4"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4"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bl>
    <w:p w:rsidR="00732CD8" w:rsidRPr="00732CD8" w:rsidP="00732CD8">
      <w:pPr>
        <w:tabs>
          <w:tab w:val="right" w:leader="dot" w:pos="3969"/>
        </w:tabs>
        <w:autoSpaceDE w:val="0"/>
        <w:autoSpaceDN w:val="0"/>
        <w:bidi w:val="0"/>
        <w:adjustRightInd w:val="0"/>
        <w:spacing w:after="0" w:line="240" w:lineRule="auto"/>
        <w:rPr>
          <w:rFonts w:ascii="Times New Roman" w:hAnsi="Times New Roman"/>
          <w:szCs w:val="24"/>
          <w:lang w:eastAsia="sk-SK"/>
        </w:rPr>
      </w:pPr>
    </w:p>
    <w:p w:rsidR="00732CD8" w:rsidRPr="00732CD8" w:rsidP="00732CD8">
      <w:pPr>
        <w:tabs>
          <w:tab w:val="right" w:leader="dot" w:pos="3969"/>
        </w:tabs>
        <w:autoSpaceDE w:val="0"/>
        <w:autoSpaceDN w:val="0"/>
        <w:bidi w:val="0"/>
        <w:adjustRightInd w:val="0"/>
        <w:spacing w:after="0" w:line="240" w:lineRule="auto"/>
        <w:jc w:val="both"/>
        <w:rPr>
          <w:rFonts w:ascii="Times New Roman" w:hAnsi="Times New Roman"/>
          <w:szCs w:val="24"/>
          <w:lang w:eastAsia="sk-SK"/>
        </w:rPr>
      </w:pPr>
      <w:r w:rsidRPr="00732CD8">
        <w:rPr>
          <w:rFonts w:ascii="Times New Roman" w:hAnsi="Times New Roman"/>
          <w:szCs w:val="24"/>
          <w:lang w:eastAsia="sk-SK"/>
        </w:rPr>
        <w:t>*  nie je možné vyhodnotiť z dôvodu že spisová dokumentácia vzťahujúca sa k použitiu ITP bola dňa 21. decembra 2011 predložená vyšetrovaciemu orgánu ako je uvedené v texte</w:t>
      </w:r>
    </w:p>
    <w:p w:rsidR="00732CD8" w:rsidRPr="00732CD8" w:rsidP="00732CD8">
      <w:pPr>
        <w:pageBreakBefore/>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Vojenská spravodajská služba – tabuľková časť</w:t>
      </w:r>
    </w:p>
    <w:tbl>
      <w:tblPr>
        <w:tblStyle w:val="TableNormal"/>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033"/>
        <w:gridCol w:w="3220"/>
        <w:gridCol w:w="1276"/>
        <w:gridCol w:w="1276"/>
        <w:gridCol w:w="1275"/>
        <w:gridCol w:w="1276"/>
      </w:tblGrid>
      <w:tr>
        <w:tblPrEx>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624"/>
        </w:trPr>
        <w:tc>
          <w:tcPr>
            <w:tcW w:w="1033" w:type="dxa"/>
            <w:tcBorders>
              <w:top w:val="single" w:sz="4" w:space="0" w:color="auto"/>
              <w:left w:val="single" w:sz="4" w:space="0" w:color="auto"/>
              <w:bottom w:val="single" w:sz="6" w:space="0" w:color="auto"/>
              <w:right w:val="single" w:sz="6" w:space="0" w:color="auto"/>
            </w:tcBorders>
            <w:textDirection w:val="lrTb"/>
            <w:vAlign w:val="center"/>
          </w:tcPr>
          <w:p w:rsidR="00732CD8" w:rsidRPr="00732CD8" w:rsidP="00732CD8">
            <w:pPr>
              <w:bidi w:val="0"/>
              <w:spacing w:after="0" w:line="240" w:lineRule="auto"/>
              <w:jc w:val="center"/>
              <w:rPr>
                <w:rFonts w:ascii="Times New Roman" w:hAnsi="Times New Roman"/>
                <w:szCs w:val="24"/>
                <w:lang w:eastAsia="cs-CZ"/>
              </w:rPr>
            </w:pPr>
          </w:p>
        </w:tc>
        <w:tc>
          <w:tcPr>
            <w:tcW w:w="3220" w:type="dxa"/>
            <w:tcBorders>
              <w:top w:val="single" w:sz="4"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Obsahový počet</w:t>
            </w:r>
          </w:p>
        </w:tc>
        <w:tc>
          <w:tcPr>
            <w:tcW w:w="1276" w:type="dxa"/>
            <w:tcBorders>
              <w:top w:val="single" w:sz="4"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 2 ods.1 písm. a)</w:t>
            </w:r>
          </w:p>
        </w:tc>
        <w:tc>
          <w:tcPr>
            <w:tcW w:w="1276" w:type="dxa"/>
            <w:tcBorders>
              <w:top w:val="single" w:sz="4"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 2 ods.1 písm. b)</w:t>
            </w:r>
          </w:p>
        </w:tc>
        <w:tc>
          <w:tcPr>
            <w:tcW w:w="1275" w:type="dxa"/>
            <w:tcBorders>
              <w:top w:val="single" w:sz="4"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 2 ods.1 písm. c)</w:t>
            </w:r>
          </w:p>
        </w:tc>
        <w:tc>
          <w:tcPr>
            <w:tcW w:w="1276" w:type="dxa"/>
            <w:tcBorders>
              <w:top w:val="single" w:sz="4"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Celkový počet</w:t>
            </w:r>
          </w:p>
        </w:tc>
      </w:tr>
      <w:tr>
        <w:tblPrEx>
          <w:tblW w:w="9356" w:type="dxa"/>
          <w:tblInd w:w="-34" w:type="dxa"/>
          <w:tblLook w:val="01E0"/>
        </w:tblPrEx>
        <w:trPr>
          <w:trHeight w:val="624"/>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1./a)</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Počet žiadostí na použitie ITP – § 4 ods.1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w:t>
            </w:r>
          </w:p>
        </w:tc>
      </w:tr>
      <w:tr>
        <w:tblPrEx>
          <w:tblW w:w="9356" w:type="dxa"/>
          <w:tblInd w:w="-34" w:type="dxa"/>
          <w:tblLook w:val="01E0"/>
        </w:tblPrEx>
        <w:trPr>
          <w:trHeight w:val="624"/>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2.</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Vydané súhlasy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w:t>
            </w:r>
          </w:p>
        </w:tc>
      </w:tr>
      <w:tr>
        <w:tblPrEx>
          <w:tblW w:w="9356" w:type="dxa"/>
          <w:tblInd w:w="-34" w:type="dxa"/>
          <w:tblLook w:val="01E0"/>
        </w:tblPrEx>
        <w:trPr>
          <w:trHeight w:val="624"/>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3.</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Odmietnuté žiadosti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56" w:type="dxa"/>
          <w:tblInd w:w="-34" w:type="dxa"/>
          <w:tblLook w:val="01E0"/>
        </w:tblPrEx>
        <w:trPr>
          <w:trHeight w:val="624"/>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4./b)</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Počet prípadov, v ktorých sa predložila opakovaná žiadosť na predĺženie doby použitia ITP v tom istom prípade – § 4 ods. 2,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56" w:type="dxa"/>
          <w:tblInd w:w="-34" w:type="dxa"/>
          <w:tblLook w:val="01E0"/>
        </w:tblPrEx>
        <w:trPr>
          <w:trHeight w:val="624"/>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5.</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Vydané súhlasy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56" w:type="dxa"/>
          <w:tblInd w:w="-34" w:type="dxa"/>
          <w:tblLook w:val="01E0"/>
        </w:tblPrEx>
        <w:trPr>
          <w:trHeight w:val="624"/>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6.</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Odmietnuté žiadosti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56" w:type="dxa"/>
          <w:tblInd w:w="-34" w:type="dxa"/>
          <w:tblLook w:val="01E0"/>
        </w:tblPrEx>
        <w:trPr>
          <w:trHeight w:val="624"/>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7./c)</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Počet prípadov použitia ITP v zmysle § 5 ods. 1 a 2 – dodatočné súhlasy,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56" w:type="dxa"/>
          <w:tblInd w:w="-34" w:type="dxa"/>
          <w:tblLook w:val="01E0"/>
        </w:tblPrEx>
        <w:trPr>
          <w:trHeight w:val="624"/>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8.</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szCs w:val="24"/>
                <w:lang w:eastAsia="cs-CZ"/>
              </w:rPr>
              <w:t>Počet žiadostí o dodatočný súhlas, v ktorých sudca vydal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56" w:type="dxa"/>
          <w:tblInd w:w="-34" w:type="dxa"/>
          <w:tblLook w:val="01E0"/>
        </w:tblPrEx>
        <w:trPr>
          <w:trHeight w:val="658"/>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9.</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Počet zákonným sudcom odmietnutých žiadostí o dodatočný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56" w:type="dxa"/>
          <w:tblInd w:w="-34" w:type="dxa"/>
          <w:tblLook w:val="01E0"/>
        </w:tblPrEx>
        <w:trPr>
          <w:trHeight w:val="624"/>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10.</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Počet ITP u ktorých bol dosiahnutý zákonom uznaný účel a cieľ (k § </w:t>
            </w:r>
            <w:smartTag w:uri="urn:schemas-microsoft-com:office:smarttags" w:element="metricconverter">
              <w:smartTagPr>
                <w:attr w:name="ProductID" w:val="3 a"/>
              </w:smartTagPr>
              <w:r w:rsidRPr="00732CD8">
                <w:rPr>
                  <w:rFonts w:ascii="Times New Roman" w:hAnsi="Times New Roman"/>
                  <w:szCs w:val="24"/>
                  <w:lang w:eastAsia="cs-CZ"/>
                </w:rPr>
                <w:t>3 a</w:t>
              </w:r>
            </w:smartTag>
            <w:r w:rsidRPr="00732CD8">
              <w:rPr>
                <w:rFonts w:ascii="Times New Roman" w:hAnsi="Times New Roman"/>
                <w:szCs w:val="24"/>
                <w:lang w:eastAsia="cs-CZ"/>
              </w:rPr>
              <w:t xml:space="preserve"> §7)</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1</w:t>
            </w:r>
          </w:p>
        </w:tc>
      </w:tr>
      <w:tr>
        <w:tblPrEx>
          <w:tblW w:w="9356" w:type="dxa"/>
          <w:tblInd w:w="-34" w:type="dxa"/>
          <w:tblLook w:val="01E0"/>
        </w:tblPrEx>
        <w:trPr>
          <w:trHeight w:val="624"/>
        </w:trPr>
        <w:tc>
          <w:tcPr>
            <w:tcW w:w="1033" w:type="dxa"/>
            <w:tcBorders>
              <w:top w:val="single" w:sz="6" w:space="0" w:color="auto"/>
              <w:left w:val="single" w:sz="4"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11.</w:t>
            </w:r>
          </w:p>
        </w:tc>
        <w:tc>
          <w:tcPr>
            <w:tcW w:w="3220"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Počty prípadov použitia ITP, z ktorých boli informácie použité ako dôkaz v trestnom konaní:</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r>
        <w:tblPrEx>
          <w:tblW w:w="9356" w:type="dxa"/>
          <w:tblInd w:w="-34" w:type="dxa"/>
          <w:tblLook w:val="01E0"/>
        </w:tblPrEx>
        <w:trPr>
          <w:trHeight w:val="624"/>
        </w:trPr>
        <w:tc>
          <w:tcPr>
            <w:tcW w:w="1033" w:type="dxa"/>
            <w:tcBorders>
              <w:top w:val="single" w:sz="6" w:space="0" w:color="auto"/>
              <w:left w:val="single" w:sz="4" w:space="0" w:color="auto"/>
              <w:bottom w:val="single" w:sz="4"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b/>
                <w:szCs w:val="24"/>
                <w:lang w:eastAsia="cs-CZ"/>
              </w:rPr>
            </w:pPr>
            <w:r w:rsidRPr="00732CD8">
              <w:rPr>
                <w:rFonts w:ascii="Times New Roman" w:hAnsi="Times New Roman"/>
                <w:b/>
                <w:szCs w:val="24"/>
                <w:lang w:eastAsia="cs-CZ"/>
              </w:rPr>
              <w:t>12.</w:t>
            </w:r>
          </w:p>
        </w:tc>
        <w:tc>
          <w:tcPr>
            <w:tcW w:w="3220" w:type="dxa"/>
            <w:tcBorders>
              <w:top w:val="single" w:sz="6" w:space="0" w:color="auto"/>
              <w:left w:val="single" w:sz="6" w:space="0" w:color="auto"/>
              <w:bottom w:val="single" w:sz="4" w:space="0" w:color="auto"/>
              <w:right w:val="single" w:sz="6" w:space="0" w:color="auto"/>
            </w:tcBorders>
            <w:textDirection w:val="lrTb"/>
            <w:vAlign w:val="center"/>
            <w:hideMark/>
          </w:tcPr>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Počet prípadov nezákonného použitia ITP:</w:t>
            </w:r>
          </w:p>
        </w:tc>
        <w:tc>
          <w:tcPr>
            <w:tcW w:w="1276" w:type="dxa"/>
            <w:tcBorders>
              <w:top w:val="single" w:sz="6" w:space="0" w:color="auto"/>
              <w:left w:val="single" w:sz="6" w:space="0" w:color="auto"/>
              <w:bottom w:val="single" w:sz="4"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4"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5" w:type="dxa"/>
            <w:tcBorders>
              <w:top w:val="single" w:sz="6" w:space="0" w:color="auto"/>
              <w:left w:val="single" w:sz="6" w:space="0" w:color="auto"/>
              <w:bottom w:val="single" w:sz="4" w:space="0" w:color="auto"/>
              <w:right w:val="single" w:sz="6"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c>
          <w:tcPr>
            <w:tcW w:w="1276" w:type="dxa"/>
            <w:tcBorders>
              <w:top w:val="single" w:sz="6" w:space="0" w:color="auto"/>
              <w:left w:val="single" w:sz="6" w:space="0" w:color="auto"/>
              <w:bottom w:val="single" w:sz="4" w:space="0" w:color="auto"/>
              <w:right w:val="single" w:sz="4" w:space="0" w:color="auto"/>
            </w:tcBorders>
            <w:textDirection w:val="lrTb"/>
            <w:vAlign w:val="center"/>
            <w:hideMark/>
          </w:tcPr>
          <w:p w:rsidR="00732CD8" w:rsidRPr="00732CD8" w:rsidP="00732CD8">
            <w:pPr>
              <w:bidi w:val="0"/>
              <w:spacing w:after="0" w:line="240" w:lineRule="auto"/>
              <w:jc w:val="center"/>
              <w:rPr>
                <w:rFonts w:ascii="Times New Roman" w:hAnsi="Times New Roman"/>
                <w:szCs w:val="24"/>
                <w:lang w:eastAsia="cs-CZ"/>
              </w:rPr>
            </w:pPr>
            <w:r w:rsidRPr="00732CD8">
              <w:rPr>
                <w:rFonts w:ascii="Times New Roman" w:hAnsi="Times New Roman"/>
                <w:szCs w:val="24"/>
                <w:lang w:eastAsia="cs-CZ"/>
              </w:rPr>
              <w:t>-</w:t>
            </w:r>
          </w:p>
        </w:tc>
      </w:tr>
    </w:tbl>
    <w:p w:rsidR="00732CD8" w:rsidRPr="00732CD8" w:rsidP="00732CD8">
      <w:pPr>
        <w:tabs>
          <w:tab w:val="right" w:leader="dot" w:pos="3969"/>
        </w:tabs>
        <w:autoSpaceDE w:val="0"/>
        <w:autoSpaceDN w:val="0"/>
        <w:bidi w:val="0"/>
        <w:adjustRightInd w:val="0"/>
        <w:spacing w:after="0" w:line="240" w:lineRule="auto"/>
        <w:rPr>
          <w:rFonts w:ascii="Times New Roman" w:hAnsi="Times New Roman"/>
          <w:sz w:val="20"/>
          <w:szCs w:val="20"/>
          <w:lang w:eastAsia="cs-CZ"/>
        </w:rPr>
      </w:pPr>
    </w:p>
    <w:p w:rsidR="00732CD8" w:rsidRPr="00732CD8" w:rsidP="00732CD8">
      <w:pPr>
        <w:widowControl w:val="0"/>
        <w:shd w:val="clear" w:color="auto" w:fill="FFFFFF"/>
        <w:bidi w:val="0"/>
        <w:snapToGrid w:val="0"/>
        <w:spacing w:after="0" w:line="240" w:lineRule="auto"/>
        <w:ind w:left="369"/>
        <w:rPr>
          <w:rFonts w:ascii="Times New Roman" w:hAnsi="Times New Roman"/>
          <w:b/>
          <w:color w:val="FF0000"/>
          <w:szCs w:val="24"/>
          <w:u w:val="single"/>
          <w:lang w:eastAsia="sk-SK"/>
        </w:rPr>
      </w:pPr>
    </w:p>
    <w:p w:rsidR="00732CD8" w:rsidRPr="00732CD8" w:rsidP="00732CD8">
      <w:pPr>
        <w:widowControl w:val="0"/>
        <w:shd w:val="clear" w:color="auto" w:fill="FFFFFF"/>
        <w:bidi w:val="0"/>
        <w:snapToGrid w:val="0"/>
        <w:spacing w:after="0" w:line="240" w:lineRule="auto"/>
        <w:ind w:left="369"/>
        <w:rPr>
          <w:rFonts w:ascii="Times New Roman" w:hAnsi="Times New Roman"/>
          <w:b/>
          <w:color w:val="FF0000"/>
          <w:szCs w:val="24"/>
          <w:u w:val="single"/>
          <w:lang w:eastAsia="sk-SK"/>
        </w:rPr>
      </w:pPr>
    </w:p>
    <w:p w:rsidR="00732CD8" w:rsidRPr="00732CD8" w:rsidP="00732CD8">
      <w:pPr>
        <w:widowControl w:val="0"/>
        <w:shd w:val="clear" w:color="auto" w:fill="FFFFFF"/>
        <w:bidi w:val="0"/>
        <w:snapToGrid w:val="0"/>
        <w:spacing w:after="0" w:line="240" w:lineRule="auto"/>
        <w:ind w:left="369"/>
        <w:rPr>
          <w:rFonts w:ascii="Times New Roman" w:hAnsi="Times New Roman"/>
          <w:b/>
          <w:color w:val="FF0000"/>
          <w:szCs w:val="24"/>
          <w:u w:val="single"/>
          <w:lang w:eastAsia="sk-SK"/>
        </w:rPr>
      </w:pPr>
    </w:p>
    <w:p w:rsidR="00732CD8" w:rsidRPr="00732CD8" w:rsidP="00732CD8">
      <w:pPr>
        <w:widowControl w:val="0"/>
        <w:shd w:val="clear" w:color="auto" w:fill="FFFFFF"/>
        <w:bidi w:val="0"/>
        <w:snapToGrid w:val="0"/>
        <w:spacing w:after="0" w:line="240" w:lineRule="auto"/>
        <w:ind w:left="369"/>
        <w:rPr>
          <w:rFonts w:ascii="Times New Roman" w:hAnsi="Times New Roman"/>
          <w:b/>
          <w:color w:val="FF0000"/>
          <w:szCs w:val="24"/>
          <w:u w:val="single"/>
          <w:lang w:eastAsia="sk-SK"/>
        </w:rPr>
      </w:pPr>
    </w:p>
    <w:p w:rsidR="00732CD8" w:rsidRPr="00732CD8" w:rsidP="00732CD8">
      <w:pPr>
        <w:widowControl w:val="0"/>
        <w:shd w:val="clear" w:color="auto" w:fill="FFFFFF"/>
        <w:bidi w:val="0"/>
        <w:snapToGrid w:val="0"/>
        <w:spacing w:after="0" w:line="240" w:lineRule="auto"/>
        <w:ind w:left="369"/>
        <w:rPr>
          <w:rFonts w:ascii="Times New Roman" w:hAnsi="Times New Roman"/>
          <w:b/>
          <w:color w:val="FF0000"/>
          <w:szCs w:val="24"/>
          <w:u w:val="single"/>
          <w:lang w:eastAsia="sk-SK"/>
        </w:rPr>
      </w:pPr>
    </w:p>
    <w:p w:rsidR="00732CD8" w:rsidRPr="00732CD8" w:rsidP="00732CD8">
      <w:pPr>
        <w:widowControl w:val="0"/>
        <w:shd w:val="clear" w:color="auto" w:fill="FFFFFF"/>
        <w:bidi w:val="0"/>
        <w:snapToGrid w:val="0"/>
        <w:spacing w:after="0" w:line="240" w:lineRule="auto"/>
        <w:ind w:left="369"/>
        <w:rPr>
          <w:rFonts w:ascii="Times New Roman" w:hAnsi="Times New Roman"/>
          <w:b/>
          <w:color w:val="FF0000"/>
          <w:szCs w:val="24"/>
          <w:u w:val="single"/>
          <w:lang w:eastAsia="sk-SK"/>
        </w:rPr>
      </w:pPr>
    </w:p>
    <w:p w:rsidR="00732CD8" w:rsidRPr="00732CD8" w:rsidP="00732CD8">
      <w:pPr>
        <w:widowControl w:val="0"/>
        <w:shd w:val="clear" w:color="auto" w:fill="FFFFFF"/>
        <w:bidi w:val="0"/>
        <w:snapToGrid w:val="0"/>
        <w:spacing w:after="0" w:line="240" w:lineRule="auto"/>
        <w:ind w:left="369"/>
        <w:rPr>
          <w:rFonts w:ascii="Times New Roman" w:hAnsi="Times New Roman"/>
          <w:b/>
          <w:color w:val="FF0000"/>
          <w:szCs w:val="24"/>
          <w:u w:val="single"/>
          <w:lang w:eastAsia="sk-SK"/>
        </w:rPr>
      </w:pPr>
    </w:p>
    <w:p w:rsidR="00732CD8" w:rsidRPr="00732CD8" w:rsidP="00732CD8">
      <w:pPr>
        <w:widowControl w:val="0"/>
        <w:shd w:val="clear" w:color="auto" w:fill="FFFFFF"/>
        <w:bidi w:val="0"/>
        <w:snapToGrid w:val="0"/>
        <w:spacing w:after="0" w:line="240" w:lineRule="auto"/>
        <w:ind w:left="369"/>
        <w:rPr>
          <w:rFonts w:ascii="Times New Roman" w:hAnsi="Times New Roman"/>
          <w:b/>
          <w:color w:val="FF0000"/>
          <w:szCs w:val="24"/>
          <w:u w:val="single"/>
          <w:lang w:eastAsia="sk-SK"/>
        </w:rPr>
      </w:pPr>
    </w:p>
    <w:p w:rsidR="00732CD8" w:rsidRPr="00732CD8" w:rsidP="00732CD8">
      <w:pPr>
        <w:widowControl w:val="0"/>
        <w:shd w:val="clear" w:color="auto" w:fill="FFFFFF"/>
        <w:bidi w:val="0"/>
        <w:snapToGrid w:val="0"/>
        <w:spacing w:after="0" w:line="240" w:lineRule="auto"/>
        <w:ind w:left="369"/>
        <w:rPr>
          <w:rFonts w:ascii="Times New Roman" w:hAnsi="Times New Roman"/>
          <w:b/>
          <w:color w:val="FF0000"/>
          <w:szCs w:val="24"/>
          <w:u w:val="single"/>
          <w:lang w:eastAsia="sk-SK"/>
        </w:rPr>
      </w:pPr>
    </w:p>
    <w:p w:rsidR="00732CD8" w:rsidRPr="00732CD8" w:rsidP="00732CD8">
      <w:pPr>
        <w:tabs>
          <w:tab w:val="left" w:pos="0"/>
        </w:tabs>
        <w:bidi w:val="0"/>
        <w:spacing w:before="120" w:line="240" w:lineRule="auto"/>
        <w:jc w:val="both"/>
        <w:rPr>
          <w:rFonts w:ascii="Times New Roman" w:hAnsi="Times New Roman"/>
          <w:color w:val="FF0000"/>
          <w:szCs w:val="24"/>
          <w:lang w:eastAsia="sk-SK"/>
        </w:rPr>
      </w:pPr>
    </w:p>
    <w:p w:rsidR="00732CD8" w:rsidRPr="00732CD8" w:rsidP="00732CD8">
      <w:pPr>
        <w:numPr>
          <w:numId w:val="14"/>
        </w:numPr>
        <w:bidi w:val="0"/>
        <w:spacing w:after="0" w:line="240" w:lineRule="auto"/>
        <w:rPr>
          <w:rFonts w:ascii="Times New Roman" w:hAnsi="Times New Roman"/>
          <w:sz w:val="28"/>
          <w:szCs w:val="28"/>
          <w:u w:val="single"/>
          <w:lang w:eastAsia="sk-SK"/>
        </w:rPr>
      </w:pPr>
      <w:r w:rsidRPr="00732CD8">
        <w:rPr>
          <w:rFonts w:ascii="Times New Roman" w:hAnsi="Times New Roman"/>
          <w:b/>
          <w:szCs w:val="24"/>
          <w:lang w:eastAsia="sk-SK"/>
        </w:rPr>
        <w:t xml:space="preserve"> </w:t>
      </w:r>
      <w:r w:rsidRPr="00732CD8">
        <w:rPr>
          <w:rFonts w:ascii="Times New Roman" w:hAnsi="Times New Roman"/>
          <w:sz w:val="28"/>
          <w:szCs w:val="28"/>
          <w:u w:val="single"/>
          <w:lang w:eastAsia="sk-SK"/>
        </w:rPr>
        <w:t xml:space="preserve">Použitie informačno-technických prostriedkov v pôsobnosti   </w:t>
      </w:r>
    </w:p>
    <w:p w:rsidR="00732CD8" w:rsidRPr="00732CD8" w:rsidP="00732CD8">
      <w:pPr>
        <w:bidi w:val="0"/>
        <w:spacing w:after="0" w:line="240" w:lineRule="auto"/>
        <w:ind w:left="708"/>
        <w:rPr>
          <w:rFonts w:ascii="Times New Roman" w:hAnsi="Times New Roman"/>
          <w:sz w:val="28"/>
          <w:szCs w:val="28"/>
          <w:u w:val="single"/>
          <w:lang w:eastAsia="sk-SK"/>
        </w:rPr>
      </w:pPr>
      <w:r w:rsidRPr="00732CD8">
        <w:rPr>
          <w:rFonts w:ascii="Times New Roman" w:hAnsi="Times New Roman"/>
          <w:b/>
          <w:sz w:val="28"/>
          <w:szCs w:val="28"/>
          <w:u w:val="single"/>
          <w:lang w:eastAsia="sk-SK"/>
        </w:rPr>
        <w:t xml:space="preserve">Ministerstva financií SR – Colná správa  </w:t>
      </w:r>
      <w:r w:rsidRPr="00732CD8">
        <w:rPr>
          <w:rFonts w:ascii="Times New Roman" w:hAnsi="Times New Roman"/>
          <w:sz w:val="28"/>
          <w:szCs w:val="28"/>
          <w:u w:val="single"/>
          <w:lang w:eastAsia="sk-SK"/>
        </w:rPr>
        <w:t>za rok 2011</w:t>
      </w:r>
    </w:p>
    <w:p w:rsidR="00732CD8" w:rsidRPr="00732CD8" w:rsidP="00732CD8">
      <w:pPr>
        <w:bidi w:val="0"/>
        <w:spacing w:after="0" w:line="240" w:lineRule="auto"/>
        <w:ind w:left="708"/>
        <w:rPr>
          <w:rFonts w:ascii="Times New Roman" w:hAnsi="Times New Roman"/>
          <w:color w:val="FF0000"/>
          <w:sz w:val="28"/>
          <w:szCs w:val="28"/>
          <w:u w:val="single"/>
          <w:lang w:eastAsia="sk-SK"/>
        </w:rPr>
      </w:pPr>
    </w:p>
    <w:p w:rsidR="00732CD8" w:rsidRPr="00732CD8" w:rsidP="00732CD8">
      <w:pPr>
        <w:bidi w:val="0"/>
        <w:spacing w:after="0" w:line="240" w:lineRule="auto"/>
        <w:ind w:left="708"/>
        <w:rPr>
          <w:rFonts w:ascii="Times New Roman" w:hAnsi="Times New Roman"/>
          <w:color w:val="FF0000"/>
          <w:sz w:val="28"/>
          <w:szCs w:val="28"/>
          <w:u w:val="single"/>
          <w:lang w:eastAsia="sk-SK"/>
        </w:rPr>
      </w:pPr>
    </w:p>
    <w:p w:rsidR="00732CD8" w:rsidRPr="00732CD8" w:rsidP="00732CD8">
      <w:pPr>
        <w:tabs>
          <w:tab w:val="left" w:pos="709"/>
        </w:tabs>
        <w:autoSpaceDE w:val="0"/>
        <w:autoSpaceDN w:val="0"/>
        <w:bidi w:val="0"/>
        <w:adjustRightInd w:val="0"/>
        <w:spacing w:line="240" w:lineRule="atLeast"/>
        <w:jc w:val="both"/>
        <w:rPr>
          <w:rFonts w:ascii="Times New Roman" w:hAnsi="Times New Roman"/>
          <w:sz w:val="22"/>
          <w:lang w:eastAsia="sk-SK"/>
        </w:rPr>
      </w:pPr>
      <w:r w:rsidRPr="00732CD8">
        <w:rPr>
          <w:rFonts w:ascii="Times New Roman" w:hAnsi="Times New Roman"/>
          <w:b/>
          <w:color w:val="FF0000"/>
          <w:szCs w:val="24"/>
          <w:lang w:eastAsia="sk-SK"/>
        </w:rPr>
        <w:t xml:space="preserve"> </w:t>
      </w:r>
      <w:r w:rsidRPr="00732CD8">
        <w:rPr>
          <w:rFonts w:ascii="Times New Roman" w:hAnsi="Times New Roman"/>
          <w:color w:val="FF0000"/>
          <w:szCs w:val="24"/>
          <w:lang w:eastAsia="sk-SK"/>
        </w:rPr>
        <w:t xml:space="preserve"> </w:t>
        <w:tab/>
      </w:r>
      <w:r w:rsidRPr="00732CD8">
        <w:rPr>
          <w:rFonts w:ascii="Times New Roman" w:hAnsi="Times New Roman"/>
          <w:sz w:val="22"/>
          <w:lang w:eastAsia="sk-SK"/>
        </w:rPr>
        <w:t xml:space="preserve">Colná správa v roku 2011 používala informačno-technické prostriedky </w:t>
      </w:r>
      <w:r w:rsidRPr="00732CD8">
        <w:rPr>
          <w:rFonts w:ascii="Times New Roman" w:hAnsi="Times New Roman"/>
          <w:bCs/>
          <w:color w:val="000000"/>
          <w:sz w:val="22"/>
          <w:lang w:eastAsia="sk-SK"/>
        </w:rPr>
        <w:t xml:space="preserve">(ďalej len „ITP“) </w:t>
        <w:br/>
      </w:r>
      <w:r w:rsidRPr="00732CD8">
        <w:rPr>
          <w:rFonts w:ascii="Times New Roman" w:hAnsi="Times New Roman"/>
          <w:sz w:val="22"/>
          <w:lang w:eastAsia="sk-SK"/>
        </w:rPr>
        <w:t>v súlade s ustanoveniami zákona č. 166/2003 Z. z. a v súlade s ustanoveniami zákona č. 652/2004 Z. z. o orgánoch štátnej správy v colníctve a o zmene a doplnení niektorých zákonov v znení neskorších predpisov (ďalej len „zákon č. 652/2004 Z. z.“).</w:t>
      </w:r>
    </w:p>
    <w:p w:rsidR="00732CD8" w:rsidRPr="00732CD8" w:rsidP="00732CD8">
      <w:pPr>
        <w:tabs>
          <w:tab w:val="left" w:pos="709"/>
        </w:tabs>
        <w:autoSpaceDE w:val="0"/>
        <w:autoSpaceDN w:val="0"/>
        <w:bidi w:val="0"/>
        <w:adjustRightInd w:val="0"/>
        <w:spacing w:after="0" w:line="240" w:lineRule="atLeast"/>
        <w:jc w:val="both"/>
        <w:rPr>
          <w:rFonts w:ascii="Times New Roman" w:hAnsi="Times New Roman"/>
          <w:sz w:val="22"/>
          <w:lang w:eastAsia="sk-SK"/>
        </w:rPr>
      </w:pPr>
    </w:p>
    <w:p w:rsidR="00732CD8" w:rsidRPr="00732CD8" w:rsidP="00732CD8">
      <w:pPr>
        <w:tabs>
          <w:tab w:val="left" w:pos="709"/>
        </w:tabs>
        <w:autoSpaceDE w:val="0"/>
        <w:autoSpaceDN w:val="0"/>
        <w:bidi w:val="0"/>
        <w:adjustRightInd w:val="0"/>
        <w:spacing w:after="0" w:line="240" w:lineRule="atLeast"/>
        <w:jc w:val="both"/>
        <w:rPr>
          <w:rFonts w:ascii="Times New Roman" w:hAnsi="Times New Roman"/>
          <w:color w:val="000000"/>
          <w:sz w:val="22"/>
          <w:lang w:eastAsia="sk-SK"/>
        </w:rPr>
      </w:pPr>
      <w:r w:rsidRPr="00732CD8">
        <w:rPr>
          <w:rFonts w:ascii="Times New Roman" w:hAnsi="Times New Roman"/>
          <w:sz w:val="22"/>
          <w:lang w:eastAsia="sk-SK"/>
        </w:rPr>
        <w:tab/>
        <w:t xml:space="preserve">Podľa § </w:t>
      </w:r>
      <w:r w:rsidRPr="00732CD8">
        <w:rPr>
          <w:rFonts w:ascii="Times New Roman" w:hAnsi="Times New Roman"/>
          <w:color w:val="000000"/>
          <w:sz w:val="22"/>
          <w:lang w:eastAsia="sk-SK"/>
        </w:rPr>
        <w:t>29 zákona č. 652/2004 Z. z. využívala colná správa  ITP pri odhaľovaní obzvlášť závažných trestných činov spáchaných v súvislosti s porušením colných predpisov alebo daňových predpisov na úseku dovozu, vývozu a tranzitu omamných látok, psychotropných látok a ich prekurzorov, jedov, rádioaktívnych látok a zbraní,  boja proti hospodárskej trestnej činnosti,  colných a daňových únikov a nezákonných finančných operácií  alebo iných úmyselných trestných činov, na konanie ktorých zaväzuje medzinárodná zmluva, ktorou je Slovenská republika viazaná a pri odhaľovaní páchateľov hore uvedených trestných činov, ako aj pri odhaľovaní trestných činov colníkov vo vymedzenej oblasti.</w:t>
      </w:r>
    </w:p>
    <w:p w:rsidR="00732CD8" w:rsidRPr="00732CD8" w:rsidP="00732CD8">
      <w:pPr>
        <w:tabs>
          <w:tab w:val="left" w:pos="5434"/>
        </w:tabs>
        <w:autoSpaceDE w:val="0"/>
        <w:autoSpaceDN w:val="0"/>
        <w:bidi w:val="0"/>
        <w:adjustRightInd w:val="0"/>
        <w:spacing w:after="0" w:line="240" w:lineRule="atLeast"/>
        <w:ind w:firstLine="709"/>
        <w:jc w:val="both"/>
        <w:rPr>
          <w:rFonts w:ascii="Times New Roman" w:hAnsi="Times New Roman"/>
          <w:color w:val="000000"/>
          <w:sz w:val="22"/>
          <w:lang w:eastAsia="sk-SK"/>
        </w:rPr>
      </w:pPr>
    </w:p>
    <w:p w:rsidR="00732CD8" w:rsidRPr="00732CD8" w:rsidP="00732CD8">
      <w:pPr>
        <w:widowControl w:val="0"/>
        <w:bidi w:val="0"/>
        <w:spacing w:after="0" w:line="240" w:lineRule="auto"/>
        <w:ind w:firstLine="708"/>
        <w:jc w:val="both"/>
        <w:rPr>
          <w:rFonts w:ascii="Times New Roman" w:hAnsi="Times New Roman"/>
          <w:sz w:val="22"/>
          <w:lang w:eastAsia="sk-SK"/>
        </w:rPr>
      </w:pPr>
      <w:r w:rsidRPr="00732CD8">
        <w:rPr>
          <w:rFonts w:ascii="Times New Roman" w:hAnsi="Times New Roman"/>
          <w:sz w:val="22"/>
          <w:lang w:eastAsia="sk-SK"/>
        </w:rPr>
        <w:t>Na zabezpečenie týchto úkonov bolo vydané pod stupňom utajenia „Vyhradené“ Nariadenie generálneho riaditeľa CR SR č. 25/2005 zo dňa 1. februára 2005 o používaní informačno-technických prostriedkov colnou správou.  Vyššie uvedené nariadenie upravuje základné pojmy, subjekty oprávnené používať ITP, súčinnosť pri realizácii informačno-technického úkonu (ďalej len „ITU“), postup pri realizácii ITP, poskytovanie informácií, dokumentáciu a evidenciu z ITU a spoločné, zrušovacie a záverečné ustanovenia.</w:t>
      </w:r>
    </w:p>
    <w:p w:rsidR="00732CD8" w:rsidRPr="00732CD8" w:rsidP="00732CD8">
      <w:pPr>
        <w:widowControl w:val="0"/>
        <w:bidi w:val="0"/>
        <w:spacing w:after="0" w:line="240" w:lineRule="auto"/>
        <w:ind w:firstLine="708"/>
        <w:jc w:val="both"/>
        <w:rPr>
          <w:rFonts w:ascii="Times New Roman" w:hAnsi="Times New Roman"/>
          <w:sz w:val="22"/>
          <w:lang w:eastAsia="sk-SK"/>
        </w:rPr>
      </w:pPr>
    </w:p>
    <w:p w:rsidR="00732CD8" w:rsidRPr="00732CD8" w:rsidP="00732CD8">
      <w:pPr>
        <w:widowControl w:val="0"/>
        <w:bidi w:val="0"/>
        <w:spacing w:after="0" w:line="240" w:lineRule="auto"/>
        <w:ind w:firstLine="708"/>
        <w:jc w:val="both"/>
        <w:rPr>
          <w:rFonts w:ascii="Times New Roman" w:hAnsi="Times New Roman"/>
          <w:sz w:val="22"/>
          <w:lang w:eastAsia="sk-SK"/>
        </w:rPr>
      </w:pPr>
      <w:r w:rsidRPr="00732CD8">
        <w:rPr>
          <w:rFonts w:ascii="Times New Roman" w:hAnsi="Times New Roman"/>
          <w:sz w:val="22"/>
          <w:lang w:eastAsia="sk-SK"/>
        </w:rPr>
        <w:t xml:space="preserve">Colná správa v roku 2011 podľa § 4 ods. 1 zákona č. 166/2003 Z. z. predložila zákonnému sudcovi celkom </w:t>
      </w:r>
      <w:r w:rsidRPr="00732CD8">
        <w:rPr>
          <w:rFonts w:ascii="Times New Roman" w:hAnsi="Times New Roman"/>
          <w:b/>
          <w:sz w:val="22"/>
          <w:lang w:eastAsia="sk-SK"/>
        </w:rPr>
        <w:t>198</w:t>
      </w:r>
      <w:r w:rsidRPr="00732CD8">
        <w:rPr>
          <w:rFonts w:ascii="Times New Roman" w:hAnsi="Times New Roman"/>
          <w:sz w:val="22"/>
          <w:lang w:eastAsia="sk-SK"/>
        </w:rPr>
        <w:t xml:space="preserve"> </w:t>
      </w:r>
      <w:r w:rsidRPr="00732CD8">
        <w:rPr>
          <w:rFonts w:ascii="Times New Roman" w:hAnsi="Times New Roman"/>
          <w:b/>
          <w:sz w:val="22"/>
          <w:lang w:eastAsia="sk-SK"/>
        </w:rPr>
        <w:t>prvotných</w:t>
      </w:r>
      <w:r w:rsidRPr="00732CD8">
        <w:rPr>
          <w:rFonts w:ascii="Times New Roman" w:hAnsi="Times New Roman"/>
          <w:sz w:val="22"/>
          <w:lang w:eastAsia="sk-SK"/>
        </w:rPr>
        <w:t xml:space="preserve"> písomných žiadostí, z ktorých bol v </w:t>
      </w:r>
      <w:r w:rsidRPr="00732CD8">
        <w:rPr>
          <w:rFonts w:ascii="Times New Roman" w:hAnsi="Times New Roman"/>
          <w:b/>
          <w:sz w:val="22"/>
          <w:lang w:eastAsia="sk-SK"/>
        </w:rPr>
        <w:t>185</w:t>
      </w:r>
      <w:r w:rsidRPr="00732CD8">
        <w:rPr>
          <w:rFonts w:ascii="Times New Roman" w:hAnsi="Times New Roman"/>
          <w:sz w:val="22"/>
          <w:lang w:eastAsia="sk-SK"/>
        </w:rPr>
        <w:t xml:space="preserve"> prípadoch písomne vydaný  súhlas príslušného krajského súdu na použitie ITP. V roku 2011 colná správa eviduje </w:t>
      </w:r>
      <w:r w:rsidRPr="00732CD8">
        <w:rPr>
          <w:rFonts w:ascii="Times New Roman" w:hAnsi="Times New Roman"/>
          <w:b/>
          <w:sz w:val="22"/>
          <w:lang w:eastAsia="sk-SK"/>
        </w:rPr>
        <w:t>13</w:t>
      </w:r>
      <w:r w:rsidRPr="00732CD8">
        <w:rPr>
          <w:rFonts w:ascii="Times New Roman" w:hAnsi="Times New Roman"/>
          <w:sz w:val="22"/>
          <w:lang w:eastAsia="sk-SK"/>
        </w:rPr>
        <w:t xml:space="preserve"> odmietnutých žiadostí príslušného krajského súdu na použitie ITP.</w:t>
      </w:r>
    </w:p>
    <w:p w:rsidR="00732CD8" w:rsidRPr="00732CD8" w:rsidP="00732CD8">
      <w:pPr>
        <w:widowControl w:val="0"/>
        <w:bidi w:val="0"/>
        <w:spacing w:after="0" w:line="240" w:lineRule="auto"/>
        <w:jc w:val="both"/>
        <w:rPr>
          <w:rFonts w:ascii="Times New Roman" w:hAnsi="Times New Roman"/>
          <w:sz w:val="22"/>
          <w:lang w:eastAsia="sk-SK"/>
        </w:rPr>
      </w:pPr>
    </w:p>
    <w:p w:rsidR="00732CD8" w:rsidRPr="00732CD8" w:rsidP="00732CD8">
      <w:pPr>
        <w:widowControl w:val="0"/>
        <w:bidi w:val="0"/>
        <w:spacing w:after="0" w:line="240" w:lineRule="auto"/>
        <w:ind w:firstLine="708"/>
        <w:jc w:val="both"/>
        <w:rPr>
          <w:rFonts w:ascii="Times New Roman" w:hAnsi="Times New Roman"/>
          <w:sz w:val="22"/>
          <w:lang w:eastAsia="sk-SK"/>
        </w:rPr>
      </w:pPr>
      <w:r w:rsidRPr="00732CD8">
        <w:rPr>
          <w:rFonts w:ascii="Times New Roman" w:hAnsi="Times New Roman"/>
          <w:sz w:val="22"/>
          <w:lang w:eastAsia="sk-SK"/>
        </w:rPr>
        <w:t xml:space="preserve">V roku 2011 colná správa  predložila </w:t>
      </w:r>
      <w:r w:rsidRPr="00732CD8">
        <w:rPr>
          <w:rFonts w:ascii="Times New Roman" w:hAnsi="Times New Roman"/>
          <w:b/>
          <w:sz w:val="22"/>
          <w:lang w:eastAsia="sk-SK"/>
        </w:rPr>
        <w:t>opakovanú</w:t>
      </w:r>
      <w:r w:rsidRPr="00732CD8">
        <w:rPr>
          <w:rFonts w:ascii="Times New Roman" w:hAnsi="Times New Roman"/>
          <w:sz w:val="22"/>
          <w:lang w:eastAsia="sk-SK"/>
        </w:rPr>
        <w:t xml:space="preserve"> žiadosť zákonnému sudcovi na predĺženie doby použitia ITP v tom istom prípade podľa § 4 ods. 2 zákona č.166/2003 Z. z. v  </w:t>
      </w:r>
      <w:r w:rsidRPr="00732CD8">
        <w:rPr>
          <w:rFonts w:ascii="Times New Roman" w:hAnsi="Times New Roman"/>
          <w:b/>
          <w:sz w:val="22"/>
          <w:lang w:eastAsia="sk-SK"/>
        </w:rPr>
        <w:t>20</w:t>
      </w:r>
      <w:r w:rsidRPr="00732CD8">
        <w:rPr>
          <w:rFonts w:ascii="Times New Roman" w:hAnsi="Times New Roman"/>
          <w:sz w:val="22"/>
          <w:lang w:eastAsia="sk-SK"/>
        </w:rPr>
        <w:t xml:space="preserve"> prípadoch, z ktorých bolo zákonným sudcom písomne povolených súhlasov na predĺženie doby použitia ITP v </w:t>
      </w:r>
      <w:r w:rsidRPr="00732CD8">
        <w:rPr>
          <w:rFonts w:ascii="Times New Roman" w:hAnsi="Times New Roman"/>
          <w:b/>
          <w:sz w:val="22"/>
          <w:lang w:eastAsia="sk-SK"/>
        </w:rPr>
        <w:t xml:space="preserve">20 </w:t>
      </w:r>
      <w:r w:rsidRPr="00732CD8">
        <w:rPr>
          <w:rFonts w:ascii="Times New Roman" w:hAnsi="Times New Roman"/>
          <w:sz w:val="22"/>
          <w:lang w:eastAsia="sk-SK"/>
        </w:rPr>
        <w:t>prípadoch. Colná správa neeviduje </w:t>
      </w:r>
      <w:r w:rsidRPr="00732CD8">
        <w:rPr>
          <w:rFonts w:ascii="Times New Roman" w:hAnsi="Times New Roman"/>
          <w:b/>
          <w:sz w:val="22"/>
          <w:lang w:eastAsia="sk-SK"/>
        </w:rPr>
        <w:t>žiadny prípad</w:t>
      </w:r>
      <w:r w:rsidRPr="00732CD8">
        <w:rPr>
          <w:rFonts w:ascii="Times New Roman" w:hAnsi="Times New Roman"/>
          <w:i/>
          <w:sz w:val="22"/>
          <w:lang w:eastAsia="sk-SK"/>
        </w:rPr>
        <w:t xml:space="preserve">, </w:t>
      </w:r>
      <w:r w:rsidRPr="00732CD8">
        <w:rPr>
          <w:rFonts w:ascii="Times New Roman" w:hAnsi="Times New Roman"/>
          <w:sz w:val="22"/>
          <w:lang w:eastAsia="sk-SK"/>
        </w:rPr>
        <w:t>kde  nebol</w:t>
      </w:r>
      <w:r w:rsidRPr="00732CD8">
        <w:rPr>
          <w:rFonts w:ascii="Times New Roman" w:hAnsi="Times New Roman"/>
          <w:i/>
          <w:sz w:val="22"/>
          <w:lang w:eastAsia="sk-SK"/>
        </w:rPr>
        <w:t xml:space="preserve"> </w:t>
      </w:r>
      <w:r w:rsidRPr="00732CD8">
        <w:rPr>
          <w:rFonts w:ascii="Times New Roman" w:hAnsi="Times New Roman"/>
          <w:sz w:val="22"/>
          <w:lang w:eastAsia="sk-SK"/>
        </w:rPr>
        <w:t xml:space="preserve"> daný písomný súhlas zákonného sudcu na predĺženie doby použitia ITP pri opakovanej žiadosti.</w:t>
      </w:r>
    </w:p>
    <w:p w:rsidR="00732CD8" w:rsidRPr="00732CD8" w:rsidP="00732CD8">
      <w:pPr>
        <w:widowControl w:val="0"/>
        <w:bidi w:val="0"/>
        <w:spacing w:after="0" w:line="240" w:lineRule="auto"/>
        <w:rPr>
          <w:rFonts w:ascii="Times New Roman" w:hAnsi="Times New Roman"/>
          <w:sz w:val="22"/>
          <w:lang w:eastAsia="sk-SK"/>
        </w:rPr>
      </w:pPr>
    </w:p>
    <w:p w:rsidR="00732CD8" w:rsidRPr="00732CD8" w:rsidP="00732CD8">
      <w:pPr>
        <w:widowControl w:val="0"/>
        <w:bidi w:val="0"/>
        <w:spacing w:after="0" w:line="240" w:lineRule="auto"/>
        <w:ind w:firstLine="708"/>
        <w:jc w:val="both"/>
        <w:rPr>
          <w:rFonts w:ascii="Times New Roman" w:hAnsi="Times New Roman"/>
          <w:sz w:val="22"/>
          <w:lang w:eastAsia="sk-SK"/>
        </w:rPr>
      </w:pPr>
      <w:r w:rsidRPr="00732CD8">
        <w:rPr>
          <w:rFonts w:ascii="Times New Roman" w:hAnsi="Times New Roman"/>
          <w:sz w:val="22"/>
          <w:lang w:eastAsia="sk-SK"/>
        </w:rPr>
        <w:t xml:space="preserve">Colná správa v roku 2011 neeviduje </w:t>
      </w:r>
      <w:r w:rsidRPr="00732CD8">
        <w:rPr>
          <w:rFonts w:ascii="Times New Roman" w:hAnsi="Times New Roman"/>
          <w:b/>
          <w:sz w:val="22"/>
          <w:lang w:eastAsia="sk-SK"/>
        </w:rPr>
        <w:t>žiadny prípad</w:t>
      </w:r>
      <w:r w:rsidRPr="00732CD8">
        <w:rPr>
          <w:rFonts w:ascii="Times New Roman" w:hAnsi="Times New Roman"/>
          <w:sz w:val="22"/>
          <w:lang w:eastAsia="sk-SK"/>
        </w:rPr>
        <w:t xml:space="preserve"> použitia ITP podľa § 5 ods. 1 a 2  zákona </w:t>
        <w:br/>
        <w:t>č. 166/2003 Z. z.</w:t>
      </w:r>
    </w:p>
    <w:p w:rsidR="00732CD8" w:rsidRPr="00732CD8" w:rsidP="00732CD8">
      <w:pPr>
        <w:widowControl w:val="0"/>
        <w:bidi w:val="0"/>
        <w:spacing w:after="0" w:line="240" w:lineRule="auto"/>
        <w:ind w:firstLine="708"/>
        <w:jc w:val="both"/>
        <w:rPr>
          <w:rFonts w:ascii="Times New Roman" w:hAnsi="Times New Roman"/>
          <w:sz w:val="22"/>
          <w:lang w:eastAsia="sk-SK"/>
        </w:rPr>
      </w:pPr>
    </w:p>
    <w:p w:rsidR="00732CD8" w:rsidRPr="00732CD8" w:rsidP="00732CD8">
      <w:pPr>
        <w:widowControl w:val="0"/>
        <w:bidi w:val="0"/>
        <w:spacing w:after="0" w:line="240" w:lineRule="auto"/>
        <w:ind w:firstLine="708"/>
        <w:jc w:val="both"/>
        <w:rPr>
          <w:rFonts w:ascii="Times New Roman" w:hAnsi="Times New Roman"/>
          <w:sz w:val="22"/>
          <w:lang w:eastAsia="sk-SK"/>
        </w:rPr>
      </w:pPr>
      <w:r w:rsidRPr="00732CD8">
        <w:rPr>
          <w:rFonts w:ascii="Times New Roman" w:hAnsi="Times New Roman"/>
          <w:color w:val="000000"/>
          <w:sz w:val="22"/>
          <w:lang w:eastAsia="sk-SK"/>
        </w:rPr>
        <w:t xml:space="preserve">Z celkového počtu súhlasov vydaných zákonným sudcom v roku 2011 bol v </w:t>
      </w:r>
      <w:r w:rsidRPr="00732CD8">
        <w:rPr>
          <w:rFonts w:ascii="Times New Roman" w:hAnsi="Times New Roman"/>
          <w:b/>
          <w:color w:val="000000"/>
          <w:sz w:val="22"/>
          <w:lang w:eastAsia="sk-SK"/>
        </w:rPr>
        <w:t>157</w:t>
      </w:r>
      <w:r w:rsidRPr="00732CD8">
        <w:rPr>
          <w:rFonts w:ascii="Times New Roman" w:hAnsi="Times New Roman"/>
          <w:color w:val="000000"/>
          <w:sz w:val="22"/>
          <w:lang w:eastAsia="sk-SK"/>
        </w:rPr>
        <w:t xml:space="preserve"> prípadoch dosiahnutý zákonom uznávaný účel a cieľ, ktorý bol povolený zákonným sudcom, s väzbou na ustanovenia </w:t>
        <w:br/>
        <w:t xml:space="preserve">§ </w:t>
      </w:r>
      <w:smartTag w:uri="urn:schemas-microsoft-com:office:smarttags" w:element="metricconverter">
        <w:smartTagPr>
          <w:attr w:name="ProductID" w:val="3 a"/>
        </w:smartTagPr>
        <w:r w:rsidRPr="00732CD8">
          <w:rPr>
            <w:rFonts w:ascii="Times New Roman" w:hAnsi="Times New Roman"/>
            <w:color w:val="000000"/>
            <w:sz w:val="22"/>
            <w:lang w:eastAsia="sk-SK"/>
          </w:rPr>
          <w:t>3 a</w:t>
        </w:r>
      </w:smartTag>
      <w:r w:rsidRPr="00732CD8">
        <w:rPr>
          <w:rFonts w:ascii="Times New Roman" w:hAnsi="Times New Roman"/>
          <w:color w:val="000000"/>
          <w:sz w:val="22"/>
          <w:lang w:eastAsia="sk-SK"/>
        </w:rPr>
        <w:t xml:space="preserve"> § 7 zákona č. 166/2003 Z. z., kedy ITP možno použiť iba vtedy, ak je to v demokratickej spoločnosti nevyhnutné na zabezpečenie bezpečnosti štátu, obranu štátu, predchádzanie a objasňovanie trestnej činnosti alebo na ochranu práv a slobôd iných, teda zistili sa</w:t>
      </w:r>
      <w:r w:rsidRPr="00732CD8">
        <w:rPr>
          <w:rFonts w:ascii="Times New Roman" w:hAnsi="Times New Roman"/>
          <w:color w:val="FF0000"/>
          <w:sz w:val="22"/>
          <w:lang w:eastAsia="sk-SK"/>
        </w:rPr>
        <w:t xml:space="preserve"> </w:t>
      </w:r>
      <w:r w:rsidRPr="00732CD8">
        <w:rPr>
          <w:rFonts w:ascii="Times New Roman" w:hAnsi="Times New Roman"/>
          <w:color w:val="000000"/>
          <w:sz w:val="22"/>
          <w:lang w:eastAsia="sk-SK"/>
        </w:rPr>
        <w:t xml:space="preserve">skutočnosti významné na dosiahnutie zákonom ustanoveného účelu použitia ITP. Colná správa za rok 2011 evidovala </w:t>
      </w:r>
      <w:r w:rsidRPr="00732CD8">
        <w:rPr>
          <w:rFonts w:ascii="Times New Roman" w:hAnsi="Times New Roman"/>
          <w:b/>
          <w:color w:val="000000"/>
          <w:sz w:val="22"/>
          <w:lang w:eastAsia="sk-SK"/>
        </w:rPr>
        <w:t xml:space="preserve">20 </w:t>
      </w:r>
      <w:r w:rsidRPr="00732CD8">
        <w:rPr>
          <w:rFonts w:ascii="Times New Roman" w:hAnsi="Times New Roman"/>
          <w:color w:val="000000"/>
          <w:sz w:val="22"/>
          <w:lang w:eastAsia="sk-SK"/>
        </w:rPr>
        <w:t>prípadov použitia ITP, u ktorých nebol dosiahnutý zákonom uznávaný cieľ.</w:t>
      </w:r>
      <w:r w:rsidRPr="00732CD8">
        <w:rPr>
          <w:rFonts w:ascii="Times New Roman" w:hAnsi="Times New Roman"/>
          <w:sz w:val="22"/>
          <w:lang w:eastAsia="sk-SK"/>
        </w:rPr>
        <w:t xml:space="preserve"> </w:t>
      </w:r>
    </w:p>
    <w:p w:rsidR="00732CD8" w:rsidRPr="00732CD8" w:rsidP="00732CD8">
      <w:pPr>
        <w:widowControl w:val="0"/>
        <w:bidi w:val="0"/>
        <w:spacing w:after="0" w:line="240" w:lineRule="auto"/>
        <w:ind w:firstLine="708"/>
        <w:jc w:val="both"/>
        <w:rPr>
          <w:rFonts w:ascii="Times New Roman" w:hAnsi="Times New Roman"/>
          <w:sz w:val="22"/>
          <w:lang w:eastAsia="sk-SK"/>
        </w:rPr>
      </w:pPr>
    </w:p>
    <w:p w:rsidR="00732CD8" w:rsidRPr="00732CD8" w:rsidP="00732CD8">
      <w:pPr>
        <w:widowControl w:val="0"/>
        <w:bidi w:val="0"/>
        <w:spacing w:after="0" w:line="240" w:lineRule="auto"/>
        <w:ind w:firstLine="708"/>
        <w:jc w:val="both"/>
        <w:rPr>
          <w:rFonts w:ascii="Times New Roman" w:hAnsi="Times New Roman"/>
          <w:sz w:val="22"/>
          <w:lang w:eastAsia="sk-SK"/>
        </w:rPr>
      </w:pPr>
      <w:r w:rsidRPr="00732CD8">
        <w:rPr>
          <w:rFonts w:ascii="Times New Roman" w:hAnsi="Times New Roman"/>
          <w:sz w:val="22"/>
          <w:lang w:eastAsia="sk-SK"/>
        </w:rPr>
        <w:t xml:space="preserve">V roku 2011 colná správa neeviduje </w:t>
      </w:r>
      <w:r w:rsidRPr="00732CD8">
        <w:rPr>
          <w:rFonts w:ascii="Times New Roman" w:hAnsi="Times New Roman"/>
          <w:b/>
          <w:sz w:val="22"/>
          <w:lang w:eastAsia="sk-SK"/>
        </w:rPr>
        <w:t>žiadny prípad</w:t>
      </w:r>
      <w:r w:rsidRPr="00732CD8">
        <w:rPr>
          <w:rFonts w:ascii="Times New Roman" w:hAnsi="Times New Roman"/>
          <w:sz w:val="22"/>
          <w:lang w:eastAsia="sk-SK"/>
        </w:rPr>
        <w:t xml:space="preserve"> informácie získanej použitím ITP, </w:t>
        <w:br/>
        <w:t>ktorá bola uplatnená ako dôkaz v trestnom konaní.</w:t>
      </w:r>
    </w:p>
    <w:p w:rsidR="00732CD8" w:rsidRPr="00732CD8" w:rsidP="00732CD8">
      <w:pPr>
        <w:widowControl w:val="0"/>
        <w:bidi w:val="0"/>
        <w:spacing w:after="0" w:line="240" w:lineRule="auto"/>
        <w:jc w:val="both"/>
        <w:rPr>
          <w:rFonts w:ascii="Times New Roman" w:hAnsi="Times New Roman"/>
          <w:sz w:val="22"/>
          <w:lang w:eastAsia="sk-SK"/>
        </w:rPr>
      </w:pPr>
    </w:p>
    <w:p w:rsidR="00732CD8" w:rsidRPr="00732CD8" w:rsidP="00732CD8">
      <w:pPr>
        <w:widowControl w:val="0"/>
        <w:bidi w:val="0"/>
        <w:spacing w:after="0" w:line="240" w:lineRule="auto"/>
        <w:ind w:firstLine="708"/>
        <w:jc w:val="both"/>
        <w:rPr>
          <w:rFonts w:ascii="Arial Narrow" w:hAnsi="Arial Narrow"/>
          <w:sz w:val="22"/>
          <w:lang w:eastAsia="sk-SK"/>
        </w:rPr>
      </w:pPr>
      <w:r w:rsidRPr="00732CD8">
        <w:rPr>
          <w:rFonts w:ascii="Times New Roman" w:hAnsi="Times New Roman"/>
          <w:sz w:val="22"/>
          <w:lang w:eastAsia="sk-SK"/>
        </w:rPr>
        <w:t xml:space="preserve">Z celkového počtu prípadov v roku 2011 </w:t>
      </w:r>
      <w:r w:rsidRPr="00732CD8">
        <w:rPr>
          <w:rFonts w:ascii="Times New Roman" w:hAnsi="Times New Roman"/>
          <w:b/>
          <w:sz w:val="22"/>
          <w:u w:val="single"/>
          <w:lang w:eastAsia="sk-SK"/>
        </w:rPr>
        <w:t>nebol zaznamenaný žiadny prípad nezákonného použitia ITP</w:t>
      </w:r>
      <w:r w:rsidRPr="00732CD8">
        <w:rPr>
          <w:rFonts w:ascii="Times New Roman" w:hAnsi="Times New Roman"/>
          <w:sz w:val="22"/>
          <w:lang w:eastAsia="sk-SK"/>
        </w:rPr>
        <w:t>.</w:t>
      </w:r>
    </w:p>
    <w:p w:rsidR="00732CD8" w:rsidRPr="00732CD8" w:rsidP="00732CD8">
      <w:pPr>
        <w:bidi w:val="0"/>
        <w:spacing w:after="0" w:line="240" w:lineRule="auto"/>
        <w:jc w:val="both"/>
        <w:rPr>
          <w:rFonts w:ascii="Times New Roman" w:hAnsi="Times New Roman"/>
          <w:sz w:val="20"/>
          <w:szCs w:val="20"/>
          <w:lang w:eastAsia="sk-SK"/>
        </w:rPr>
      </w:pPr>
    </w:p>
    <w:p w:rsidR="00732CD8" w:rsidRPr="00732CD8" w:rsidP="00732CD8">
      <w:pPr>
        <w:tabs>
          <w:tab w:val="left" w:pos="709"/>
        </w:tabs>
        <w:autoSpaceDE w:val="0"/>
        <w:autoSpaceDN w:val="0"/>
        <w:bidi w:val="0"/>
        <w:adjustRightInd w:val="0"/>
        <w:spacing w:line="240" w:lineRule="atLeast"/>
        <w:jc w:val="both"/>
        <w:rPr>
          <w:rFonts w:ascii="Arial" w:hAnsi="Arial" w:cs="Arial"/>
          <w:color w:val="FF0000"/>
          <w:szCs w:val="24"/>
          <w:lang w:eastAsia="sk-SK"/>
        </w:rPr>
      </w:pPr>
    </w:p>
    <w:p w:rsidR="00732CD8" w:rsidRPr="00732CD8" w:rsidP="00732CD8">
      <w:pPr>
        <w:bidi w:val="0"/>
        <w:spacing w:after="0" w:line="360" w:lineRule="auto"/>
        <w:jc w:val="both"/>
        <w:rPr>
          <w:rFonts w:ascii="Arial" w:hAnsi="Arial" w:cs="Arial"/>
          <w:color w:val="FF0000"/>
          <w:szCs w:val="24"/>
          <w:lang w:eastAsia="sk-SK"/>
        </w:rPr>
      </w:pPr>
    </w:p>
    <w:tbl>
      <w:tblPr>
        <w:tblStyle w:val="TableNormal"/>
        <w:tblW w:w="10080" w:type="dxa"/>
        <w:tblInd w:w="55" w:type="dxa"/>
        <w:tblCellMar>
          <w:left w:w="70" w:type="dxa"/>
          <w:right w:w="70" w:type="dxa"/>
        </w:tblCellMar>
        <w:tblLook w:val="04A0"/>
      </w:tblPr>
      <w:tblGrid>
        <w:gridCol w:w="420"/>
        <w:gridCol w:w="4980"/>
        <w:gridCol w:w="1278"/>
        <w:gridCol w:w="1134"/>
        <w:gridCol w:w="1134"/>
        <w:gridCol w:w="1134"/>
      </w:tblGrid>
      <w:tr>
        <w:tblPrEx>
          <w:tblW w:w="10080" w:type="dxa"/>
          <w:tblInd w:w="55" w:type="dxa"/>
          <w:tblCellMar>
            <w:left w:w="70" w:type="dxa"/>
            <w:right w:w="70" w:type="dxa"/>
          </w:tblCellMar>
          <w:tblLook w:val="04A0"/>
        </w:tblPrEx>
        <w:trPr>
          <w:trHeight w:val="280"/>
        </w:trPr>
        <w:tc>
          <w:tcPr>
            <w:tcW w:w="420" w:type="dxa"/>
            <w:tcBorders>
              <w:top w:val="none" w:sz="0" w:space="0" w:color="auto"/>
              <w:left w:val="none" w:sz="0" w:space="0" w:color="auto"/>
              <w:bottom w:val="none" w:sz="0" w:space="0" w:color="auto"/>
              <w:right w:val="none" w:sz="0" w:space="0" w:color="auto"/>
            </w:tcBorders>
            <w:noWrap/>
            <w:textDirection w:val="lrTb"/>
            <w:vAlign w:val="bottom"/>
            <w:hideMark/>
          </w:tcPr>
          <w:p w:rsidR="00732CD8" w:rsidRPr="00732CD8" w:rsidP="00732CD8">
            <w:pPr>
              <w:bidi w:val="0"/>
              <w:rPr>
                <w:rFonts w:ascii="Times New Roman" w:hAnsi="Times New Roman"/>
                <w:szCs w:val="24"/>
              </w:rPr>
            </w:pPr>
          </w:p>
        </w:tc>
        <w:tc>
          <w:tcPr>
            <w:tcW w:w="8526" w:type="dxa"/>
            <w:gridSpan w:val="4"/>
            <w:tcBorders>
              <w:top w:val="none" w:sz="0" w:space="0" w:color="auto"/>
              <w:left w:val="none" w:sz="0" w:space="0" w:color="auto"/>
              <w:bottom w:val="none" w:sz="0" w:space="0" w:color="auto"/>
              <w:right w:val="none" w:sz="0" w:space="0" w:color="auto"/>
            </w:tcBorders>
            <w:noWrap/>
            <w:textDirection w:val="lrTb"/>
            <w:vAlign w:val="bottom"/>
            <w:hideMark/>
          </w:tcPr>
          <w:p w:rsidR="00732CD8" w:rsidRPr="00732CD8" w:rsidP="00732CD8">
            <w:pPr>
              <w:bidi w:val="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732CD8" w:rsidRPr="00732CD8" w:rsidP="00732CD8">
            <w:pPr>
              <w:bidi w:val="0"/>
              <w:rPr>
                <w:rFonts w:ascii="Times New Roman" w:hAnsi="Times New Roman"/>
                <w:szCs w:val="24"/>
              </w:rPr>
            </w:pPr>
          </w:p>
        </w:tc>
      </w:tr>
      <w:tr>
        <w:tblPrEx>
          <w:tblW w:w="10080" w:type="dxa"/>
          <w:tblInd w:w="55" w:type="dxa"/>
          <w:tblCellMar>
            <w:left w:w="70" w:type="dxa"/>
            <w:right w:w="70" w:type="dxa"/>
          </w:tblCellMar>
          <w:tblLook w:val="04A0"/>
        </w:tblPrEx>
        <w:trPr>
          <w:trHeight w:val="290"/>
        </w:trPr>
        <w:tc>
          <w:tcPr>
            <w:tcW w:w="420" w:type="dxa"/>
            <w:tcBorders>
              <w:top w:val="none" w:sz="0" w:space="0" w:color="auto"/>
              <w:left w:val="none" w:sz="0" w:space="0" w:color="auto"/>
              <w:bottom w:val="none" w:sz="0" w:space="0" w:color="auto"/>
              <w:right w:val="none" w:sz="0" w:space="0" w:color="auto"/>
            </w:tcBorders>
            <w:noWrap/>
            <w:textDirection w:val="lrTb"/>
            <w:vAlign w:val="bottom"/>
            <w:hideMark/>
          </w:tcPr>
          <w:p w:rsidR="00732CD8" w:rsidRPr="00732CD8" w:rsidP="00732CD8">
            <w:pPr>
              <w:bidi w:val="0"/>
              <w:rPr>
                <w:rFonts w:ascii="Times New Roman" w:hAnsi="Times New Roman"/>
                <w:szCs w:val="24"/>
              </w:rPr>
            </w:pPr>
          </w:p>
        </w:tc>
        <w:tc>
          <w:tcPr>
            <w:tcW w:w="4980" w:type="dxa"/>
            <w:tcBorders>
              <w:top w:val="none" w:sz="0" w:space="0" w:color="auto"/>
              <w:left w:val="none" w:sz="0" w:space="0" w:color="auto"/>
              <w:bottom w:val="none" w:sz="0" w:space="0" w:color="auto"/>
              <w:right w:val="none" w:sz="0" w:space="0" w:color="auto"/>
            </w:tcBorders>
            <w:noWrap/>
            <w:textDirection w:val="lrTb"/>
            <w:vAlign w:val="bottom"/>
            <w:hideMark/>
          </w:tcPr>
          <w:p w:rsidR="00732CD8" w:rsidRPr="00732CD8" w:rsidP="00732CD8">
            <w:pPr>
              <w:bidi w:val="0"/>
              <w:rPr>
                <w:rFonts w:ascii="Times New Roman" w:hAnsi="Times New Roman"/>
                <w:szCs w:val="24"/>
              </w:rPr>
            </w:pPr>
          </w:p>
        </w:tc>
        <w:tc>
          <w:tcPr>
            <w:tcW w:w="1278" w:type="dxa"/>
            <w:tcBorders>
              <w:top w:val="none" w:sz="0" w:space="0" w:color="auto"/>
              <w:left w:val="none" w:sz="0" w:space="0" w:color="auto"/>
              <w:bottom w:val="none" w:sz="0" w:space="0" w:color="auto"/>
              <w:right w:val="none" w:sz="0" w:space="0" w:color="auto"/>
            </w:tcBorders>
            <w:noWrap/>
            <w:textDirection w:val="lrTb"/>
            <w:vAlign w:val="bottom"/>
            <w:hideMark/>
          </w:tcPr>
          <w:p w:rsidR="00732CD8" w:rsidRPr="00732CD8" w:rsidP="00732CD8">
            <w:pPr>
              <w:bidi w:val="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732CD8" w:rsidRPr="00732CD8" w:rsidP="00732CD8">
            <w:pPr>
              <w:bidi w:val="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732CD8" w:rsidRPr="00732CD8" w:rsidP="00732CD8">
            <w:pPr>
              <w:bidi w:val="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732CD8" w:rsidRPr="00732CD8" w:rsidP="00732CD8">
            <w:pPr>
              <w:bidi w:val="0"/>
              <w:rPr>
                <w:rFonts w:ascii="Times New Roman" w:hAnsi="Times New Roman"/>
                <w:szCs w:val="24"/>
              </w:rPr>
            </w:pPr>
          </w:p>
        </w:tc>
      </w:tr>
      <w:tr>
        <w:tblPrEx>
          <w:tblW w:w="10080" w:type="dxa"/>
          <w:tblInd w:w="55" w:type="dxa"/>
          <w:tblCellMar>
            <w:left w:w="70" w:type="dxa"/>
            <w:right w:w="70" w:type="dxa"/>
          </w:tblCellMar>
          <w:tblLook w:val="04A0"/>
        </w:tblPrEx>
        <w:trPr>
          <w:trHeight w:val="570"/>
        </w:trPr>
        <w:tc>
          <w:tcPr>
            <w:tcW w:w="420" w:type="dxa"/>
            <w:tcBorders>
              <w:top w:val="single" w:sz="8" w:space="0" w:color="auto"/>
              <w:left w:val="single" w:sz="8" w:space="0" w:color="auto"/>
              <w:bottom w:val="single" w:sz="8" w:space="0" w:color="auto"/>
              <w:right w:val="single" w:sz="4"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 </w:t>
            </w:r>
          </w:p>
        </w:tc>
        <w:tc>
          <w:tcPr>
            <w:tcW w:w="4980" w:type="dxa"/>
            <w:tcBorders>
              <w:top w:val="single" w:sz="8" w:space="0" w:color="auto"/>
              <w:left w:val="nil"/>
              <w:bottom w:val="single" w:sz="8" w:space="0" w:color="auto"/>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Obsahový počet</w:t>
            </w:r>
          </w:p>
        </w:tc>
        <w:tc>
          <w:tcPr>
            <w:tcW w:w="1278" w:type="dxa"/>
            <w:tcBorders>
              <w:top w:val="single" w:sz="8" w:space="0" w:color="auto"/>
              <w:left w:val="single" w:sz="8" w:space="0" w:color="auto"/>
              <w:bottom w:val="single" w:sz="8" w:space="0" w:color="auto"/>
              <w:right w:val="single" w:sz="4"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 2 ods. 1 písm. a)</w:t>
            </w:r>
          </w:p>
        </w:tc>
        <w:tc>
          <w:tcPr>
            <w:tcW w:w="1134" w:type="dxa"/>
            <w:tcBorders>
              <w:top w:val="single" w:sz="8" w:space="0" w:color="auto"/>
              <w:left w:val="nil"/>
              <w:bottom w:val="single" w:sz="8" w:space="0" w:color="auto"/>
              <w:right w:val="single" w:sz="4"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 2 ods. 1 písm. b)</w:t>
            </w:r>
          </w:p>
        </w:tc>
        <w:tc>
          <w:tcPr>
            <w:tcW w:w="1134" w:type="dxa"/>
            <w:tcBorders>
              <w:top w:val="single" w:sz="8" w:space="0" w:color="auto"/>
              <w:left w:val="nil"/>
              <w:bottom w:val="single" w:sz="8" w:space="0" w:color="auto"/>
              <w:right w:val="single" w:sz="8"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 2 ods. 1 písm. c)</w:t>
            </w:r>
          </w:p>
        </w:tc>
        <w:tc>
          <w:tcPr>
            <w:tcW w:w="1134" w:type="dxa"/>
            <w:tcBorders>
              <w:top w:val="single" w:sz="8" w:space="0" w:color="auto"/>
              <w:left w:val="single" w:sz="4" w:space="0" w:color="auto"/>
              <w:bottom w:val="single" w:sz="8" w:space="0" w:color="auto"/>
              <w:right w:val="single" w:sz="8"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Celkový počet</w:t>
            </w:r>
          </w:p>
        </w:tc>
      </w:tr>
      <w:tr>
        <w:tblPrEx>
          <w:tblW w:w="10080" w:type="dxa"/>
          <w:tblInd w:w="55" w:type="dxa"/>
          <w:tblCellMar>
            <w:left w:w="70" w:type="dxa"/>
            <w:right w:w="70" w:type="dxa"/>
          </w:tblCellMar>
          <w:tblLook w:val="04A0"/>
        </w:tblPrEx>
        <w:trPr>
          <w:trHeight w:val="703"/>
        </w:trPr>
        <w:tc>
          <w:tcPr>
            <w:tcW w:w="420" w:type="dxa"/>
            <w:tcBorders>
              <w:top w:val="nil"/>
              <w:left w:val="single" w:sz="8" w:space="0" w:color="auto"/>
              <w:bottom w:val="single" w:sz="4" w:space="0" w:color="auto"/>
              <w:right w:val="single" w:sz="8"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1.</w:t>
            </w:r>
          </w:p>
        </w:tc>
        <w:tc>
          <w:tcPr>
            <w:tcW w:w="4980" w:type="dxa"/>
            <w:tcBorders>
              <w:top w:val="nil"/>
              <w:left w:val="nil"/>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b/>
                <w:bCs/>
                <w:color w:val="000000"/>
                <w:sz w:val="22"/>
                <w:lang w:eastAsia="sk-SK"/>
              </w:rPr>
            </w:pPr>
            <w:r w:rsidRPr="00732CD8">
              <w:rPr>
                <w:rFonts w:ascii="Arial Narrow" w:hAnsi="Arial Narrow" w:cs="Arial"/>
                <w:b/>
                <w:bCs/>
                <w:color w:val="000000"/>
                <w:sz w:val="22"/>
                <w:lang w:eastAsia="sk-SK"/>
              </w:rPr>
              <w:t>Počet žiadostí na použitie ITP – § 4. ods. 1, z toho :</w:t>
            </w:r>
          </w:p>
        </w:tc>
        <w:tc>
          <w:tcPr>
            <w:tcW w:w="1278"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198</w:t>
            </w:r>
          </w:p>
        </w:tc>
        <w:tc>
          <w:tcPr>
            <w:tcW w:w="1134" w:type="dxa"/>
            <w:tcBorders>
              <w:top w:val="nil"/>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198</w:t>
            </w:r>
          </w:p>
        </w:tc>
      </w:tr>
      <w:tr>
        <w:tblPrEx>
          <w:tblW w:w="10080" w:type="dxa"/>
          <w:tblInd w:w="55" w:type="dxa"/>
          <w:tblCellMar>
            <w:left w:w="70" w:type="dxa"/>
            <w:right w:w="70" w:type="dxa"/>
          </w:tblCellMar>
          <w:tblLook w:val="04A0"/>
        </w:tblPrEx>
        <w:trPr>
          <w:trHeight w:val="500"/>
        </w:trPr>
        <w:tc>
          <w:tcPr>
            <w:tcW w:w="420" w:type="dxa"/>
            <w:tcBorders>
              <w:top w:val="nil"/>
              <w:left w:val="single" w:sz="8" w:space="0" w:color="auto"/>
              <w:bottom w:val="single" w:sz="4" w:space="0" w:color="auto"/>
              <w:right w:val="single" w:sz="8"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color w:val="000000"/>
                <w:sz w:val="22"/>
                <w:lang w:eastAsia="sk-SK"/>
              </w:rPr>
            </w:pPr>
            <w:r w:rsidRPr="00732CD8">
              <w:rPr>
                <w:rFonts w:ascii="Arial Narrow" w:hAnsi="Arial Narrow" w:cs="Arial"/>
                <w:color w:val="000000"/>
                <w:sz w:val="22"/>
                <w:lang w:eastAsia="sk-SK"/>
              </w:rPr>
              <w:t>2.</w:t>
            </w:r>
          </w:p>
        </w:tc>
        <w:tc>
          <w:tcPr>
            <w:tcW w:w="4980" w:type="dxa"/>
            <w:tcBorders>
              <w:top w:val="nil"/>
              <w:left w:val="nil"/>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color w:val="000000"/>
                <w:sz w:val="22"/>
                <w:lang w:eastAsia="sk-SK"/>
              </w:rPr>
            </w:pPr>
            <w:r w:rsidRPr="00732CD8">
              <w:rPr>
                <w:rFonts w:ascii="Arial Narrow" w:hAnsi="Arial Narrow" w:cs="Arial"/>
                <w:color w:val="000000"/>
                <w:sz w:val="22"/>
                <w:lang w:eastAsia="sk-SK"/>
              </w:rPr>
              <w:t>Vydané súhlasy</w:t>
            </w:r>
          </w:p>
        </w:tc>
        <w:tc>
          <w:tcPr>
            <w:tcW w:w="1278"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185</w:t>
            </w:r>
          </w:p>
        </w:tc>
        <w:tc>
          <w:tcPr>
            <w:tcW w:w="1134" w:type="dxa"/>
            <w:tcBorders>
              <w:top w:val="nil"/>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185</w:t>
            </w:r>
          </w:p>
        </w:tc>
      </w:tr>
      <w:tr>
        <w:tblPrEx>
          <w:tblW w:w="10080" w:type="dxa"/>
          <w:tblInd w:w="55" w:type="dxa"/>
          <w:tblCellMar>
            <w:left w:w="70" w:type="dxa"/>
            <w:right w:w="70" w:type="dxa"/>
          </w:tblCellMar>
          <w:tblLook w:val="04A0"/>
        </w:tblPrEx>
        <w:trPr>
          <w:trHeight w:val="500"/>
        </w:trPr>
        <w:tc>
          <w:tcPr>
            <w:tcW w:w="420" w:type="dxa"/>
            <w:tcBorders>
              <w:top w:val="nil"/>
              <w:left w:val="single" w:sz="8" w:space="0" w:color="auto"/>
              <w:bottom w:val="single" w:sz="8" w:space="0" w:color="auto"/>
              <w:right w:val="single" w:sz="8"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color w:val="000000"/>
                <w:sz w:val="22"/>
                <w:lang w:eastAsia="sk-SK"/>
              </w:rPr>
            </w:pPr>
            <w:r w:rsidRPr="00732CD8">
              <w:rPr>
                <w:rFonts w:ascii="Arial Narrow" w:hAnsi="Arial Narrow" w:cs="Arial"/>
                <w:color w:val="000000"/>
                <w:sz w:val="22"/>
                <w:lang w:eastAsia="sk-SK"/>
              </w:rPr>
              <w:t>3.</w:t>
            </w:r>
          </w:p>
        </w:tc>
        <w:tc>
          <w:tcPr>
            <w:tcW w:w="4980" w:type="dxa"/>
            <w:tcBorders>
              <w:top w:val="nil"/>
              <w:left w:val="nil"/>
              <w:bottom w:val="single" w:sz="8"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color w:val="000000"/>
                <w:sz w:val="22"/>
                <w:lang w:eastAsia="sk-SK"/>
              </w:rPr>
            </w:pPr>
            <w:r w:rsidRPr="00732CD8">
              <w:rPr>
                <w:rFonts w:ascii="Arial Narrow" w:hAnsi="Arial Narrow" w:cs="Arial"/>
                <w:color w:val="000000"/>
                <w:sz w:val="22"/>
                <w:lang w:eastAsia="sk-SK"/>
              </w:rPr>
              <w:t>Odmietnuté žiadosti</w:t>
            </w:r>
          </w:p>
        </w:tc>
        <w:tc>
          <w:tcPr>
            <w:tcW w:w="1278" w:type="dxa"/>
            <w:tcBorders>
              <w:top w:val="nil"/>
              <w:left w:val="nil"/>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13</w:t>
            </w:r>
          </w:p>
        </w:tc>
        <w:tc>
          <w:tcPr>
            <w:tcW w:w="1134" w:type="dxa"/>
            <w:tcBorders>
              <w:top w:val="nil"/>
              <w:left w:val="nil"/>
              <w:bottom w:val="single" w:sz="8"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13</w:t>
            </w:r>
          </w:p>
        </w:tc>
      </w:tr>
      <w:tr>
        <w:tblPrEx>
          <w:tblW w:w="10080" w:type="dxa"/>
          <w:tblInd w:w="55" w:type="dxa"/>
          <w:tblCellMar>
            <w:left w:w="70" w:type="dxa"/>
            <w:right w:w="70" w:type="dxa"/>
          </w:tblCellMar>
          <w:tblLook w:val="04A0"/>
        </w:tblPrEx>
        <w:trPr>
          <w:trHeight w:val="560"/>
        </w:trPr>
        <w:tc>
          <w:tcPr>
            <w:tcW w:w="420" w:type="dxa"/>
            <w:tcBorders>
              <w:top w:val="nil"/>
              <w:left w:val="single" w:sz="8" w:space="0" w:color="auto"/>
              <w:bottom w:val="single" w:sz="4" w:space="0" w:color="auto"/>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4.</w:t>
            </w:r>
          </w:p>
        </w:tc>
        <w:tc>
          <w:tcPr>
            <w:tcW w:w="4980" w:type="dxa"/>
            <w:tcBorders>
              <w:top w:val="nil"/>
              <w:left w:val="single" w:sz="8" w:space="0" w:color="auto"/>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b/>
                <w:bCs/>
                <w:color w:val="000000"/>
                <w:sz w:val="22"/>
                <w:lang w:eastAsia="sk-SK"/>
              </w:rPr>
            </w:pPr>
            <w:r w:rsidRPr="00732CD8">
              <w:rPr>
                <w:rFonts w:ascii="Arial Narrow" w:hAnsi="Arial Narrow" w:cs="Arial"/>
                <w:b/>
                <w:bCs/>
                <w:color w:val="000000"/>
                <w:sz w:val="22"/>
                <w:lang w:eastAsia="sk-SK"/>
              </w:rPr>
              <w:t>Počet opakovaných žiadostí* na predĺženie doby použitia ITP v tom istom prípade - § 4 ods. 2, z toho :</w:t>
            </w:r>
          </w:p>
        </w:tc>
        <w:tc>
          <w:tcPr>
            <w:tcW w:w="1278"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20</w:t>
            </w:r>
          </w:p>
        </w:tc>
        <w:tc>
          <w:tcPr>
            <w:tcW w:w="1134" w:type="dxa"/>
            <w:tcBorders>
              <w:top w:val="nil"/>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20</w:t>
            </w:r>
          </w:p>
        </w:tc>
      </w:tr>
      <w:tr>
        <w:tblPrEx>
          <w:tblW w:w="10080" w:type="dxa"/>
          <w:tblInd w:w="55" w:type="dxa"/>
          <w:tblCellMar>
            <w:left w:w="70" w:type="dxa"/>
            <w:right w:w="70" w:type="dxa"/>
          </w:tblCellMar>
          <w:tblLook w:val="04A0"/>
        </w:tblPrEx>
        <w:trPr>
          <w:trHeight w:val="500"/>
        </w:trPr>
        <w:tc>
          <w:tcPr>
            <w:tcW w:w="420" w:type="dxa"/>
            <w:tcBorders>
              <w:top w:val="nil"/>
              <w:left w:val="single" w:sz="8" w:space="0" w:color="auto"/>
              <w:bottom w:val="single" w:sz="4" w:space="0" w:color="auto"/>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color w:val="000000"/>
                <w:sz w:val="22"/>
                <w:lang w:eastAsia="sk-SK"/>
              </w:rPr>
            </w:pPr>
            <w:r w:rsidRPr="00732CD8">
              <w:rPr>
                <w:rFonts w:ascii="Arial Narrow" w:hAnsi="Arial Narrow" w:cs="Arial"/>
                <w:color w:val="000000"/>
                <w:sz w:val="22"/>
                <w:lang w:eastAsia="sk-SK"/>
              </w:rPr>
              <w:t>5.</w:t>
            </w:r>
          </w:p>
        </w:tc>
        <w:tc>
          <w:tcPr>
            <w:tcW w:w="4980" w:type="dxa"/>
            <w:tcBorders>
              <w:top w:val="nil"/>
              <w:left w:val="single" w:sz="8" w:space="0" w:color="auto"/>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color w:val="000000"/>
                <w:sz w:val="22"/>
                <w:lang w:eastAsia="sk-SK"/>
              </w:rPr>
            </w:pPr>
            <w:r w:rsidRPr="00732CD8">
              <w:rPr>
                <w:rFonts w:ascii="Arial Narrow" w:hAnsi="Arial Narrow" w:cs="Arial"/>
                <w:color w:val="000000"/>
                <w:sz w:val="22"/>
                <w:lang w:eastAsia="sk-SK"/>
              </w:rPr>
              <w:t>Vydané súhlasy</w:t>
            </w:r>
          </w:p>
        </w:tc>
        <w:tc>
          <w:tcPr>
            <w:tcW w:w="1278"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20</w:t>
            </w:r>
          </w:p>
        </w:tc>
        <w:tc>
          <w:tcPr>
            <w:tcW w:w="1134" w:type="dxa"/>
            <w:tcBorders>
              <w:top w:val="nil"/>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20</w:t>
            </w:r>
          </w:p>
        </w:tc>
      </w:tr>
      <w:tr>
        <w:tblPrEx>
          <w:tblW w:w="10080" w:type="dxa"/>
          <w:tblInd w:w="55" w:type="dxa"/>
          <w:tblCellMar>
            <w:left w:w="70" w:type="dxa"/>
            <w:right w:w="70" w:type="dxa"/>
          </w:tblCellMar>
          <w:tblLook w:val="04A0"/>
        </w:tblPrEx>
        <w:trPr>
          <w:trHeight w:val="500"/>
        </w:trPr>
        <w:tc>
          <w:tcPr>
            <w:tcW w:w="420" w:type="dxa"/>
            <w:tcBorders>
              <w:top w:val="nil"/>
              <w:left w:val="single" w:sz="8" w:space="0" w:color="auto"/>
              <w:bottom w:val="nil"/>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color w:val="000000"/>
                <w:sz w:val="22"/>
                <w:lang w:eastAsia="sk-SK"/>
              </w:rPr>
            </w:pPr>
            <w:r w:rsidRPr="00732CD8">
              <w:rPr>
                <w:rFonts w:ascii="Arial Narrow" w:hAnsi="Arial Narrow" w:cs="Arial"/>
                <w:color w:val="000000"/>
                <w:sz w:val="22"/>
                <w:lang w:eastAsia="sk-SK"/>
              </w:rPr>
              <w:t>6.</w:t>
            </w:r>
          </w:p>
        </w:tc>
        <w:tc>
          <w:tcPr>
            <w:tcW w:w="4980" w:type="dxa"/>
            <w:tcBorders>
              <w:top w:val="nil"/>
              <w:left w:val="single" w:sz="8" w:space="0" w:color="auto"/>
              <w:bottom w:val="single" w:sz="8"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color w:val="000000"/>
                <w:sz w:val="22"/>
                <w:lang w:eastAsia="sk-SK"/>
              </w:rPr>
            </w:pPr>
            <w:r w:rsidRPr="00732CD8">
              <w:rPr>
                <w:rFonts w:ascii="Arial Narrow" w:hAnsi="Arial Narrow" w:cs="Arial"/>
                <w:color w:val="000000"/>
                <w:sz w:val="22"/>
                <w:lang w:eastAsia="sk-SK"/>
              </w:rPr>
              <w:t>Odmietnuté žiadosti</w:t>
            </w:r>
          </w:p>
        </w:tc>
        <w:tc>
          <w:tcPr>
            <w:tcW w:w="1278" w:type="dxa"/>
            <w:tcBorders>
              <w:top w:val="nil"/>
              <w:left w:val="nil"/>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c>
          <w:tcPr>
            <w:tcW w:w="1134" w:type="dxa"/>
            <w:tcBorders>
              <w:top w:val="nil"/>
              <w:left w:val="nil"/>
              <w:bottom w:val="single" w:sz="8"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r>
      <w:tr>
        <w:tblPrEx>
          <w:tblW w:w="10080" w:type="dxa"/>
          <w:tblInd w:w="55" w:type="dxa"/>
          <w:tblCellMar>
            <w:left w:w="70" w:type="dxa"/>
            <w:right w:w="70" w:type="dxa"/>
          </w:tblCellMar>
          <w:tblLook w:val="04A0"/>
        </w:tblPrEx>
        <w:trPr>
          <w:trHeight w:val="560"/>
        </w:trPr>
        <w:tc>
          <w:tcPr>
            <w:tcW w:w="420" w:type="dxa"/>
            <w:tcBorders>
              <w:top w:val="single" w:sz="8" w:space="0" w:color="auto"/>
              <w:left w:val="single" w:sz="8" w:space="0" w:color="auto"/>
              <w:bottom w:val="single" w:sz="4" w:space="0" w:color="auto"/>
              <w:right w:val="single" w:sz="8"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 xml:space="preserve">7. </w:t>
            </w:r>
          </w:p>
        </w:tc>
        <w:tc>
          <w:tcPr>
            <w:tcW w:w="4980" w:type="dxa"/>
            <w:tcBorders>
              <w:top w:val="nil"/>
              <w:left w:val="nil"/>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b/>
                <w:bCs/>
                <w:color w:val="000000"/>
                <w:sz w:val="22"/>
                <w:lang w:eastAsia="sk-SK"/>
              </w:rPr>
            </w:pPr>
            <w:r w:rsidRPr="00732CD8">
              <w:rPr>
                <w:rFonts w:ascii="Arial Narrow" w:hAnsi="Arial Narrow" w:cs="Arial"/>
                <w:b/>
                <w:bCs/>
                <w:color w:val="000000"/>
                <w:sz w:val="22"/>
                <w:lang w:eastAsia="sk-SK"/>
              </w:rPr>
              <w:t xml:space="preserve">Počet prípadov použitia** ITP podľa § 5 ods. 1 a 2 – dodatočné súhlasy, z toho: </w:t>
            </w:r>
          </w:p>
        </w:tc>
        <w:tc>
          <w:tcPr>
            <w:tcW w:w="1278"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c>
          <w:tcPr>
            <w:tcW w:w="1134" w:type="dxa"/>
            <w:tcBorders>
              <w:top w:val="nil"/>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r>
      <w:tr>
        <w:tblPrEx>
          <w:tblW w:w="10080" w:type="dxa"/>
          <w:tblInd w:w="55" w:type="dxa"/>
          <w:tblCellMar>
            <w:left w:w="70" w:type="dxa"/>
            <w:right w:w="70" w:type="dxa"/>
          </w:tblCellMar>
          <w:tblLook w:val="04A0"/>
        </w:tblPrEx>
        <w:trPr>
          <w:trHeight w:val="500"/>
        </w:trPr>
        <w:tc>
          <w:tcPr>
            <w:tcW w:w="420" w:type="dxa"/>
            <w:tcBorders>
              <w:top w:val="nil"/>
              <w:left w:val="single" w:sz="8" w:space="0" w:color="auto"/>
              <w:bottom w:val="single" w:sz="4" w:space="0" w:color="auto"/>
              <w:right w:val="single" w:sz="8"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color w:val="000000"/>
                <w:sz w:val="22"/>
                <w:lang w:eastAsia="sk-SK"/>
              </w:rPr>
            </w:pPr>
            <w:r w:rsidRPr="00732CD8">
              <w:rPr>
                <w:rFonts w:ascii="Arial Narrow" w:hAnsi="Arial Narrow" w:cs="Arial"/>
                <w:color w:val="000000"/>
                <w:sz w:val="22"/>
                <w:lang w:eastAsia="sk-SK"/>
              </w:rPr>
              <w:t>8.</w:t>
            </w:r>
          </w:p>
        </w:tc>
        <w:tc>
          <w:tcPr>
            <w:tcW w:w="4980" w:type="dxa"/>
            <w:tcBorders>
              <w:top w:val="nil"/>
              <w:left w:val="nil"/>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color w:val="000000"/>
                <w:sz w:val="22"/>
                <w:lang w:eastAsia="sk-SK"/>
              </w:rPr>
            </w:pPr>
            <w:r w:rsidRPr="00732CD8">
              <w:rPr>
                <w:rFonts w:ascii="Arial Narrow" w:hAnsi="Arial Narrow" w:cs="Arial"/>
                <w:color w:val="000000"/>
                <w:sz w:val="22"/>
                <w:lang w:eastAsia="sk-SK"/>
              </w:rPr>
              <w:t>Vydané súhlasy</w:t>
            </w:r>
          </w:p>
        </w:tc>
        <w:tc>
          <w:tcPr>
            <w:tcW w:w="1278"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c>
          <w:tcPr>
            <w:tcW w:w="1134" w:type="dxa"/>
            <w:tcBorders>
              <w:top w:val="nil"/>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r>
      <w:tr>
        <w:tblPrEx>
          <w:tblW w:w="10080" w:type="dxa"/>
          <w:tblInd w:w="55" w:type="dxa"/>
          <w:tblCellMar>
            <w:left w:w="70" w:type="dxa"/>
            <w:right w:w="70" w:type="dxa"/>
          </w:tblCellMar>
          <w:tblLook w:val="04A0"/>
        </w:tblPrEx>
        <w:trPr>
          <w:trHeight w:val="500"/>
        </w:trPr>
        <w:tc>
          <w:tcPr>
            <w:tcW w:w="420" w:type="dxa"/>
            <w:tcBorders>
              <w:top w:val="nil"/>
              <w:left w:val="single" w:sz="8" w:space="0" w:color="auto"/>
              <w:bottom w:val="single" w:sz="8" w:space="0" w:color="auto"/>
              <w:right w:val="single" w:sz="8" w:space="0" w:color="auto"/>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color w:val="000000"/>
                <w:sz w:val="22"/>
                <w:lang w:eastAsia="sk-SK"/>
              </w:rPr>
            </w:pPr>
            <w:r w:rsidRPr="00732CD8">
              <w:rPr>
                <w:rFonts w:ascii="Arial Narrow" w:hAnsi="Arial Narrow" w:cs="Arial"/>
                <w:color w:val="000000"/>
                <w:sz w:val="22"/>
                <w:lang w:eastAsia="sk-SK"/>
              </w:rPr>
              <w:t>9.</w:t>
            </w:r>
          </w:p>
        </w:tc>
        <w:tc>
          <w:tcPr>
            <w:tcW w:w="4980" w:type="dxa"/>
            <w:tcBorders>
              <w:top w:val="nil"/>
              <w:left w:val="nil"/>
              <w:bottom w:val="single" w:sz="8"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color w:val="000000"/>
                <w:sz w:val="22"/>
                <w:lang w:eastAsia="sk-SK"/>
              </w:rPr>
            </w:pPr>
            <w:r w:rsidRPr="00732CD8">
              <w:rPr>
                <w:rFonts w:ascii="Arial Narrow" w:hAnsi="Arial Narrow" w:cs="Arial"/>
                <w:color w:val="000000"/>
                <w:sz w:val="22"/>
                <w:lang w:eastAsia="sk-SK"/>
              </w:rPr>
              <w:t>Odmietnuté žiadosti</w:t>
            </w:r>
          </w:p>
        </w:tc>
        <w:tc>
          <w:tcPr>
            <w:tcW w:w="1278" w:type="dxa"/>
            <w:tcBorders>
              <w:top w:val="nil"/>
              <w:left w:val="nil"/>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c>
          <w:tcPr>
            <w:tcW w:w="1134" w:type="dxa"/>
            <w:tcBorders>
              <w:top w:val="nil"/>
              <w:left w:val="nil"/>
              <w:bottom w:val="single" w:sz="8"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r>
      <w:tr>
        <w:tblPrEx>
          <w:tblW w:w="10080" w:type="dxa"/>
          <w:tblInd w:w="55" w:type="dxa"/>
          <w:tblCellMar>
            <w:left w:w="70" w:type="dxa"/>
            <w:right w:w="70" w:type="dxa"/>
          </w:tblCellMar>
          <w:tblLook w:val="04A0"/>
        </w:tblPrEx>
        <w:trPr>
          <w:trHeight w:val="560"/>
        </w:trPr>
        <w:tc>
          <w:tcPr>
            <w:tcW w:w="420" w:type="dxa"/>
            <w:tcBorders>
              <w:top w:val="nil"/>
              <w:left w:val="single" w:sz="8" w:space="0" w:color="auto"/>
              <w:bottom w:val="single" w:sz="4" w:space="0" w:color="auto"/>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10.</w:t>
            </w:r>
          </w:p>
        </w:tc>
        <w:tc>
          <w:tcPr>
            <w:tcW w:w="4980" w:type="dxa"/>
            <w:tcBorders>
              <w:top w:val="nil"/>
              <w:left w:val="single" w:sz="8" w:space="0" w:color="auto"/>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b/>
                <w:bCs/>
                <w:color w:val="000000"/>
                <w:sz w:val="22"/>
                <w:lang w:eastAsia="sk-SK"/>
              </w:rPr>
            </w:pPr>
            <w:r w:rsidRPr="00732CD8">
              <w:rPr>
                <w:rFonts w:ascii="Arial Narrow" w:hAnsi="Arial Narrow" w:cs="Arial"/>
                <w:b/>
                <w:bCs/>
                <w:color w:val="000000"/>
                <w:sz w:val="22"/>
                <w:lang w:eastAsia="sk-SK"/>
              </w:rPr>
              <w:t>Počet ITP, u ktorých bol dosiahnutý zákonom uznávaný cieľ</w:t>
            </w:r>
          </w:p>
        </w:tc>
        <w:tc>
          <w:tcPr>
            <w:tcW w:w="1278"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157</w:t>
            </w:r>
          </w:p>
        </w:tc>
        <w:tc>
          <w:tcPr>
            <w:tcW w:w="1134" w:type="dxa"/>
            <w:tcBorders>
              <w:top w:val="nil"/>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157</w:t>
            </w:r>
          </w:p>
        </w:tc>
      </w:tr>
      <w:tr>
        <w:tblPrEx>
          <w:tblW w:w="10080" w:type="dxa"/>
          <w:tblInd w:w="55" w:type="dxa"/>
          <w:tblCellMar>
            <w:left w:w="70" w:type="dxa"/>
            <w:right w:w="70" w:type="dxa"/>
          </w:tblCellMar>
          <w:tblLook w:val="04A0"/>
        </w:tblPrEx>
        <w:trPr>
          <w:trHeight w:val="560"/>
        </w:trPr>
        <w:tc>
          <w:tcPr>
            <w:tcW w:w="420" w:type="dxa"/>
            <w:tcBorders>
              <w:top w:val="nil"/>
              <w:left w:val="single" w:sz="8" w:space="0" w:color="auto"/>
              <w:bottom w:val="single" w:sz="4" w:space="0" w:color="auto"/>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11.</w:t>
            </w:r>
          </w:p>
        </w:tc>
        <w:tc>
          <w:tcPr>
            <w:tcW w:w="4980" w:type="dxa"/>
            <w:tcBorders>
              <w:top w:val="nil"/>
              <w:left w:val="single" w:sz="8" w:space="0" w:color="auto"/>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b/>
                <w:bCs/>
                <w:color w:val="000000"/>
                <w:sz w:val="22"/>
                <w:lang w:eastAsia="sk-SK"/>
              </w:rPr>
            </w:pPr>
            <w:r w:rsidRPr="00732CD8">
              <w:rPr>
                <w:rFonts w:ascii="Arial Narrow" w:hAnsi="Arial Narrow" w:cs="Arial"/>
                <w:b/>
                <w:bCs/>
                <w:color w:val="000000"/>
                <w:sz w:val="22"/>
                <w:lang w:eastAsia="sk-SK"/>
              </w:rPr>
              <w:t>Počet ITP, u ktorých nebol dosiahnutý zákonom uznávaný cieľ</w:t>
            </w:r>
          </w:p>
        </w:tc>
        <w:tc>
          <w:tcPr>
            <w:tcW w:w="1278"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20</w:t>
            </w:r>
          </w:p>
        </w:tc>
        <w:tc>
          <w:tcPr>
            <w:tcW w:w="1134" w:type="dxa"/>
            <w:tcBorders>
              <w:top w:val="nil"/>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20</w:t>
            </w:r>
          </w:p>
        </w:tc>
      </w:tr>
      <w:tr>
        <w:tblPrEx>
          <w:tblW w:w="10080" w:type="dxa"/>
          <w:tblInd w:w="55" w:type="dxa"/>
          <w:tblCellMar>
            <w:left w:w="70" w:type="dxa"/>
            <w:right w:w="70" w:type="dxa"/>
          </w:tblCellMar>
          <w:tblLook w:val="04A0"/>
        </w:tblPrEx>
        <w:trPr>
          <w:trHeight w:val="560"/>
        </w:trPr>
        <w:tc>
          <w:tcPr>
            <w:tcW w:w="420" w:type="dxa"/>
            <w:tcBorders>
              <w:top w:val="nil"/>
              <w:left w:val="single" w:sz="8" w:space="0" w:color="auto"/>
              <w:bottom w:val="single" w:sz="4" w:space="0" w:color="auto"/>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12.</w:t>
            </w:r>
          </w:p>
        </w:tc>
        <w:tc>
          <w:tcPr>
            <w:tcW w:w="4980" w:type="dxa"/>
            <w:tcBorders>
              <w:top w:val="nil"/>
              <w:left w:val="single" w:sz="8" w:space="0" w:color="auto"/>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b/>
                <w:bCs/>
                <w:color w:val="000000"/>
                <w:sz w:val="22"/>
                <w:lang w:eastAsia="sk-SK"/>
              </w:rPr>
            </w:pPr>
            <w:r w:rsidRPr="00732CD8">
              <w:rPr>
                <w:rFonts w:ascii="Arial Narrow" w:hAnsi="Arial Narrow" w:cs="Arial"/>
                <w:b/>
                <w:bCs/>
                <w:color w:val="000000"/>
                <w:sz w:val="22"/>
                <w:lang w:eastAsia="sk-SK"/>
              </w:rPr>
              <w:t xml:space="preserve">Počty prípadov použitia ITP, z ktorých boli informácie použité ako dôkaz v trestnom konaní </w:t>
            </w:r>
          </w:p>
        </w:tc>
        <w:tc>
          <w:tcPr>
            <w:tcW w:w="1278"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c>
          <w:tcPr>
            <w:tcW w:w="1134" w:type="dxa"/>
            <w:tcBorders>
              <w:top w:val="nil"/>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r>
      <w:tr>
        <w:tblPrEx>
          <w:tblW w:w="10080" w:type="dxa"/>
          <w:tblInd w:w="55" w:type="dxa"/>
          <w:tblCellMar>
            <w:left w:w="70" w:type="dxa"/>
            <w:right w:w="70" w:type="dxa"/>
          </w:tblCellMar>
          <w:tblLook w:val="04A0"/>
        </w:tblPrEx>
        <w:trPr>
          <w:trHeight w:val="540"/>
        </w:trPr>
        <w:tc>
          <w:tcPr>
            <w:tcW w:w="420" w:type="dxa"/>
            <w:tcBorders>
              <w:top w:val="nil"/>
              <w:left w:val="single" w:sz="8" w:space="0" w:color="auto"/>
              <w:bottom w:val="nil"/>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13.</w:t>
            </w:r>
          </w:p>
        </w:tc>
        <w:tc>
          <w:tcPr>
            <w:tcW w:w="4980" w:type="dxa"/>
            <w:tcBorders>
              <w:top w:val="nil"/>
              <w:left w:val="single" w:sz="8" w:space="0" w:color="auto"/>
              <w:bottom w:val="nil"/>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b/>
                <w:bCs/>
                <w:color w:val="000000"/>
                <w:sz w:val="22"/>
                <w:lang w:eastAsia="sk-SK"/>
              </w:rPr>
            </w:pPr>
            <w:r w:rsidRPr="00732CD8">
              <w:rPr>
                <w:rFonts w:ascii="Arial Narrow" w:hAnsi="Arial Narrow" w:cs="Arial"/>
                <w:b/>
                <w:bCs/>
                <w:color w:val="000000"/>
                <w:sz w:val="22"/>
                <w:lang w:eastAsia="sk-SK"/>
              </w:rPr>
              <w:t>Počet prípadov nezákonného použitia ITP</w:t>
            </w:r>
          </w:p>
        </w:tc>
        <w:tc>
          <w:tcPr>
            <w:tcW w:w="1278" w:type="dxa"/>
            <w:tcBorders>
              <w:top w:val="nil"/>
              <w:left w:val="nil"/>
              <w:bottom w:val="nil"/>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nil"/>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c>
          <w:tcPr>
            <w:tcW w:w="1134" w:type="dxa"/>
            <w:tcBorders>
              <w:top w:val="none" w:sz="0" w:space="0" w:color="auto"/>
              <w:left w:val="none" w:sz="0" w:space="0" w:color="auto"/>
              <w:bottom w:val="none" w:sz="0" w:space="0" w:color="auto"/>
              <w:right w:val="none" w:sz="0"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nil"/>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0</w:t>
            </w:r>
          </w:p>
        </w:tc>
      </w:tr>
      <w:tr>
        <w:tblPrEx>
          <w:tblW w:w="10080" w:type="dxa"/>
          <w:tblInd w:w="55" w:type="dxa"/>
          <w:tblCellMar>
            <w:left w:w="70" w:type="dxa"/>
            <w:right w:w="70" w:type="dxa"/>
          </w:tblCellMar>
          <w:tblLook w:val="04A0"/>
        </w:tblPrEx>
        <w:trPr>
          <w:trHeight w:val="370"/>
        </w:trPr>
        <w:tc>
          <w:tcPr>
            <w:tcW w:w="420" w:type="dxa"/>
            <w:tcBorders>
              <w:top w:val="single" w:sz="8" w:space="0" w:color="auto"/>
              <w:left w:val="single" w:sz="4" w:space="0" w:color="auto"/>
              <w:bottom w:val="single" w:sz="8" w:space="0" w:color="auto"/>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14.</w:t>
            </w:r>
          </w:p>
        </w:tc>
        <w:tc>
          <w:tcPr>
            <w:tcW w:w="4980" w:type="dxa"/>
            <w:tcBorders>
              <w:top w:val="single" w:sz="8" w:space="0" w:color="auto"/>
              <w:left w:val="single" w:sz="8" w:space="0" w:color="auto"/>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b/>
                <w:bCs/>
                <w:color w:val="000000"/>
                <w:sz w:val="22"/>
                <w:lang w:eastAsia="sk-SK"/>
              </w:rPr>
            </w:pPr>
            <w:r w:rsidRPr="00732CD8">
              <w:rPr>
                <w:rFonts w:ascii="Arial Narrow" w:hAnsi="Arial Narrow" w:cs="Arial"/>
                <w:b/>
                <w:bCs/>
                <w:color w:val="000000"/>
                <w:sz w:val="22"/>
                <w:lang w:eastAsia="sk-SK"/>
              </w:rPr>
              <w:t>Celkový počet žiadostí na použitie ITP – súčet r. 1+4+7</w:t>
            </w:r>
          </w:p>
        </w:tc>
        <w:tc>
          <w:tcPr>
            <w:tcW w:w="1278" w:type="dxa"/>
            <w:tcBorders>
              <w:top w:val="single" w:sz="8" w:space="0" w:color="auto"/>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single" w:sz="8" w:space="0" w:color="auto"/>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218</w:t>
            </w:r>
          </w:p>
        </w:tc>
        <w:tc>
          <w:tcPr>
            <w:tcW w:w="1134" w:type="dxa"/>
            <w:tcBorders>
              <w:top w:val="single" w:sz="8" w:space="0" w:color="auto"/>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single" w:sz="8" w:space="0" w:color="auto"/>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218</w:t>
            </w:r>
          </w:p>
        </w:tc>
      </w:tr>
      <w:tr>
        <w:tblPrEx>
          <w:tblW w:w="10080" w:type="dxa"/>
          <w:tblInd w:w="55" w:type="dxa"/>
          <w:tblCellMar>
            <w:left w:w="70" w:type="dxa"/>
            <w:right w:w="70" w:type="dxa"/>
          </w:tblCellMar>
          <w:tblLook w:val="04A0"/>
        </w:tblPrEx>
        <w:trPr>
          <w:trHeight w:val="600"/>
        </w:trPr>
        <w:tc>
          <w:tcPr>
            <w:tcW w:w="420" w:type="dxa"/>
            <w:tcBorders>
              <w:top w:val="nil"/>
              <w:left w:val="single" w:sz="4" w:space="0" w:color="auto"/>
              <w:bottom w:val="single" w:sz="8" w:space="0" w:color="auto"/>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15.</w:t>
            </w:r>
          </w:p>
        </w:tc>
        <w:tc>
          <w:tcPr>
            <w:tcW w:w="4980" w:type="dxa"/>
            <w:tcBorders>
              <w:top w:val="nil"/>
              <w:left w:val="single" w:sz="8" w:space="0" w:color="auto"/>
              <w:bottom w:val="single" w:sz="4"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b/>
                <w:bCs/>
                <w:color w:val="000000"/>
                <w:sz w:val="22"/>
                <w:lang w:eastAsia="sk-SK"/>
              </w:rPr>
            </w:pPr>
            <w:r w:rsidRPr="00732CD8">
              <w:rPr>
                <w:rFonts w:ascii="Arial Narrow" w:hAnsi="Arial Narrow" w:cs="Arial"/>
                <w:b/>
                <w:bCs/>
                <w:color w:val="000000"/>
                <w:sz w:val="22"/>
                <w:lang w:eastAsia="sk-SK"/>
              </w:rPr>
              <w:t>Celkový počet vydaných súhlasov – súčet r. 2+5+8</w:t>
            </w:r>
          </w:p>
        </w:tc>
        <w:tc>
          <w:tcPr>
            <w:tcW w:w="1278"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205</w:t>
            </w:r>
          </w:p>
        </w:tc>
        <w:tc>
          <w:tcPr>
            <w:tcW w:w="1134" w:type="dxa"/>
            <w:tcBorders>
              <w:top w:val="nil"/>
              <w:left w:val="nil"/>
              <w:bottom w:val="single" w:sz="4"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205</w:t>
            </w:r>
          </w:p>
        </w:tc>
      </w:tr>
      <w:tr>
        <w:tblPrEx>
          <w:tblW w:w="10080" w:type="dxa"/>
          <w:tblInd w:w="55" w:type="dxa"/>
          <w:tblCellMar>
            <w:left w:w="70" w:type="dxa"/>
            <w:right w:w="70" w:type="dxa"/>
          </w:tblCellMar>
          <w:tblLook w:val="04A0"/>
        </w:tblPrEx>
        <w:trPr>
          <w:trHeight w:val="370"/>
        </w:trPr>
        <w:tc>
          <w:tcPr>
            <w:tcW w:w="420" w:type="dxa"/>
            <w:tcBorders>
              <w:top w:val="nil"/>
              <w:left w:val="single" w:sz="4" w:space="0" w:color="auto"/>
              <w:bottom w:val="single" w:sz="8" w:space="0" w:color="auto"/>
              <w:right w:val="nil"/>
            </w:tcBorders>
            <w:shd w:val="clear" w:color="auto" w:fill="C0C0C0"/>
            <w:textDirection w:val="lrTb"/>
            <w:vAlign w:val="top"/>
            <w:hideMark/>
          </w:tcPr>
          <w:p w:rsidR="00732CD8" w:rsidRPr="00732CD8" w:rsidP="00732CD8">
            <w:pPr>
              <w:bidi w:val="0"/>
              <w:spacing w:after="0" w:line="240" w:lineRule="auto"/>
              <w:jc w:val="center"/>
              <w:rPr>
                <w:rFonts w:ascii="Arial Narrow" w:hAnsi="Arial Narrow" w:cs="Arial"/>
                <w:b/>
                <w:bCs/>
                <w:color w:val="000000"/>
                <w:sz w:val="22"/>
                <w:lang w:eastAsia="sk-SK"/>
              </w:rPr>
            </w:pPr>
            <w:r w:rsidRPr="00732CD8">
              <w:rPr>
                <w:rFonts w:ascii="Arial Narrow" w:hAnsi="Arial Narrow" w:cs="Arial"/>
                <w:b/>
                <w:bCs/>
                <w:color w:val="000000"/>
                <w:sz w:val="22"/>
                <w:lang w:eastAsia="sk-SK"/>
              </w:rPr>
              <w:t>16.</w:t>
            </w:r>
          </w:p>
        </w:tc>
        <w:tc>
          <w:tcPr>
            <w:tcW w:w="4980" w:type="dxa"/>
            <w:tcBorders>
              <w:top w:val="nil"/>
              <w:left w:val="single" w:sz="8" w:space="0" w:color="auto"/>
              <w:bottom w:val="single" w:sz="8" w:space="0" w:color="auto"/>
              <w:right w:val="single" w:sz="8" w:space="0" w:color="auto"/>
            </w:tcBorders>
            <w:shd w:val="clear" w:color="auto" w:fill="FFFFFF"/>
            <w:textDirection w:val="lrTb"/>
            <w:vAlign w:val="top"/>
            <w:hideMark/>
          </w:tcPr>
          <w:p w:rsidR="00732CD8" w:rsidRPr="00732CD8" w:rsidP="00732CD8">
            <w:pPr>
              <w:bidi w:val="0"/>
              <w:spacing w:after="0" w:line="240" w:lineRule="auto"/>
              <w:jc w:val="both"/>
              <w:rPr>
                <w:rFonts w:ascii="Arial Narrow" w:hAnsi="Arial Narrow" w:cs="Arial"/>
                <w:b/>
                <w:bCs/>
                <w:color w:val="000000"/>
                <w:sz w:val="22"/>
                <w:lang w:eastAsia="sk-SK"/>
              </w:rPr>
            </w:pPr>
            <w:r w:rsidRPr="00732CD8">
              <w:rPr>
                <w:rFonts w:ascii="Arial Narrow" w:hAnsi="Arial Narrow" w:cs="Arial"/>
                <w:b/>
                <w:bCs/>
                <w:color w:val="000000"/>
                <w:sz w:val="22"/>
                <w:lang w:eastAsia="sk-SK"/>
              </w:rPr>
              <w:t>Celkový počet odmietnutých žiadostí  – súčet r. 3+6+9</w:t>
            </w:r>
          </w:p>
        </w:tc>
        <w:tc>
          <w:tcPr>
            <w:tcW w:w="1278" w:type="dxa"/>
            <w:tcBorders>
              <w:top w:val="nil"/>
              <w:left w:val="nil"/>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nil"/>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13</w:t>
            </w:r>
          </w:p>
        </w:tc>
        <w:tc>
          <w:tcPr>
            <w:tcW w:w="1134" w:type="dxa"/>
            <w:tcBorders>
              <w:top w:val="nil"/>
              <w:left w:val="nil"/>
              <w:bottom w:val="single" w:sz="8" w:space="0" w:color="auto"/>
              <w:right w:val="nil"/>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color w:val="000000"/>
                <w:szCs w:val="24"/>
                <w:lang w:eastAsia="sk-SK"/>
              </w:rPr>
            </w:pPr>
            <w:r w:rsidRPr="00732CD8">
              <w:rPr>
                <w:rFonts w:ascii="Arial Narrow" w:hAnsi="Arial Narrow" w:cs="Arial"/>
                <w:b/>
                <w:bCs/>
                <w:color w:val="000000"/>
                <w:szCs w:val="24"/>
                <w:lang w:eastAsia="sk-SK"/>
              </w:rPr>
              <w:t>0</w:t>
            </w:r>
          </w:p>
        </w:tc>
        <w:tc>
          <w:tcPr>
            <w:tcW w:w="1134" w:type="dxa"/>
            <w:tcBorders>
              <w:top w:val="nil"/>
              <w:left w:val="single" w:sz="4" w:space="0" w:color="auto"/>
              <w:bottom w:val="single" w:sz="8" w:space="0" w:color="auto"/>
              <w:right w:val="single" w:sz="4" w:space="0" w:color="auto"/>
            </w:tcBorders>
            <w:shd w:val="clear" w:color="auto" w:fill="FFFFFF"/>
            <w:noWrap/>
            <w:textDirection w:val="lrTb"/>
            <w:vAlign w:val="center"/>
            <w:hideMark/>
          </w:tcPr>
          <w:p w:rsidR="00732CD8" w:rsidRPr="00732CD8" w:rsidP="00732CD8">
            <w:pPr>
              <w:bidi w:val="0"/>
              <w:spacing w:after="0" w:line="240" w:lineRule="auto"/>
              <w:jc w:val="center"/>
              <w:rPr>
                <w:rFonts w:ascii="Arial Narrow" w:hAnsi="Arial Narrow" w:cs="Arial"/>
                <w:b/>
                <w:bCs/>
                <w:sz w:val="28"/>
                <w:szCs w:val="28"/>
                <w:lang w:eastAsia="sk-SK"/>
              </w:rPr>
            </w:pPr>
            <w:r w:rsidRPr="00732CD8">
              <w:rPr>
                <w:rFonts w:ascii="Arial Narrow" w:hAnsi="Arial Narrow" w:cs="Arial"/>
                <w:b/>
                <w:bCs/>
                <w:sz w:val="28"/>
                <w:szCs w:val="28"/>
                <w:lang w:eastAsia="sk-SK"/>
              </w:rPr>
              <w:t>13</w:t>
            </w:r>
          </w:p>
        </w:tc>
      </w:tr>
      <w:tr>
        <w:tblPrEx>
          <w:tblW w:w="10080" w:type="dxa"/>
          <w:tblInd w:w="55" w:type="dxa"/>
          <w:tblCellMar>
            <w:left w:w="70" w:type="dxa"/>
            <w:right w:w="70" w:type="dxa"/>
          </w:tblCellMar>
          <w:tblLook w:val="04A0"/>
        </w:tblPrEx>
        <w:trPr>
          <w:trHeight w:val="310"/>
        </w:trPr>
        <w:tc>
          <w:tcPr>
            <w:tcW w:w="420" w:type="dxa"/>
            <w:tcBorders>
              <w:top w:val="none" w:sz="0" w:space="0" w:color="auto"/>
              <w:left w:val="none" w:sz="0" w:space="0" w:color="auto"/>
              <w:bottom w:val="none" w:sz="0" w:space="0" w:color="auto"/>
              <w:right w:val="none" w:sz="0" w:space="0" w:color="auto"/>
            </w:tcBorders>
            <w:textDirection w:val="lrTb"/>
            <w:vAlign w:val="top"/>
            <w:hideMark/>
          </w:tcPr>
          <w:p w:rsidR="00732CD8" w:rsidRPr="00732CD8" w:rsidP="00732CD8">
            <w:pPr>
              <w:bidi w:val="0"/>
              <w:spacing w:after="0"/>
              <w:rPr>
                <w:rFonts w:ascii="Times New Roman" w:hAnsi="Times New Roman"/>
                <w:szCs w:val="24"/>
              </w:rPr>
            </w:pPr>
          </w:p>
        </w:tc>
        <w:tc>
          <w:tcPr>
            <w:tcW w:w="4980" w:type="dxa"/>
            <w:tcBorders>
              <w:top w:val="none" w:sz="0" w:space="0" w:color="auto"/>
              <w:left w:val="none" w:sz="0" w:space="0" w:color="auto"/>
              <w:bottom w:val="none" w:sz="0" w:space="0" w:color="auto"/>
              <w:right w:val="none" w:sz="0" w:space="0" w:color="auto"/>
            </w:tcBorders>
            <w:textDirection w:val="lrTb"/>
            <w:vAlign w:val="top"/>
            <w:hideMark/>
          </w:tcPr>
          <w:p w:rsidR="00732CD8" w:rsidRPr="00732CD8" w:rsidP="00732CD8">
            <w:pPr>
              <w:bidi w:val="0"/>
              <w:spacing w:after="0"/>
              <w:rPr>
                <w:rFonts w:ascii="Times New Roman" w:hAnsi="Times New Roman"/>
                <w:szCs w:val="24"/>
              </w:rPr>
            </w:pPr>
          </w:p>
        </w:tc>
        <w:tc>
          <w:tcPr>
            <w:tcW w:w="1278"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r>
      <w:tr>
        <w:tblPrEx>
          <w:tblW w:w="10080" w:type="dxa"/>
          <w:tblInd w:w="55" w:type="dxa"/>
          <w:tblCellMar>
            <w:left w:w="70" w:type="dxa"/>
            <w:right w:w="70" w:type="dxa"/>
          </w:tblCellMar>
          <w:tblLook w:val="04A0"/>
        </w:tblPrEx>
        <w:trPr>
          <w:trHeight w:val="310"/>
        </w:trPr>
        <w:tc>
          <w:tcPr>
            <w:tcW w:w="420" w:type="dxa"/>
            <w:tcBorders>
              <w:top w:val="none" w:sz="0" w:space="0" w:color="auto"/>
              <w:left w:val="none" w:sz="0" w:space="0" w:color="auto"/>
              <w:bottom w:val="none" w:sz="0" w:space="0" w:color="auto"/>
              <w:right w:val="none" w:sz="0" w:space="0" w:color="auto"/>
            </w:tcBorders>
            <w:textDirection w:val="lrTb"/>
            <w:vAlign w:val="top"/>
            <w:hideMark/>
          </w:tcPr>
          <w:p w:rsidR="00732CD8" w:rsidRPr="00732CD8" w:rsidP="00732CD8">
            <w:pPr>
              <w:bidi w:val="0"/>
              <w:spacing w:after="0"/>
              <w:rPr>
                <w:rFonts w:ascii="Times New Roman" w:hAnsi="Times New Roman"/>
                <w:szCs w:val="24"/>
              </w:rPr>
            </w:pPr>
          </w:p>
        </w:tc>
        <w:tc>
          <w:tcPr>
            <w:tcW w:w="4980" w:type="dxa"/>
            <w:tcBorders>
              <w:top w:val="none" w:sz="0" w:space="0" w:color="auto"/>
              <w:left w:val="none" w:sz="0" w:space="0" w:color="auto"/>
              <w:bottom w:val="none" w:sz="0" w:space="0" w:color="auto"/>
              <w:right w:val="none" w:sz="0" w:space="0" w:color="auto"/>
            </w:tcBorders>
            <w:textDirection w:val="lrTb"/>
            <w:vAlign w:val="top"/>
            <w:hideMark/>
          </w:tcPr>
          <w:p w:rsidR="00732CD8" w:rsidRPr="00732CD8" w:rsidP="00732CD8">
            <w:pPr>
              <w:bidi w:val="0"/>
              <w:spacing w:after="0"/>
              <w:rPr>
                <w:rFonts w:ascii="Times New Roman" w:hAnsi="Times New Roman"/>
                <w:szCs w:val="24"/>
              </w:rPr>
            </w:pPr>
          </w:p>
        </w:tc>
        <w:tc>
          <w:tcPr>
            <w:tcW w:w="1278"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r>
      <w:tr>
        <w:tblPrEx>
          <w:tblW w:w="10080" w:type="dxa"/>
          <w:tblInd w:w="55" w:type="dxa"/>
          <w:tblCellMar>
            <w:left w:w="70" w:type="dxa"/>
            <w:right w:w="70" w:type="dxa"/>
          </w:tblCellMar>
          <w:tblLook w:val="04A0"/>
        </w:tblPrEx>
        <w:trPr>
          <w:trHeight w:val="560"/>
        </w:trPr>
        <w:tc>
          <w:tcPr>
            <w:tcW w:w="420" w:type="dxa"/>
            <w:tcBorders>
              <w:top w:val="none" w:sz="0" w:space="0" w:color="auto"/>
              <w:left w:val="none" w:sz="0" w:space="0" w:color="auto"/>
              <w:bottom w:val="none" w:sz="0" w:space="0" w:color="auto"/>
              <w:right w:val="none" w:sz="0" w:space="0" w:color="auto"/>
            </w:tcBorders>
            <w:textDirection w:val="lrTb"/>
            <w:vAlign w:val="top"/>
            <w:hideMark/>
          </w:tcPr>
          <w:p w:rsidR="00732CD8" w:rsidRPr="00732CD8" w:rsidP="00732CD8">
            <w:pPr>
              <w:bidi w:val="0"/>
              <w:spacing w:after="0"/>
              <w:rPr>
                <w:rFonts w:ascii="Times New Roman" w:hAnsi="Times New Roman"/>
                <w:szCs w:val="24"/>
              </w:rPr>
            </w:pPr>
          </w:p>
        </w:tc>
        <w:tc>
          <w:tcPr>
            <w:tcW w:w="4980" w:type="dxa"/>
            <w:tcBorders>
              <w:top w:val="none" w:sz="0" w:space="0" w:color="auto"/>
              <w:left w:val="none" w:sz="0" w:space="0" w:color="auto"/>
              <w:bottom w:val="none" w:sz="0" w:space="0" w:color="auto"/>
              <w:right w:val="none" w:sz="0" w:space="0" w:color="auto"/>
            </w:tcBorders>
            <w:textDirection w:val="lrTb"/>
            <w:vAlign w:val="top"/>
            <w:hideMark/>
          </w:tcPr>
          <w:p w:rsidR="00732CD8" w:rsidRPr="00732CD8" w:rsidP="00732CD8">
            <w:pPr>
              <w:bidi w:val="0"/>
              <w:spacing w:after="0" w:line="240" w:lineRule="auto"/>
              <w:jc w:val="both"/>
              <w:rPr>
                <w:rFonts w:ascii="Arial Narrow" w:hAnsi="Arial Narrow" w:cs="Arial"/>
                <w:color w:val="000000"/>
                <w:sz w:val="22"/>
                <w:lang w:eastAsia="sk-SK"/>
              </w:rPr>
            </w:pPr>
            <w:r w:rsidRPr="00732CD8">
              <w:rPr>
                <w:rFonts w:ascii="Arial Narrow" w:hAnsi="Arial Narrow" w:cs="Arial"/>
                <w:color w:val="000000"/>
                <w:sz w:val="22"/>
                <w:lang w:eastAsia="sk-SK"/>
              </w:rPr>
              <w:t>* každá žiadosť o predĺženie ITP sa počíta ako samostatný prípad ITP</w:t>
            </w:r>
          </w:p>
        </w:tc>
        <w:tc>
          <w:tcPr>
            <w:tcW w:w="1278"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r>
      <w:tr>
        <w:tblPrEx>
          <w:tblW w:w="10080" w:type="dxa"/>
          <w:tblInd w:w="55" w:type="dxa"/>
          <w:tblCellMar>
            <w:left w:w="70" w:type="dxa"/>
            <w:right w:w="70" w:type="dxa"/>
          </w:tblCellMar>
          <w:tblLook w:val="04A0"/>
        </w:tblPrEx>
        <w:trPr>
          <w:trHeight w:val="280"/>
        </w:trPr>
        <w:tc>
          <w:tcPr>
            <w:tcW w:w="420" w:type="dxa"/>
            <w:tcBorders>
              <w:top w:val="none" w:sz="0" w:space="0" w:color="auto"/>
              <w:left w:val="none" w:sz="0" w:space="0" w:color="auto"/>
              <w:bottom w:val="none" w:sz="0" w:space="0" w:color="auto"/>
              <w:right w:val="none" w:sz="0" w:space="0" w:color="auto"/>
            </w:tcBorders>
            <w:textDirection w:val="lrTb"/>
            <w:vAlign w:val="top"/>
            <w:hideMark/>
          </w:tcPr>
          <w:p w:rsidR="00732CD8" w:rsidRPr="00732CD8" w:rsidP="00732CD8">
            <w:pPr>
              <w:bidi w:val="0"/>
              <w:spacing w:after="0"/>
              <w:rPr>
                <w:rFonts w:ascii="Times New Roman" w:hAnsi="Times New Roman"/>
                <w:szCs w:val="24"/>
              </w:rPr>
            </w:pPr>
          </w:p>
        </w:tc>
        <w:tc>
          <w:tcPr>
            <w:tcW w:w="4980" w:type="dxa"/>
            <w:tcBorders>
              <w:top w:val="none" w:sz="0" w:space="0" w:color="auto"/>
              <w:left w:val="none" w:sz="0" w:space="0" w:color="auto"/>
              <w:bottom w:val="none" w:sz="0" w:space="0" w:color="auto"/>
              <w:right w:val="none" w:sz="0" w:space="0" w:color="auto"/>
            </w:tcBorders>
            <w:textDirection w:val="lrTb"/>
            <w:vAlign w:val="top"/>
            <w:hideMark/>
          </w:tcPr>
          <w:p w:rsidR="00732CD8" w:rsidRPr="00732CD8" w:rsidP="00732CD8">
            <w:pPr>
              <w:bidi w:val="0"/>
              <w:spacing w:after="0" w:line="240" w:lineRule="auto"/>
              <w:jc w:val="both"/>
              <w:rPr>
                <w:rFonts w:ascii="Arial Narrow" w:hAnsi="Arial Narrow" w:cs="Arial"/>
                <w:color w:val="000000"/>
                <w:sz w:val="22"/>
                <w:lang w:eastAsia="sk-SK"/>
              </w:rPr>
            </w:pPr>
            <w:r w:rsidRPr="00732CD8">
              <w:rPr>
                <w:rFonts w:ascii="Arial Narrow" w:hAnsi="Arial Narrow" w:cs="Arial"/>
                <w:color w:val="000000"/>
                <w:sz w:val="22"/>
                <w:lang w:eastAsia="sk-SK"/>
              </w:rPr>
              <w:t>** platí iba pre MV SR</w:t>
            </w:r>
          </w:p>
        </w:tc>
        <w:tc>
          <w:tcPr>
            <w:tcW w:w="1278"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c>
          <w:tcPr>
            <w:tcW w:w="1134" w:type="dxa"/>
            <w:tcBorders>
              <w:top w:val="none" w:sz="0" w:space="0" w:color="auto"/>
              <w:left w:val="none" w:sz="0" w:space="0" w:color="auto"/>
              <w:bottom w:val="none" w:sz="0" w:space="0" w:color="auto"/>
              <w:right w:val="none" w:sz="0" w:space="0" w:color="auto"/>
            </w:tcBorders>
            <w:noWrap/>
            <w:textDirection w:val="lrTb"/>
            <w:vAlign w:val="center"/>
            <w:hideMark/>
          </w:tcPr>
          <w:p w:rsidR="00732CD8" w:rsidRPr="00732CD8" w:rsidP="00732CD8">
            <w:pPr>
              <w:bidi w:val="0"/>
              <w:spacing w:after="0"/>
              <w:rPr>
                <w:rFonts w:ascii="Times New Roman" w:hAnsi="Times New Roman"/>
                <w:szCs w:val="24"/>
              </w:rPr>
            </w:pPr>
          </w:p>
        </w:tc>
      </w:tr>
    </w:tbl>
    <w:p w:rsidR="00732CD8" w:rsidRPr="00732CD8" w:rsidP="00732CD8">
      <w:pPr>
        <w:bidi w:val="0"/>
        <w:spacing w:after="0" w:line="360" w:lineRule="auto"/>
        <w:jc w:val="both"/>
        <w:rPr>
          <w:rFonts w:ascii="Arial" w:hAnsi="Arial" w:cs="Arial"/>
          <w:color w:val="FF0000"/>
          <w:szCs w:val="24"/>
          <w:lang w:eastAsia="sk-SK"/>
        </w:rPr>
      </w:pPr>
    </w:p>
    <w:p w:rsidR="00732CD8" w:rsidRPr="00732CD8" w:rsidP="00732CD8">
      <w:pPr>
        <w:bidi w:val="0"/>
        <w:spacing w:after="0" w:line="360" w:lineRule="auto"/>
        <w:jc w:val="both"/>
        <w:rPr>
          <w:rFonts w:ascii="Arial" w:hAnsi="Arial" w:cs="Arial"/>
          <w:color w:val="FF0000"/>
          <w:szCs w:val="24"/>
          <w:lang w:eastAsia="sk-SK"/>
        </w:rPr>
      </w:pPr>
    </w:p>
    <w:p w:rsidR="00732CD8" w:rsidRPr="00732CD8" w:rsidP="00732CD8">
      <w:pPr>
        <w:bidi w:val="0"/>
        <w:spacing w:after="0" w:line="360" w:lineRule="auto"/>
        <w:jc w:val="both"/>
        <w:rPr>
          <w:rFonts w:ascii="Arial" w:hAnsi="Arial" w:cs="Arial"/>
          <w:color w:val="FF0000"/>
          <w:szCs w:val="24"/>
          <w:lang w:eastAsia="sk-SK"/>
        </w:rPr>
      </w:pPr>
    </w:p>
    <w:p w:rsidR="00732CD8" w:rsidRPr="00732CD8" w:rsidP="00732CD8">
      <w:pPr>
        <w:bidi w:val="0"/>
        <w:spacing w:after="0" w:line="360" w:lineRule="auto"/>
        <w:jc w:val="both"/>
        <w:rPr>
          <w:rFonts w:ascii="Arial" w:hAnsi="Arial" w:cs="Arial"/>
          <w:color w:val="FF0000"/>
          <w:szCs w:val="24"/>
          <w:lang w:eastAsia="sk-SK"/>
        </w:rPr>
      </w:pPr>
    </w:p>
    <w:p w:rsidR="00732CD8" w:rsidRPr="00732CD8" w:rsidP="00732CD8">
      <w:pPr>
        <w:tabs>
          <w:tab w:val="left" w:pos="709"/>
        </w:tabs>
        <w:autoSpaceDE w:val="0"/>
        <w:autoSpaceDN w:val="0"/>
        <w:bidi w:val="0"/>
        <w:adjustRightInd w:val="0"/>
        <w:spacing w:after="0" w:line="240" w:lineRule="auto"/>
        <w:jc w:val="both"/>
        <w:rPr>
          <w:rFonts w:ascii="Times New Roman" w:hAnsi="Times New Roman"/>
          <w:sz w:val="28"/>
          <w:szCs w:val="28"/>
          <w:u w:val="single"/>
          <w:lang w:eastAsia="sk-SK"/>
        </w:rPr>
      </w:pPr>
      <w:r w:rsidRPr="00732CD8">
        <w:rPr>
          <w:rFonts w:ascii="Times New Roman" w:hAnsi="Times New Roman"/>
          <w:color w:val="FF0000"/>
          <w:szCs w:val="24"/>
          <w:lang w:eastAsia="sk-SK"/>
        </w:rPr>
        <w:tab/>
      </w:r>
      <w:r w:rsidRPr="00732CD8">
        <w:rPr>
          <w:rFonts w:ascii="Times New Roman" w:hAnsi="Times New Roman"/>
          <w:sz w:val="28"/>
          <w:szCs w:val="28"/>
          <w:u w:val="single"/>
          <w:lang w:eastAsia="sk-SK"/>
        </w:rPr>
        <w:t xml:space="preserve">Použitie informačno-technických prostriedkov v pôsobnosti   </w:t>
      </w:r>
    </w:p>
    <w:p w:rsidR="00732CD8" w:rsidRPr="00732CD8" w:rsidP="00732CD8">
      <w:pPr>
        <w:bidi w:val="0"/>
        <w:spacing w:after="0" w:line="240" w:lineRule="auto"/>
        <w:ind w:left="708"/>
        <w:rPr>
          <w:rFonts w:ascii="Times New Roman" w:hAnsi="Times New Roman"/>
          <w:sz w:val="28"/>
          <w:szCs w:val="28"/>
          <w:u w:val="single"/>
          <w:lang w:eastAsia="sk-SK"/>
        </w:rPr>
      </w:pPr>
      <w:r w:rsidRPr="00732CD8">
        <w:rPr>
          <w:rFonts w:ascii="Times New Roman" w:hAnsi="Times New Roman"/>
          <w:b/>
          <w:sz w:val="28"/>
          <w:szCs w:val="28"/>
          <w:u w:val="single"/>
          <w:lang w:eastAsia="sk-SK"/>
        </w:rPr>
        <w:t xml:space="preserve">Ministerstva spravodlivosti  SR – Zbor väzenskej a justičnej stráže  </w:t>
      </w:r>
      <w:r w:rsidRPr="00732CD8">
        <w:rPr>
          <w:rFonts w:ascii="Times New Roman" w:hAnsi="Times New Roman"/>
          <w:sz w:val="28"/>
          <w:szCs w:val="28"/>
          <w:u w:val="single"/>
          <w:lang w:eastAsia="sk-SK"/>
        </w:rPr>
        <w:t>za rok 2011</w:t>
      </w:r>
    </w:p>
    <w:p w:rsidR="00732CD8" w:rsidRPr="00732CD8" w:rsidP="00732CD8">
      <w:pPr>
        <w:bidi w:val="0"/>
        <w:spacing w:after="0" w:line="240" w:lineRule="auto"/>
        <w:jc w:val="both"/>
        <w:rPr>
          <w:rFonts w:ascii="Times New Roman" w:hAnsi="Times New Roman"/>
          <w:sz w:val="28"/>
          <w:szCs w:val="28"/>
          <w:u w:val="single"/>
          <w:lang w:eastAsia="sk-SK"/>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Za</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 xml:space="preserve">Ministerstvo spravodlivosti  Slovenskej republiky, Vám  predkladám správu spracovanú na </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podkladoch</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 xml:space="preserve">údajov oznámených súdmi Slovenskej republiky, ktoré sú podľa zákona č.166/2003 Z. z. v platnom znení vecne príslušné na konanie o informačno-technických prostriedkoch  (ďalej len „ITP“).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Žiadosti o vydanie súhlasu na použitie ITP súdom vecne príslušným na konanie,  predkladali štátne orgány v  zmysle ustanovenia § 2 zákona č. 166/2003 Z. z. v platnom znení, t. j. </w:t>
      </w:r>
      <w:r w:rsidRPr="00732CD8">
        <w:rPr>
          <w:rFonts w:ascii="Times New Roman" w:hAnsi="Times New Roman"/>
          <w:b/>
          <w:sz w:val="22"/>
          <w:szCs w:val="24"/>
          <w:lang w:eastAsia="cs-CZ"/>
        </w:rPr>
        <w:t xml:space="preserve">Policajný zbor Slovenskej republiky, Slovenská informačná služba, Colná správa, Zbor väzenskej a justičnej stráže, Ministerstvo obrany Slovenskej republiky (Vojenské obranné spravodajstvo, Vojenská spravodajská služba).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Na základe zákona č. </w:t>
      </w:r>
      <w:r w:rsidRPr="00732CD8">
        <w:rPr>
          <w:rFonts w:ascii="Times New Roman" w:hAnsi="Times New Roman"/>
          <w:b/>
          <w:sz w:val="22"/>
          <w:szCs w:val="24"/>
          <w:lang w:eastAsia="cs-CZ"/>
        </w:rPr>
        <w:t xml:space="preserve">574/2010  Z.  z. </w:t>
      </w:r>
      <w:r w:rsidRPr="00732CD8">
        <w:rPr>
          <w:rFonts w:ascii="Times New Roman" w:hAnsi="Times New Roman"/>
          <w:sz w:val="22"/>
          <w:szCs w:val="24"/>
          <w:lang w:eastAsia="cs-CZ"/>
        </w:rPr>
        <w:t xml:space="preserve">o  začlenení  Železničnej polície  do Policajného zboru a  o zmene a  doplnení  niektorých zákonov  účinnom  od 1. januára 2011  subjekt – Železničná polícia  už  nie  je  príslušný  na podávanie žiadostí o súhlas na použitie ITP.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V rámci </w:t>
      </w:r>
      <w:r w:rsidRPr="00732CD8">
        <w:rPr>
          <w:rFonts w:ascii="Times New Roman" w:hAnsi="Times New Roman"/>
          <w:b/>
          <w:sz w:val="22"/>
          <w:szCs w:val="24"/>
          <w:lang w:eastAsia="cs-CZ"/>
        </w:rPr>
        <w:t xml:space="preserve">Zboru väzenskej a justičnej stráže Slovenskej republiky, </w:t>
      </w:r>
      <w:r w:rsidRPr="00732CD8">
        <w:rPr>
          <w:rFonts w:ascii="Times New Roman" w:hAnsi="Times New Roman"/>
          <w:sz w:val="22"/>
          <w:szCs w:val="24"/>
          <w:lang w:eastAsia="cs-CZ"/>
        </w:rPr>
        <w:t>poverení</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 xml:space="preserve">príslušníci Zboru väzenskej a  justičnej stráže vykonávajúci  trestné konanie podľa  § 10 ods. 8 </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písm</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 xml:space="preserve">e/  Trestného poriadku,  ani  príslušníci  tohto   zboru vykonávajúci operatívno-pátraciu činnosť v podmienkach výkonu väzby  a  výkonu trestu, v roku 2011 ani v jednom prípade nepoužili  ITP  podľa  príslušných ustanovení  zákona č. 1662003  Z. z. v  platnom znení.  Za celé  sledované obdobie roku  2011  v  jednom  prípade  bol  požiadaný zákonný sudca  o vydanie  súhlasu na  použitie ITP  podľa  §  2 ods. 1  písm.  b/  zákona č. 166/2003 Z. z. v  platnom  znení;  sudca žiadosť zamietol s  poukázaním  na  vecnú  príslušnosť  podľa zákona č. 300/2005 Z. z – Trestný zákon ( správne zákon č. 301/2005 Z. z. v platnom znení – Trestný poriadok);  list  generálneho  riaditeľa  ZVJS  +  tabuľka  sú  v  prílohe.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 w:val="22"/>
          <w:szCs w:val="24"/>
          <w:lang w:eastAsia="cs-CZ"/>
        </w:rPr>
      </w:pPr>
      <w:r w:rsidRPr="00732CD8">
        <w:rPr>
          <w:rFonts w:ascii="Times New Roman" w:hAnsi="Times New Roman"/>
          <w:sz w:val="22"/>
          <w:szCs w:val="24"/>
          <w:lang w:eastAsia="cs-CZ"/>
        </w:rPr>
        <w:t xml:space="preserve">Od </w:t>
      </w:r>
      <w:r w:rsidRPr="00732CD8">
        <w:rPr>
          <w:rFonts w:ascii="Times New Roman" w:hAnsi="Times New Roman"/>
          <w:b/>
          <w:sz w:val="22"/>
          <w:szCs w:val="24"/>
          <w:lang w:eastAsia="cs-CZ"/>
        </w:rPr>
        <w:t xml:space="preserve">1. januára 2005, môžu </w:t>
      </w:r>
      <w:r w:rsidRPr="00732CD8">
        <w:rPr>
          <w:rFonts w:ascii="Times New Roman" w:hAnsi="Times New Roman"/>
          <w:sz w:val="22"/>
          <w:szCs w:val="24"/>
          <w:lang w:eastAsia="cs-CZ"/>
        </w:rPr>
        <w:t xml:space="preserve">vyššie uvedené štátne orgány žiadosti o vydanie súhlasu na použitie ITP podávať aj na Špecializovaný trestný súd ( predtým Špeciálny súd) na základe zákona č. č. 458/2003 Z. z. o zriadení Špeciálneho súdu a Špeciálnej prokuratúry a zákona č. 291/2009  Z. z. o  Špecializovanom  trestnom  súde a  o  zmene a doplnení niektorých zákonov.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 w:val="22"/>
          <w:szCs w:val="24"/>
          <w:lang w:eastAsia="cs-CZ"/>
        </w:rPr>
      </w:pPr>
      <w:r w:rsidRPr="00732CD8">
        <w:rPr>
          <w:rFonts w:ascii="Times New Roman" w:hAnsi="Times New Roman"/>
          <w:sz w:val="22"/>
          <w:szCs w:val="24"/>
          <w:lang w:eastAsia="cs-CZ"/>
        </w:rPr>
        <w:t xml:space="preserve">Podľa oznámenia predsedu </w:t>
      </w:r>
      <w:r w:rsidRPr="00732CD8">
        <w:rPr>
          <w:rFonts w:ascii="Times New Roman" w:hAnsi="Times New Roman"/>
          <w:b/>
          <w:sz w:val="22"/>
          <w:szCs w:val="24"/>
          <w:lang w:eastAsia="cs-CZ"/>
        </w:rPr>
        <w:t>Špecializovaného</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trestného</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súdu</w:t>
      </w:r>
      <w:r w:rsidRPr="00732CD8">
        <w:rPr>
          <w:rFonts w:ascii="Times New Roman" w:hAnsi="Times New Roman"/>
          <w:sz w:val="22"/>
          <w:szCs w:val="24"/>
          <w:lang w:eastAsia="cs-CZ"/>
        </w:rPr>
        <w:t xml:space="preserve"> v roku 2011 bolo súdu podaných celkom </w:t>
      </w:r>
      <w:r w:rsidRPr="00732CD8">
        <w:rPr>
          <w:rFonts w:ascii="Times New Roman" w:hAnsi="Times New Roman"/>
          <w:b/>
          <w:sz w:val="22"/>
          <w:szCs w:val="24"/>
          <w:lang w:eastAsia="cs-CZ"/>
        </w:rPr>
        <w:t>87</w:t>
      </w:r>
      <w:r w:rsidRPr="00732CD8">
        <w:rPr>
          <w:rFonts w:ascii="Times New Roman" w:hAnsi="Times New Roman"/>
          <w:sz w:val="22"/>
          <w:szCs w:val="24"/>
          <w:lang w:eastAsia="cs-CZ"/>
        </w:rPr>
        <w:t xml:space="preserve"> žiadostí o vydanie súhlasu na použitie ITP podľa ustanovenia </w:t>
      </w:r>
      <w:r w:rsidRPr="00732CD8">
        <w:rPr>
          <w:rFonts w:ascii="Times New Roman" w:hAnsi="Times New Roman"/>
          <w:b/>
          <w:sz w:val="22"/>
          <w:szCs w:val="24"/>
          <w:lang w:eastAsia="cs-CZ"/>
        </w:rPr>
        <w:t xml:space="preserve">§ 4 ods. 1,  § 4  ods. 2  </w:t>
      </w:r>
      <w:r w:rsidRPr="00732CD8">
        <w:rPr>
          <w:rFonts w:ascii="Times New Roman" w:hAnsi="Times New Roman"/>
          <w:sz w:val="22"/>
          <w:szCs w:val="24"/>
          <w:lang w:eastAsia="cs-CZ"/>
        </w:rPr>
        <w:t xml:space="preserve">zák. č. 166/2003 Z. z.  v  platnom znení.   </w:t>
      </w:r>
    </w:p>
    <w:p w:rsidR="00732CD8" w:rsidRPr="00732CD8" w:rsidP="00732CD8">
      <w:pPr>
        <w:bidi w:val="0"/>
        <w:spacing w:after="0" w:line="240" w:lineRule="auto"/>
        <w:jc w:val="both"/>
        <w:rPr>
          <w:rFonts w:ascii="Times New Roman" w:hAnsi="Times New Roman"/>
          <w:sz w:val="22"/>
          <w:szCs w:val="24"/>
          <w:lang w:eastAsia="cs-CZ"/>
        </w:rPr>
      </w:pPr>
    </w:p>
    <w:p w:rsidR="00732CD8" w:rsidRPr="00732CD8" w:rsidP="00732CD8">
      <w:pPr>
        <w:bidi w:val="0"/>
        <w:spacing w:after="0" w:line="240" w:lineRule="auto"/>
        <w:ind w:firstLine="708"/>
        <w:jc w:val="both"/>
        <w:rPr>
          <w:rFonts w:ascii="Times New Roman" w:hAnsi="Times New Roman"/>
          <w:sz w:val="22"/>
          <w:szCs w:val="24"/>
          <w:lang w:eastAsia="cs-CZ"/>
        </w:rPr>
      </w:pPr>
      <w:r w:rsidRPr="00732CD8">
        <w:rPr>
          <w:rFonts w:ascii="Times New Roman" w:hAnsi="Times New Roman"/>
          <w:sz w:val="22"/>
          <w:szCs w:val="24"/>
          <w:lang w:eastAsia="cs-CZ"/>
        </w:rPr>
        <w:t xml:space="preserve">Súd  vyhovel </w:t>
      </w:r>
      <w:r w:rsidRPr="00732CD8">
        <w:rPr>
          <w:rFonts w:ascii="Times New Roman" w:hAnsi="Times New Roman"/>
          <w:b/>
          <w:sz w:val="22"/>
          <w:szCs w:val="24"/>
          <w:lang w:eastAsia="cs-CZ"/>
        </w:rPr>
        <w:t>63</w:t>
      </w:r>
      <w:r w:rsidRPr="00732CD8">
        <w:rPr>
          <w:rFonts w:ascii="Times New Roman" w:hAnsi="Times New Roman"/>
          <w:sz w:val="22"/>
          <w:szCs w:val="24"/>
          <w:lang w:eastAsia="cs-CZ"/>
        </w:rPr>
        <w:t xml:space="preserve"> žiadostiam a vydal súhlas na použitie ITP.  </w:t>
      </w:r>
      <w:r w:rsidRPr="00732CD8">
        <w:rPr>
          <w:rFonts w:ascii="Times New Roman" w:hAnsi="Times New Roman"/>
          <w:b/>
          <w:sz w:val="22"/>
          <w:szCs w:val="24"/>
          <w:lang w:eastAsia="cs-CZ"/>
        </w:rPr>
        <w:t>24</w:t>
      </w:r>
      <w:r w:rsidRPr="00732CD8">
        <w:rPr>
          <w:rFonts w:ascii="Times New Roman" w:hAnsi="Times New Roman"/>
          <w:sz w:val="22"/>
          <w:szCs w:val="24"/>
          <w:lang w:eastAsia="cs-CZ"/>
        </w:rPr>
        <w:t xml:space="preserve">  žiadostí  zamietol a súhlas na použitie ITP nevydal. </w:t>
      </w:r>
    </w:p>
    <w:p w:rsidR="00732CD8" w:rsidRPr="00732CD8" w:rsidP="00732CD8">
      <w:pPr>
        <w:bidi w:val="0"/>
        <w:spacing w:after="0" w:line="240" w:lineRule="auto"/>
        <w:jc w:val="both"/>
        <w:rPr>
          <w:rFonts w:ascii="Times New Roman" w:hAnsi="Times New Roman"/>
          <w:sz w:val="22"/>
          <w:szCs w:val="24"/>
          <w:lang w:eastAsia="cs-CZ"/>
        </w:rPr>
      </w:pPr>
    </w:p>
    <w:p w:rsidR="00732CD8" w:rsidRPr="00732CD8" w:rsidP="00732CD8">
      <w:pPr>
        <w:bidi w:val="0"/>
        <w:spacing w:after="0" w:line="240" w:lineRule="auto"/>
        <w:ind w:firstLine="708"/>
        <w:jc w:val="both"/>
        <w:rPr>
          <w:rFonts w:ascii="Times New Roman" w:hAnsi="Times New Roman"/>
          <w:sz w:val="22"/>
          <w:szCs w:val="24"/>
          <w:lang w:eastAsia="cs-CZ"/>
        </w:rPr>
      </w:pPr>
      <w:r w:rsidRPr="00732CD8">
        <w:rPr>
          <w:rFonts w:ascii="Times New Roman" w:hAnsi="Times New Roman"/>
          <w:sz w:val="22"/>
          <w:szCs w:val="24"/>
          <w:lang w:eastAsia="cs-CZ"/>
        </w:rPr>
        <w:t xml:space="preserve">Podľa ustanovenia  </w:t>
      </w:r>
      <w:r w:rsidRPr="00732CD8">
        <w:rPr>
          <w:rFonts w:ascii="Times New Roman" w:hAnsi="Times New Roman"/>
          <w:b/>
          <w:sz w:val="22"/>
          <w:szCs w:val="24"/>
          <w:lang w:eastAsia="cs-CZ"/>
        </w:rPr>
        <w:t xml:space="preserve">§  4  ods. 1  </w:t>
      </w:r>
      <w:r w:rsidRPr="00732CD8">
        <w:rPr>
          <w:rFonts w:ascii="Times New Roman" w:hAnsi="Times New Roman"/>
          <w:sz w:val="22"/>
          <w:szCs w:val="24"/>
          <w:lang w:eastAsia="cs-CZ"/>
        </w:rPr>
        <w:t xml:space="preserve">zákona č.  166/2003  Z. z. v platnom znení bolo podaných </w:t>
      </w:r>
      <w:r w:rsidRPr="00732CD8">
        <w:rPr>
          <w:rFonts w:ascii="Times New Roman" w:hAnsi="Times New Roman"/>
          <w:b/>
          <w:sz w:val="22"/>
          <w:szCs w:val="24"/>
          <w:lang w:eastAsia="cs-CZ"/>
        </w:rPr>
        <w:t xml:space="preserve">84 </w:t>
      </w:r>
      <w:r w:rsidRPr="00732CD8">
        <w:rPr>
          <w:rFonts w:ascii="Times New Roman" w:hAnsi="Times New Roman"/>
          <w:sz w:val="22"/>
          <w:szCs w:val="24"/>
          <w:lang w:eastAsia="cs-CZ"/>
        </w:rPr>
        <w:t xml:space="preserve"> žiadostí  o vydanie súhlasu na použitie ITP. Súd  vyhovel </w:t>
      </w:r>
      <w:r w:rsidRPr="00732CD8">
        <w:rPr>
          <w:rFonts w:ascii="Times New Roman" w:hAnsi="Times New Roman"/>
          <w:b/>
          <w:sz w:val="22"/>
          <w:szCs w:val="24"/>
          <w:lang w:eastAsia="cs-CZ"/>
        </w:rPr>
        <w:t>61</w:t>
      </w:r>
      <w:r w:rsidRPr="00732CD8">
        <w:rPr>
          <w:rFonts w:ascii="Times New Roman" w:hAnsi="Times New Roman"/>
          <w:sz w:val="22"/>
          <w:szCs w:val="24"/>
          <w:lang w:eastAsia="cs-CZ"/>
        </w:rPr>
        <w:t xml:space="preserve"> žiadostiam a vydal súhlas na   použitie ITP. </w:t>
      </w:r>
      <w:r w:rsidRPr="00732CD8">
        <w:rPr>
          <w:rFonts w:ascii="Times New Roman" w:hAnsi="Times New Roman"/>
          <w:b/>
          <w:sz w:val="22"/>
          <w:szCs w:val="24"/>
          <w:lang w:eastAsia="cs-CZ"/>
        </w:rPr>
        <w:t>23</w:t>
      </w:r>
      <w:r w:rsidRPr="00732CD8">
        <w:rPr>
          <w:rFonts w:ascii="Times New Roman" w:hAnsi="Times New Roman"/>
          <w:sz w:val="22"/>
          <w:szCs w:val="24"/>
          <w:lang w:eastAsia="cs-CZ"/>
        </w:rPr>
        <w:t xml:space="preserve"> žiadostí na vydanie súhlasu na použitie ITP zamietol a súhlas na použitie ITP nevydal. </w:t>
      </w:r>
    </w:p>
    <w:p w:rsidR="00732CD8" w:rsidRPr="00732CD8" w:rsidP="00732CD8">
      <w:pPr>
        <w:bidi w:val="0"/>
        <w:spacing w:after="0" w:line="240" w:lineRule="auto"/>
        <w:jc w:val="both"/>
        <w:rPr>
          <w:rFonts w:ascii="Times New Roman" w:hAnsi="Times New Roman"/>
          <w:sz w:val="22"/>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Podľa ustanovenia  </w:t>
      </w:r>
      <w:r w:rsidRPr="00732CD8">
        <w:rPr>
          <w:rFonts w:ascii="Times New Roman" w:hAnsi="Times New Roman"/>
          <w:b/>
          <w:sz w:val="22"/>
          <w:szCs w:val="24"/>
          <w:lang w:eastAsia="cs-CZ"/>
        </w:rPr>
        <w:t xml:space="preserve">§ 4 ods. 2  </w:t>
      </w:r>
      <w:r w:rsidRPr="00732CD8">
        <w:rPr>
          <w:rFonts w:ascii="Times New Roman" w:hAnsi="Times New Roman"/>
          <w:sz w:val="22"/>
          <w:szCs w:val="24"/>
          <w:lang w:eastAsia="cs-CZ"/>
        </w:rPr>
        <w:t xml:space="preserve">zákona č. 166/2003 Z. z.  v platnom znení na tento súd boli podané  </w:t>
      </w:r>
      <w:r w:rsidRPr="00732CD8">
        <w:rPr>
          <w:rFonts w:ascii="Times New Roman" w:hAnsi="Times New Roman"/>
          <w:b/>
          <w:sz w:val="22"/>
          <w:szCs w:val="24"/>
          <w:lang w:eastAsia="cs-CZ"/>
        </w:rPr>
        <w:t>3</w:t>
      </w:r>
      <w:r w:rsidRPr="00732CD8">
        <w:rPr>
          <w:rFonts w:ascii="Times New Roman" w:hAnsi="Times New Roman"/>
          <w:sz w:val="22"/>
          <w:szCs w:val="24"/>
          <w:lang w:eastAsia="cs-CZ"/>
        </w:rPr>
        <w:t xml:space="preserve">  žiadosti  o súhlas  na  predĺženie  lehoty  na  použitie ITP. Súd </w:t>
      </w:r>
      <w:r w:rsidRPr="00732CD8">
        <w:rPr>
          <w:rFonts w:ascii="Times New Roman" w:hAnsi="Times New Roman"/>
          <w:b/>
          <w:sz w:val="22"/>
          <w:szCs w:val="24"/>
          <w:lang w:eastAsia="cs-CZ"/>
        </w:rPr>
        <w:t>2</w:t>
      </w:r>
      <w:r w:rsidRPr="00732CD8">
        <w:rPr>
          <w:rFonts w:ascii="Times New Roman" w:hAnsi="Times New Roman"/>
          <w:sz w:val="22"/>
          <w:szCs w:val="24"/>
          <w:lang w:eastAsia="cs-CZ"/>
        </w:rPr>
        <w:t xml:space="preserve"> žiadostiam vyhovel a lehotu použitia predĺžil.  </w:t>
      </w:r>
      <w:r w:rsidRPr="00732CD8">
        <w:rPr>
          <w:rFonts w:ascii="Times New Roman" w:hAnsi="Times New Roman"/>
          <w:b/>
          <w:sz w:val="22"/>
          <w:szCs w:val="24"/>
          <w:lang w:eastAsia="cs-CZ"/>
        </w:rPr>
        <w:t xml:space="preserve">1  </w:t>
      </w:r>
      <w:r w:rsidRPr="00732CD8">
        <w:rPr>
          <w:rFonts w:ascii="Times New Roman" w:hAnsi="Times New Roman"/>
          <w:sz w:val="22"/>
          <w:szCs w:val="24"/>
          <w:lang w:eastAsia="cs-CZ"/>
        </w:rPr>
        <w:t xml:space="preserve">žiadosť na  vydanie súhlasu  na  predĺženie  lehoty na použitie ITP zamietol.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 w:val="22"/>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Na  </w:t>
      </w:r>
      <w:r w:rsidRPr="00732CD8">
        <w:rPr>
          <w:rFonts w:ascii="Times New Roman" w:hAnsi="Times New Roman"/>
          <w:b/>
          <w:sz w:val="22"/>
          <w:szCs w:val="24"/>
          <w:lang w:eastAsia="cs-CZ"/>
        </w:rPr>
        <w:t xml:space="preserve">krajské súdy  </w:t>
      </w:r>
      <w:r w:rsidRPr="00732CD8">
        <w:rPr>
          <w:rFonts w:ascii="Times New Roman" w:hAnsi="Times New Roman"/>
          <w:sz w:val="22"/>
          <w:szCs w:val="24"/>
          <w:lang w:eastAsia="cs-CZ"/>
        </w:rPr>
        <w:t xml:space="preserve">Slovenskej republiky a  </w:t>
      </w:r>
      <w:r w:rsidRPr="00732CD8">
        <w:rPr>
          <w:rFonts w:ascii="Times New Roman" w:hAnsi="Times New Roman"/>
          <w:b/>
          <w:sz w:val="22"/>
          <w:szCs w:val="24"/>
          <w:lang w:eastAsia="cs-CZ"/>
        </w:rPr>
        <w:t xml:space="preserve">Špecializovaný trestný súd, </w:t>
      </w:r>
      <w:r w:rsidRPr="00732CD8">
        <w:rPr>
          <w:rFonts w:ascii="Times New Roman" w:hAnsi="Times New Roman"/>
          <w:sz w:val="22"/>
          <w:szCs w:val="24"/>
          <w:lang w:eastAsia="cs-CZ"/>
        </w:rPr>
        <w:t xml:space="preserve">ako na súdy vecne príslušné v roku 2011  bolo podaných  </w:t>
      </w:r>
      <w:r w:rsidRPr="00732CD8">
        <w:rPr>
          <w:rFonts w:ascii="Times New Roman" w:hAnsi="Times New Roman"/>
          <w:b/>
          <w:sz w:val="22"/>
          <w:szCs w:val="24"/>
          <w:lang w:eastAsia="cs-CZ"/>
        </w:rPr>
        <w:t>2802</w:t>
      </w:r>
      <w:r w:rsidRPr="00732CD8">
        <w:rPr>
          <w:rFonts w:ascii="Times New Roman" w:hAnsi="Times New Roman"/>
          <w:sz w:val="22"/>
          <w:szCs w:val="24"/>
          <w:lang w:eastAsia="cs-CZ"/>
        </w:rPr>
        <w:t xml:space="preserve">  žiadostí o vydanie súhlasu na použitie  ITP podľa ustanovení </w:t>
      </w:r>
      <w:r w:rsidRPr="00732CD8">
        <w:rPr>
          <w:rFonts w:ascii="Times New Roman" w:hAnsi="Times New Roman"/>
          <w:b/>
          <w:sz w:val="22"/>
          <w:szCs w:val="24"/>
          <w:lang w:eastAsia="cs-CZ"/>
        </w:rPr>
        <w:t xml:space="preserve"> § 4 ods. 1,  § 4 ods. 2.  § 5 ods. 1 </w:t>
      </w:r>
      <w:r w:rsidRPr="00732CD8">
        <w:rPr>
          <w:rFonts w:ascii="Times New Roman" w:hAnsi="Times New Roman"/>
          <w:sz w:val="22"/>
          <w:szCs w:val="24"/>
          <w:lang w:eastAsia="cs-CZ"/>
        </w:rPr>
        <w:t>zákona č. 166/2003 Z. z. v platnom znení.</w:t>
      </w:r>
      <w:r w:rsidRPr="00732CD8">
        <w:rPr>
          <w:rFonts w:ascii="Times New Roman" w:hAnsi="Times New Roman"/>
          <w:b/>
          <w:sz w:val="22"/>
          <w:szCs w:val="24"/>
          <w:lang w:eastAsia="cs-CZ"/>
        </w:rPr>
        <w:t xml:space="preserve"> </w:t>
      </w:r>
      <w:r w:rsidRPr="00732CD8">
        <w:rPr>
          <w:rFonts w:ascii="Times New Roman" w:hAnsi="Times New Roman"/>
          <w:b/>
          <w:szCs w:val="24"/>
          <w:lang w:eastAsia="cs-CZ"/>
        </w:rPr>
        <w:t xml:space="preserve">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Súdy vyhoveli </w:t>
      </w:r>
      <w:r w:rsidRPr="00732CD8">
        <w:rPr>
          <w:rFonts w:ascii="Times New Roman" w:hAnsi="Times New Roman"/>
          <w:b/>
          <w:sz w:val="22"/>
          <w:szCs w:val="24"/>
          <w:lang w:eastAsia="cs-CZ"/>
        </w:rPr>
        <w:t>2713</w:t>
      </w:r>
      <w:r w:rsidRPr="00732CD8">
        <w:rPr>
          <w:rFonts w:ascii="Times New Roman" w:hAnsi="Times New Roman"/>
          <w:sz w:val="22"/>
          <w:szCs w:val="24"/>
          <w:lang w:eastAsia="cs-CZ"/>
        </w:rPr>
        <w:t xml:space="preserve">  žiadostiam a vydali súhlas na použitie ITP, súhlas na predĺženie lehoty na použitie ITP alebo dodatočný súhlas na použitie ITP. Súdy </w:t>
      </w:r>
      <w:r w:rsidRPr="00732CD8">
        <w:rPr>
          <w:rFonts w:ascii="Times New Roman" w:hAnsi="Times New Roman"/>
          <w:b/>
          <w:sz w:val="22"/>
          <w:szCs w:val="24"/>
          <w:lang w:eastAsia="cs-CZ"/>
        </w:rPr>
        <w:t>89</w:t>
      </w:r>
      <w:r w:rsidRPr="00732CD8">
        <w:rPr>
          <w:rFonts w:ascii="Times New Roman" w:hAnsi="Times New Roman"/>
          <w:sz w:val="22"/>
          <w:szCs w:val="24"/>
          <w:lang w:eastAsia="cs-CZ"/>
        </w:rPr>
        <w:t xml:space="preserve">  žiadostí zamietli.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 w:val="22"/>
          <w:lang w:eastAsia="cs-CZ"/>
        </w:rPr>
        <w:t>Podľa</w:t>
      </w:r>
      <w:r w:rsidRPr="00732CD8">
        <w:rPr>
          <w:rFonts w:ascii="Times New Roman" w:hAnsi="Times New Roman"/>
          <w:szCs w:val="24"/>
          <w:lang w:eastAsia="cs-CZ"/>
        </w:rPr>
        <w:t xml:space="preserve"> </w:t>
      </w:r>
      <w:r w:rsidRPr="00732CD8">
        <w:rPr>
          <w:rFonts w:ascii="Times New Roman" w:hAnsi="Times New Roman"/>
          <w:sz w:val="22"/>
          <w:szCs w:val="24"/>
          <w:lang w:eastAsia="cs-CZ"/>
        </w:rPr>
        <w:t xml:space="preserve">ustanovenia </w:t>
      </w:r>
      <w:r w:rsidRPr="00732CD8">
        <w:rPr>
          <w:rFonts w:ascii="Times New Roman" w:hAnsi="Times New Roman"/>
          <w:b/>
          <w:sz w:val="22"/>
          <w:szCs w:val="24"/>
          <w:lang w:eastAsia="cs-CZ"/>
        </w:rPr>
        <w:t xml:space="preserve">§ 4 ods. 1 </w:t>
      </w:r>
      <w:r w:rsidRPr="00732CD8">
        <w:rPr>
          <w:rFonts w:ascii="Times New Roman" w:hAnsi="Times New Roman"/>
          <w:sz w:val="22"/>
          <w:szCs w:val="24"/>
          <w:lang w:eastAsia="cs-CZ"/>
        </w:rPr>
        <w:t xml:space="preserve">zákona č. 166/2003 Z. z. v platnom znení bolo podaných </w:t>
      </w:r>
      <w:r w:rsidRPr="00732CD8">
        <w:rPr>
          <w:rFonts w:ascii="Times New Roman" w:hAnsi="Times New Roman"/>
          <w:b/>
          <w:sz w:val="22"/>
          <w:szCs w:val="24"/>
          <w:lang w:eastAsia="cs-CZ"/>
        </w:rPr>
        <w:t xml:space="preserve">2663 </w:t>
      </w:r>
      <w:r w:rsidRPr="00732CD8">
        <w:rPr>
          <w:rFonts w:ascii="Times New Roman" w:hAnsi="Times New Roman"/>
          <w:sz w:val="22"/>
          <w:szCs w:val="24"/>
          <w:lang w:eastAsia="cs-CZ"/>
        </w:rPr>
        <w:t xml:space="preserve">žiadostí. Súdy vyhoveli </w:t>
      </w:r>
      <w:r w:rsidRPr="00732CD8">
        <w:rPr>
          <w:rFonts w:ascii="Times New Roman" w:hAnsi="Times New Roman"/>
          <w:b/>
          <w:sz w:val="22"/>
          <w:szCs w:val="24"/>
          <w:lang w:eastAsia="cs-CZ"/>
        </w:rPr>
        <w:t xml:space="preserve">2578 </w:t>
      </w:r>
      <w:r w:rsidRPr="00732CD8">
        <w:rPr>
          <w:rFonts w:ascii="Times New Roman" w:hAnsi="Times New Roman"/>
          <w:sz w:val="22"/>
          <w:szCs w:val="24"/>
          <w:lang w:eastAsia="cs-CZ"/>
        </w:rPr>
        <w:t xml:space="preserve">žiadostiam a </w:t>
      </w:r>
      <w:r w:rsidRPr="00732CD8">
        <w:rPr>
          <w:rFonts w:ascii="Times New Roman" w:hAnsi="Times New Roman"/>
          <w:b/>
          <w:sz w:val="22"/>
          <w:szCs w:val="24"/>
          <w:lang w:eastAsia="cs-CZ"/>
        </w:rPr>
        <w:t> </w:t>
      </w:r>
      <w:r w:rsidRPr="00732CD8">
        <w:rPr>
          <w:rFonts w:ascii="Times New Roman" w:hAnsi="Times New Roman"/>
          <w:sz w:val="22"/>
          <w:szCs w:val="24"/>
          <w:lang w:eastAsia="cs-CZ"/>
        </w:rPr>
        <w:t>súhlas</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na</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použitie</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 xml:space="preserve">ITP vydali. </w:t>
      </w:r>
      <w:r w:rsidRPr="00732CD8">
        <w:rPr>
          <w:rFonts w:ascii="Times New Roman" w:hAnsi="Times New Roman"/>
          <w:szCs w:val="24"/>
          <w:lang w:eastAsia="cs-CZ"/>
        </w:rPr>
        <w:t xml:space="preserve"> </w:t>
      </w:r>
      <w:r w:rsidRPr="00732CD8">
        <w:rPr>
          <w:rFonts w:ascii="Times New Roman" w:hAnsi="Times New Roman"/>
          <w:b/>
          <w:sz w:val="22"/>
          <w:szCs w:val="24"/>
          <w:lang w:eastAsia="cs-CZ"/>
        </w:rPr>
        <w:t>85</w:t>
      </w:r>
      <w:r w:rsidRPr="00732CD8">
        <w:rPr>
          <w:rFonts w:ascii="Times New Roman" w:hAnsi="Times New Roman"/>
          <w:b/>
          <w:szCs w:val="24"/>
          <w:lang w:eastAsia="cs-CZ"/>
        </w:rPr>
        <w:t xml:space="preserve"> </w:t>
      </w:r>
      <w:r w:rsidRPr="00732CD8">
        <w:rPr>
          <w:rFonts w:ascii="Times New Roman" w:hAnsi="Times New Roman"/>
          <w:sz w:val="22"/>
          <w:szCs w:val="24"/>
          <w:lang w:eastAsia="cs-CZ"/>
        </w:rPr>
        <w:t>žiadostí</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na</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vydanie</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súhlasu</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na</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použitie</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 xml:space="preserve">ITP </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súdy</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 xml:space="preserve">zamietli.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Podľa ustanovenia </w:t>
      </w:r>
      <w:r w:rsidRPr="00732CD8">
        <w:rPr>
          <w:rFonts w:ascii="Times New Roman" w:hAnsi="Times New Roman"/>
          <w:b/>
          <w:sz w:val="22"/>
          <w:szCs w:val="24"/>
          <w:lang w:eastAsia="cs-CZ"/>
        </w:rPr>
        <w:t xml:space="preserve">§ 4 ods. 2 </w:t>
      </w:r>
      <w:r w:rsidRPr="00732CD8">
        <w:rPr>
          <w:rFonts w:ascii="Times New Roman" w:hAnsi="Times New Roman"/>
          <w:sz w:val="22"/>
          <w:szCs w:val="24"/>
          <w:lang w:eastAsia="cs-CZ"/>
        </w:rPr>
        <w:t xml:space="preserve">zákona č. 166/2003 Z. z. v platnom znení bolo podaných </w:t>
      </w:r>
      <w:r w:rsidRPr="00732CD8">
        <w:rPr>
          <w:rFonts w:ascii="Times New Roman" w:hAnsi="Times New Roman"/>
          <w:b/>
          <w:sz w:val="22"/>
          <w:szCs w:val="24"/>
          <w:lang w:eastAsia="cs-CZ"/>
        </w:rPr>
        <w:t>131</w:t>
      </w:r>
      <w:r w:rsidRPr="00732CD8">
        <w:rPr>
          <w:rFonts w:ascii="Times New Roman" w:hAnsi="Times New Roman"/>
          <w:sz w:val="22"/>
          <w:szCs w:val="24"/>
          <w:lang w:eastAsia="cs-CZ"/>
        </w:rPr>
        <w:t xml:space="preserve"> žiadostí o vydanie súhlasu na predĺženie lehoty použitia ITP. Súdy vyhoveli </w:t>
      </w:r>
      <w:r w:rsidRPr="00732CD8">
        <w:rPr>
          <w:rFonts w:ascii="Times New Roman" w:hAnsi="Times New Roman"/>
          <w:b/>
          <w:sz w:val="22"/>
          <w:szCs w:val="24"/>
          <w:lang w:eastAsia="cs-CZ"/>
        </w:rPr>
        <w:t>127</w:t>
      </w:r>
      <w:r w:rsidRPr="00732CD8">
        <w:rPr>
          <w:rFonts w:ascii="Times New Roman" w:hAnsi="Times New Roman"/>
          <w:sz w:val="22"/>
          <w:szCs w:val="24"/>
          <w:lang w:eastAsia="cs-CZ"/>
        </w:rPr>
        <w:t xml:space="preserve"> žiadostiam a súhlas na predĺženie lehoty ITP vydali. Súdy </w:t>
      </w:r>
      <w:r w:rsidRPr="00732CD8">
        <w:rPr>
          <w:rFonts w:ascii="Times New Roman" w:hAnsi="Times New Roman"/>
          <w:b/>
          <w:sz w:val="22"/>
          <w:szCs w:val="24"/>
          <w:lang w:eastAsia="cs-CZ"/>
        </w:rPr>
        <w:t xml:space="preserve">4 </w:t>
      </w:r>
      <w:r w:rsidRPr="00732CD8">
        <w:rPr>
          <w:rFonts w:ascii="Times New Roman" w:hAnsi="Times New Roman"/>
          <w:sz w:val="22"/>
          <w:szCs w:val="24"/>
          <w:lang w:eastAsia="cs-CZ"/>
        </w:rPr>
        <w:t xml:space="preserve"> žiadosti o vydanie súhlasu na predĺženie lehoty ITP zamietli.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r w:rsidRPr="00732CD8">
        <w:rPr>
          <w:rFonts w:ascii="Times New Roman" w:hAnsi="Times New Roman"/>
          <w:b/>
          <w:szCs w:val="24"/>
          <w:lang w:eastAsia="cs-CZ"/>
        </w:rPr>
        <w:t xml:space="preserve"> </w:t>
      </w: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Podľa ustanovenia </w:t>
      </w:r>
      <w:r w:rsidRPr="00732CD8">
        <w:rPr>
          <w:rFonts w:ascii="Times New Roman" w:hAnsi="Times New Roman"/>
          <w:b/>
          <w:sz w:val="22"/>
          <w:szCs w:val="24"/>
          <w:lang w:eastAsia="cs-CZ"/>
        </w:rPr>
        <w:t xml:space="preserve">§ 5 ods. 1 </w:t>
      </w:r>
      <w:r w:rsidRPr="00732CD8">
        <w:rPr>
          <w:rFonts w:ascii="Times New Roman" w:hAnsi="Times New Roman"/>
          <w:sz w:val="22"/>
          <w:szCs w:val="24"/>
          <w:lang w:eastAsia="cs-CZ"/>
        </w:rPr>
        <w:t xml:space="preserve"> zákona č. 166/2003 Z. z. v platnom znení  na vecne príslušné súdy bolo podaných </w:t>
      </w:r>
      <w:r w:rsidRPr="00732CD8">
        <w:rPr>
          <w:rFonts w:ascii="Times New Roman" w:hAnsi="Times New Roman"/>
          <w:b/>
          <w:sz w:val="22"/>
          <w:szCs w:val="24"/>
          <w:lang w:eastAsia="cs-CZ"/>
        </w:rPr>
        <w:t>8</w:t>
      </w:r>
      <w:r w:rsidRPr="00732CD8">
        <w:rPr>
          <w:rFonts w:ascii="Times New Roman" w:hAnsi="Times New Roman"/>
          <w:sz w:val="22"/>
          <w:szCs w:val="24"/>
          <w:lang w:eastAsia="cs-CZ"/>
        </w:rPr>
        <w:t xml:space="preserve">  žiadostí na udelenie dodatočného súhlasu na použitie ITP. Vecne príslušné súdy  vyhoveli  všetkým  žiadostiam  a  dodatočný  súhlas  na  použitie  ITP  dali.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 w:val="22"/>
          <w:szCs w:val="24"/>
          <w:lang w:eastAsia="cs-CZ"/>
        </w:rPr>
      </w:pPr>
      <w:r w:rsidRPr="00732CD8">
        <w:rPr>
          <w:rFonts w:ascii="Times New Roman" w:hAnsi="Times New Roman"/>
          <w:sz w:val="22"/>
          <w:szCs w:val="24"/>
          <w:lang w:eastAsia="cs-CZ"/>
        </w:rPr>
        <w:t xml:space="preserve">V roku 2011 neboli podané dodatočné žiadosti použitia ITP v zmysle § 5 ods. 2 zákona č. 166/2003 v platnom znení.                                                                                                                         </w:t>
      </w:r>
    </w:p>
    <w:p w:rsidR="00732CD8" w:rsidRPr="00732CD8" w:rsidP="00732CD8">
      <w:pPr>
        <w:bidi w:val="0"/>
        <w:spacing w:after="0" w:line="240" w:lineRule="auto"/>
        <w:jc w:val="both"/>
        <w:rPr>
          <w:rFonts w:ascii="Times New Roman" w:hAnsi="Times New Roman"/>
          <w:sz w:val="22"/>
          <w:szCs w:val="24"/>
          <w:lang w:eastAsia="cs-CZ"/>
        </w:rPr>
      </w:pP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tab/>
      </w:r>
      <w:r w:rsidRPr="00732CD8">
        <w:rPr>
          <w:rFonts w:ascii="Times New Roman" w:hAnsi="Times New Roman"/>
          <w:b/>
          <w:sz w:val="22"/>
          <w:szCs w:val="24"/>
          <w:lang w:eastAsia="cs-CZ"/>
        </w:rPr>
        <w:t xml:space="preserve">Policajný zbor Slovenskej republiky </w:t>
      </w:r>
      <w:r w:rsidRPr="00732CD8">
        <w:rPr>
          <w:rFonts w:ascii="Times New Roman" w:hAnsi="Times New Roman"/>
          <w:sz w:val="22"/>
          <w:szCs w:val="24"/>
          <w:lang w:eastAsia="cs-CZ"/>
        </w:rPr>
        <w:t xml:space="preserve">(ďalej len „PZ“) podľa údajov vecne príslušných súdov  podal  v roku 2011 celkom  </w:t>
      </w:r>
      <w:r w:rsidRPr="00732CD8">
        <w:rPr>
          <w:rFonts w:ascii="Times New Roman" w:hAnsi="Times New Roman"/>
          <w:b/>
          <w:sz w:val="22"/>
          <w:szCs w:val="24"/>
          <w:lang w:eastAsia="cs-CZ"/>
        </w:rPr>
        <w:t>1818</w:t>
      </w:r>
      <w:r w:rsidRPr="00732CD8">
        <w:rPr>
          <w:rFonts w:ascii="Times New Roman" w:hAnsi="Times New Roman"/>
          <w:sz w:val="22"/>
          <w:szCs w:val="24"/>
          <w:lang w:eastAsia="cs-CZ"/>
        </w:rPr>
        <w:t xml:space="preserve">  žiadostí o  vydanie súhlasu na použitie ITP podľa </w:t>
      </w:r>
      <w:r w:rsidRPr="00732CD8">
        <w:rPr>
          <w:rFonts w:ascii="Times New Roman" w:hAnsi="Times New Roman"/>
          <w:b/>
          <w:sz w:val="22"/>
          <w:szCs w:val="24"/>
          <w:lang w:eastAsia="cs-CZ"/>
        </w:rPr>
        <w:t xml:space="preserve"> § 4</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 xml:space="preserve"> ods. 1, § 4 ods. 2, §  5 ods. 1 </w:t>
      </w:r>
      <w:r w:rsidRPr="00732CD8">
        <w:rPr>
          <w:rFonts w:ascii="Times New Roman" w:hAnsi="Times New Roman"/>
          <w:sz w:val="22"/>
          <w:szCs w:val="24"/>
          <w:lang w:eastAsia="cs-CZ"/>
        </w:rPr>
        <w:t xml:space="preserve">zákona č. 166/2003 Z. z. v platnom znení.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Súdy</w:t>
      </w:r>
      <w:r w:rsidRPr="00732CD8">
        <w:rPr>
          <w:rFonts w:ascii="Times New Roman" w:hAnsi="Times New Roman"/>
          <w:szCs w:val="24"/>
          <w:lang w:eastAsia="cs-CZ"/>
        </w:rPr>
        <w:t xml:space="preserve">  </w:t>
      </w:r>
      <w:r w:rsidRPr="00732CD8">
        <w:rPr>
          <w:rFonts w:ascii="Times New Roman" w:hAnsi="Times New Roman"/>
          <w:sz w:val="22"/>
          <w:szCs w:val="24"/>
          <w:lang w:eastAsia="cs-CZ"/>
        </w:rPr>
        <w:t xml:space="preserve">vyhoveli </w:t>
      </w:r>
      <w:r w:rsidRPr="00732CD8">
        <w:rPr>
          <w:rFonts w:ascii="Times New Roman" w:hAnsi="Times New Roman"/>
          <w:b/>
          <w:sz w:val="22"/>
          <w:szCs w:val="24"/>
          <w:lang w:eastAsia="cs-CZ"/>
        </w:rPr>
        <w:t>1777</w:t>
      </w:r>
      <w:r w:rsidRPr="00732CD8">
        <w:rPr>
          <w:rFonts w:ascii="Times New Roman" w:hAnsi="Times New Roman"/>
          <w:sz w:val="22"/>
          <w:szCs w:val="24"/>
          <w:lang w:eastAsia="cs-CZ"/>
        </w:rPr>
        <w:t xml:space="preserve"> žiadostiam o vydanie súhlasu na použitie ITP. </w:t>
      </w:r>
      <w:r w:rsidRPr="00732CD8">
        <w:rPr>
          <w:rFonts w:ascii="Times New Roman" w:hAnsi="Times New Roman"/>
          <w:b/>
          <w:sz w:val="22"/>
          <w:szCs w:val="24"/>
          <w:lang w:eastAsia="cs-CZ"/>
        </w:rPr>
        <w:t>41</w:t>
      </w:r>
      <w:r w:rsidRPr="00732CD8">
        <w:rPr>
          <w:rFonts w:ascii="Times New Roman" w:hAnsi="Times New Roman"/>
          <w:sz w:val="22"/>
          <w:szCs w:val="24"/>
          <w:lang w:eastAsia="cs-CZ"/>
        </w:rPr>
        <w:t xml:space="preserve"> žiadostí o použitie ITP zamietli a súhlas nevydali.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PZ podľa ustanovenia </w:t>
      </w:r>
      <w:r w:rsidRPr="00732CD8">
        <w:rPr>
          <w:rFonts w:ascii="Times New Roman" w:hAnsi="Times New Roman"/>
          <w:b/>
          <w:sz w:val="22"/>
          <w:szCs w:val="24"/>
          <w:lang w:eastAsia="cs-CZ"/>
        </w:rPr>
        <w:t xml:space="preserve">§ 4 ods. 1 </w:t>
      </w:r>
      <w:r w:rsidRPr="00732CD8">
        <w:rPr>
          <w:rFonts w:ascii="Times New Roman" w:hAnsi="Times New Roman"/>
          <w:sz w:val="22"/>
          <w:szCs w:val="24"/>
          <w:lang w:eastAsia="cs-CZ"/>
        </w:rPr>
        <w:t xml:space="preserve">zákona č. 166/2003 Z. z. v platnom znení na vecne príslušné súdy podal </w:t>
      </w:r>
      <w:r w:rsidRPr="00732CD8">
        <w:rPr>
          <w:rFonts w:ascii="Times New Roman" w:hAnsi="Times New Roman"/>
          <w:b/>
          <w:sz w:val="22"/>
          <w:szCs w:val="24"/>
          <w:lang w:eastAsia="cs-CZ"/>
        </w:rPr>
        <w:t>1719</w:t>
      </w:r>
      <w:r w:rsidRPr="00732CD8">
        <w:rPr>
          <w:rFonts w:ascii="Times New Roman" w:hAnsi="Times New Roman"/>
          <w:sz w:val="22"/>
          <w:szCs w:val="24"/>
          <w:lang w:eastAsia="cs-CZ"/>
        </w:rPr>
        <w:t xml:space="preserve"> žiadostí. Súdy vyhoveli </w:t>
      </w:r>
      <w:r w:rsidRPr="00732CD8">
        <w:rPr>
          <w:rFonts w:ascii="Times New Roman" w:hAnsi="Times New Roman"/>
          <w:b/>
          <w:sz w:val="22"/>
          <w:szCs w:val="24"/>
          <w:lang w:eastAsia="cs-CZ"/>
        </w:rPr>
        <w:t>1681</w:t>
      </w:r>
      <w:r w:rsidRPr="00732CD8">
        <w:rPr>
          <w:rFonts w:ascii="Times New Roman" w:hAnsi="Times New Roman"/>
          <w:sz w:val="22"/>
          <w:szCs w:val="24"/>
          <w:lang w:eastAsia="cs-CZ"/>
        </w:rPr>
        <w:t xml:space="preserve">  žiadostiam a súhlas na použitie ITP vydali. </w:t>
      </w:r>
      <w:r w:rsidRPr="00732CD8">
        <w:rPr>
          <w:rFonts w:ascii="Times New Roman" w:hAnsi="Times New Roman"/>
          <w:b/>
          <w:sz w:val="22"/>
          <w:szCs w:val="24"/>
          <w:lang w:eastAsia="cs-CZ"/>
        </w:rPr>
        <w:t>38</w:t>
      </w:r>
      <w:r w:rsidRPr="00732CD8">
        <w:rPr>
          <w:rFonts w:ascii="Times New Roman" w:hAnsi="Times New Roman"/>
          <w:sz w:val="22"/>
          <w:szCs w:val="24"/>
          <w:lang w:eastAsia="cs-CZ"/>
        </w:rPr>
        <w:t xml:space="preserve"> žiadostí na vydanie súhlasu na  použitie ITP zamietli.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b/>
          <w:szCs w:val="24"/>
          <w:lang w:eastAsia="cs-CZ"/>
        </w:rPr>
      </w:pPr>
      <w:r w:rsidRPr="00732CD8">
        <w:rPr>
          <w:rFonts w:ascii="Times New Roman" w:hAnsi="Times New Roman"/>
          <w:sz w:val="22"/>
          <w:szCs w:val="24"/>
          <w:lang w:eastAsia="cs-CZ"/>
        </w:rPr>
        <w:t xml:space="preserve">Podľa ustanovenia </w:t>
      </w:r>
      <w:r w:rsidRPr="00732CD8">
        <w:rPr>
          <w:rFonts w:ascii="Times New Roman" w:hAnsi="Times New Roman"/>
          <w:b/>
          <w:sz w:val="22"/>
          <w:szCs w:val="24"/>
          <w:lang w:eastAsia="cs-CZ"/>
        </w:rPr>
        <w:t xml:space="preserve">§ 4 ods. 2 </w:t>
      </w:r>
      <w:r w:rsidRPr="00732CD8">
        <w:rPr>
          <w:rFonts w:ascii="Times New Roman" w:hAnsi="Times New Roman"/>
          <w:sz w:val="22"/>
          <w:szCs w:val="24"/>
          <w:lang w:eastAsia="cs-CZ"/>
        </w:rPr>
        <w:t xml:space="preserve">zákona č. 166/2003 Z. z. v platnom znení PZ  na súdy podal </w:t>
      </w:r>
      <w:r w:rsidRPr="00732CD8">
        <w:rPr>
          <w:rFonts w:ascii="Times New Roman" w:hAnsi="Times New Roman"/>
          <w:b/>
          <w:sz w:val="22"/>
          <w:szCs w:val="24"/>
          <w:lang w:eastAsia="cs-CZ"/>
        </w:rPr>
        <w:t>91</w:t>
      </w:r>
      <w:r w:rsidRPr="00732CD8">
        <w:rPr>
          <w:rFonts w:ascii="Times New Roman" w:hAnsi="Times New Roman"/>
          <w:sz w:val="22"/>
          <w:szCs w:val="24"/>
          <w:lang w:eastAsia="cs-CZ"/>
        </w:rPr>
        <w:t xml:space="preserve"> žiadostí o vydanie súhlasu k predĺženiu lehoty ITP. Súdy vyhoveli </w:t>
      </w:r>
      <w:r w:rsidRPr="00732CD8">
        <w:rPr>
          <w:rFonts w:ascii="Times New Roman" w:hAnsi="Times New Roman"/>
          <w:b/>
          <w:sz w:val="22"/>
          <w:szCs w:val="24"/>
          <w:lang w:eastAsia="cs-CZ"/>
        </w:rPr>
        <w:t>88</w:t>
      </w:r>
      <w:r w:rsidRPr="00732CD8">
        <w:rPr>
          <w:rFonts w:ascii="Times New Roman" w:hAnsi="Times New Roman"/>
          <w:sz w:val="22"/>
          <w:szCs w:val="24"/>
          <w:lang w:eastAsia="cs-CZ"/>
        </w:rPr>
        <w:t xml:space="preserve">  žiadostiam. </w:t>
      </w:r>
      <w:r w:rsidRPr="00732CD8">
        <w:rPr>
          <w:rFonts w:ascii="Times New Roman" w:hAnsi="Times New Roman"/>
          <w:b/>
          <w:sz w:val="22"/>
          <w:szCs w:val="24"/>
          <w:lang w:eastAsia="cs-CZ"/>
        </w:rPr>
        <w:t>3</w:t>
      </w:r>
      <w:r w:rsidRPr="00732CD8">
        <w:rPr>
          <w:rFonts w:ascii="Times New Roman" w:hAnsi="Times New Roman"/>
          <w:sz w:val="22"/>
          <w:szCs w:val="24"/>
          <w:lang w:eastAsia="cs-CZ"/>
        </w:rPr>
        <w:t xml:space="preserve"> žiadosti o vydanie súhlasu na predĺženie lehoty ITP súdy zamietli.   </w:t>
      </w:r>
      <w:r w:rsidRPr="00732CD8">
        <w:rPr>
          <w:rFonts w:ascii="Times New Roman" w:hAnsi="Times New Roman"/>
          <w:b/>
          <w:sz w:val="22"/>
          <w:szCs w:val="24"/>
          <w:lang w:eastAsia="cs-CZ"/>
        </w:rPr>
        <w:t xml:space="preserve"> </w:t>
      </w:r>
      <w:r w:rsidRPr="00732CD8">
        <w:rPr>
          <w:rFonts w:ascii="Times New Roman" w:hAnsi="Times New Roman"/>
          <w:szCs w:val="24"/>
          <w:lang w:eastAsia="cs-CZ"/>
        </w:rPr>
        <w:t xml:space="preserve"> </w:t>
      </w:r>
      <w:r w:rsidRPr="00732CD8">
        <w:rPr>
          <w:rFonts w:ascii="Times New Roman" w:hAnsi="Times New Roman"/>
          <w:b/>
          <w:szCs w:val="24"/>
          <w:lang w:eastAsia="cs-CZ"/>
        </w:rPr>
        <w:t xml:space="preserve"> </w:t>
      </w:r>
    </w:p>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 xml:space="preserve">     </w:t>
      </w: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Podľa ustanovenia </w:t>
      </w:r>
      <w:r w:rsidRPr="00732CD8">
        <w:rPr>
          <w:rFonts w:ascii="Times New Roman" w:hAnsi="Times New Roman"/>
          <w:b/>
          <w:sz w:val="22"/>
          <w:szCs w:val="24"/>
          <w:lang w:eastAsia="cs-CZ"/>
        </w:rPr>
        <w:t xml:space="preserve">§ 5 ods. 1 </w:t>
      </w:r>
      <w:r w:rsidRPr="00732CD8">
        <w:rPr>
          <w:rFonts w:ascii="Times New Roman" w:hAnsi="Times New Roman"/>
          <w:sz w:val="22"/>
          <w:szCs w:val="24"/>
          <w:lang w:eastAsia="cs-CZ"/>
        </w:rPr>
        <w:t xml:space="preserve">zákona č. 166/2003 Z. z. v platnom znení v  roku  2011 PZ podal </w:t>
      </w:r>
      <w:r w:rsidRPr="00732CD8">
        <w:rPr>
          <w:rFonts w:ascii="Times New Roman" w:hAnsi="Times New Roman"/>
          <w:b/>
          <w:sz w:val="22"/>
          <w:szCs w:val="24"/>
          <w:lang w:eastAsia="cs-CZ"/>
        </w:rPr>
        <w:t>8</w:t>
      </w:r>
      <w:r w:rsidRPr="00732CD8">
        <w:rPr>
          <w:rFonts w:ascii="Times New Roman" w:hAnsi="Times New Roman"/>
          <w:sz w:val="22"/>
          <w:szCs w:val="24"/>
          <w:lang w:eastAsia="cs-CZ"/>
        </w:rPr>
        <w:t xml:space="preserve"> žiadostí na udelenie dodatočného súhlasu na použitie ITP. Vecne príslušné súdy všetkým žiadostiam na udelenie dodatočného súhlasu na použitie ITP vyhoveli.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b/>
          <w:sz w:val="22"/>
          <w:lang w:eastAsia="cs-CZ"/>
        </w:rPr>
        <w:t>Slovenská</w:t>
      </w:r>
      <w:r w:rsidRPr="00732CD8">
        <w:rPr>
          <w:rFonts w:ascii="Times New Roman" w:hAnsi="Times New Roman"/>
          <w:sz w:val="22"/>
          <w:lang w:eastAsia="cs-CZ"/>
        </w:rPr>
        <w:t xml:space="preserve"> </w:t>
      </w:r>
      <w:r w:rsidRPr="00732CD8">
        <w:rPr>
          <w:rFonts w:ascii="Times New Roman" w:hAnsi="Times New Roman"/>
          <w:b/>
          <w:sz w:val="22"/>
          <w:lang w:eastAsia="cs-CZ"/>
        </w:rPr>
        <w:t>informačná</w:t>
      </w:r>
      <w:r w:rsidRPr="00732CD8">
        <w:rPr>
          <w:rFonts w:ascii="Times New Roman" w:hAnsi="Times New Roman"/>
          <w:sz w:val="22"/>
          <w:lang w:eastAsia="cs-CZ"/>
        </w:rPr>
        <w:t xml:space="preserve"> </w:t>
      </w:r>
      <w:r w:rsidRPr="00732CD8">
        <w:rPr>
          <w:rFonts w:ascii="Times New Roman" w:hAnsi="Times New Roman"/>
          <w:b/>
          <w:sz w:val="22"/>
          <w:lang w:eastAsia="cs-CZ"/>
        </w:rPr>
        <w:t>služba</w:t>
      </w:r>
      <w:r w:rsidRPr="00732CD8">
        <w:rPr>
          <w:rFonts w:ascii="Times New Roman" w:hAnsi="Times New Roman"/>
          <w:sz w:val="22"/>
          <w:lang w:eastAsia="cs-CZ"/>
        </w:rPr>
        <w:t xml:space="preserve"> (ďalej len „SIS“)  v roku 2011 na</w:t>
      </w:r>
      <w:r w:rsidRPr="00732CD8">
        <w:rPr>
          <w:rFonts w:ascii="Times New Roman" w:hAnsi="Times New Roman"/>
          <w:szCs w:val="24"/>
          <w:lang w:eastAsia="cs-CZ"/>
        </w:rPr>
        <w:t xml:space="preserve"> </w:t>
      </w:r>
      <w:r w:rsidRPr="00732CD8">
        <w:rPr>
          <w:rFonts w:ascii="Times New Roman" w:hAnsi="Times New Roman"/>
          <w:sz w:val="22"/>
          <w:szCs w:val="24"/>
          <w:lang w:eastAsia="cs-CZ"/>
        </w:rPr>
        <w:t xml:space="preserve">vecne príslušný krajský súd  podľa </w:t>
      </w:r>
      <w:r w:rsidRPr="00732CD8">
        <w:rPr>
          <w:rFonts w:ascii="Times New Roman" w:hAnsi="Times New Roman"/>
          <w:b/>
          <w:sz w:val="22"/>
          <w:szCs w:val="24"/>
          <w:lang w:eastAsia="cs-CZ"/>
        </w:rPr>
        <w:t xml:space="preserve">§ 4 ods. 1 </w:t>
      </w:r>
      <w:r w:rsidRPr="00732CD8">
        <w:rPr>
          <w:rFonts w:ascii="Times New Roman" w:hAnsi="Times New Roman"/>
          <w:sz w:val="22"/>
          <w:szCs w:val="24"/>
          <w:lang w:eastAsia="cs-CZ"/>
        </w:rPr>
        <w:t xml:space="preserve">zákona č. 166/2003 Z. z. v platnom znení  podala </w:t>
      </w:r>
      <w:r w:rsidRPr="00732CD8">
        <w:rPr>
          <w:rFonts w:ascii="Times New Roman" w:hAnsi="Times New Roman"/>
          <w:b/>
          <w:sz w:val="22"/>
          <w:szCs w:val="24"/>
          <w:lang w:eastAsia="cs-CZ"/>
        </w:rPr>
        <w:t>531</w:t>
      </w:r>
      <w:r w:rsidRPr="00732CD8">
        <w:rPr>
          <w:rFonts w:ascii="Times New Roman" w:hAnsi="Times New Roman"/>
          <w:sz w:val="22"/>
          <w:szCs w:val="24"/>
          <w:lang w:eastAsia="cs-CZ"/>
        </w:rPr>
        <w:t xml:space="preserve"> žiadostí o vydanie súhlasu na použitie ITP. Krajský súd vyhovel </w:t>
      </w:r>
      <w:r w:rsidRPr="00732CD8">
        <w:rPr>
          <w:rFonts w:ascii="Times New Roman" w:hAnsi="Times New Roman"/>
          <w:b/>
          <w:sz w:val="22"/>
          <w:szCs w:val="24"/>
          <w:lang w:eastAsia="cs-CZ"/>
        </w:rPr>
        <w:t>530</w:t>
      </w:r>
      <w:r w:rsidRPr="00732CD8">
        <w:rPr>
          <w:rFonts w:ascii="Times New Roman" w:hAnsi="Times New Roman"/>
          <w:sz w:val="22"/>
          <w:szCs w:val="24"/>
          <w:lang w:eastAsia="cs-CZ"/>
        </w:rPr>
        <w:t xml:space="preserve">  žiadostiam a súhlas na použitie ITP vydal.  Zamietol </w:t>
      </w:r>
      <w:r w:rsidRPr="00732CD8">
        <w:rPr>
          <w:rFonts w:ascii="Times New Roman" w:hAnsi="Times New Roman"/>
          <w:b/>
          <w:sz w:val="22"/>
          <w:szCs w:val="24"/>
          <w:lang w:eastAsia="cs-CZ"/>
        </w:rPr>
        <w:t xml:space="preserve">1 </w:t>
      </w:r>
      <w:r w:rsidRPr="00732CD8">
        <w:rPr>
          <w:rFonts w:ascii="Times New Roman" w:hAnsi="Times New Roman"/>
          <w:sz w:val="22"/>
          <w:szCs w:val="24"/>
          <w:lang w:eastAsia="cs-CZ"/>
        </w:rPr>
        <w:t xml:space="preserve"> žiadosť a súhlas na použitie ITP nevydal.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lang w:eastAsia="cs-CZ"/>
        </w:rPr>
        <w:t xml:space="preserve">V roku 2011 ani v jednom prípade SIS nepožiadala o predĺženie lehoty na použitie ITP podľa ustanovenia  </w:t>
      </w:r>
      <w:r w:rsidRPr="00732CD8">
        <w:rPr>
          <w:rFonts w:ascii="Times New Roman" w:hAnsi="Times New Roman"/>
          <w:b/>
          <w:sz w:val="22"/>
          <w:lang w:eastAsia="cs-CZ"/>
        </w:rPr>
        <w:t xml:space="preserve">§ 4 ods. 2  </w:t>
      </w:r>
      <w:r w:rsidRPr="00732CD8">
        <w:rPr>
          <w:rFonts w:ascii="Times New Roman" w:hAnsi="Times New Roman"/>
          <w:sz w:val="22"/>
          <w:lang w:eastAsia="cs-CZ"/>
        </w:rPr>
        <w:t>zákona</w:t>
      </w:r>
      <w:r w:rsidRPr="00732CD8">
        <w:rPr>
          <w:rFonts w:ascii="Times New Roman" w:hAnsi="Times New Roman"/>
          <w:b/>
          <w:sz w:val="22"/>
          <w:lang w:eastAsia="cs-CZ"/>
        </w:rPr>
        <w:t xml:space="preserve"> </w:t>
      </w:r>
      <w:r w:rsidRPr="00732CD8">
        <w:rPr>
          <w:rFonts w:ascii="Times New Roman" w:hAnsi="Times New Roman"/>
          <w:sz w:val="22"/>
          <w:lang w:eastAsia="cs-CZ"/>
        </w:rPr>
        <w:t xml:space="preserve">č. 166/2003 Z. z. v platnom znení.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b/>
          <w:sz w:val="22"/>
          <w:lang w:eastAsia="cs-CZ"/>
        </w:rPr>
        <w:t>Colná</w:t>
      </w:r>
      <w:r w:rsidRPr="00732CD8">
        <w:rPr>
          <w:rFonts w:ascii="Times New Roman" w:hAnsi="Times New Roman"/>
          <w:b/>
          <w:szCs w:val="24"/>
          <w:lang w:eastAsia="cs-CZ"/>
        </w:rPr>
        <w:t xml:space="preserve">  </w:t>
      </w:r>
      <w:r w:rsidRPr="00732CD8">
        <w:rPr>
          <w:rFonts w:ascii="Times New Roman" w:hAnsi="Times New Roman"/>
          <w:b/>
          <w:sz w:val="22"/>
          <w:szCs w:val="24"/>
          <w:lang w:eastAsia="cs-CZ"/>
        </w:rPr>
        <w:t>správa  </w:t>
      </w:r>
      <w:r w:rsidRPr="00732CD8">
        <w:rPr>
          <w:rFonts w:ascii="Times New Roman" w:hAnsi="Times New Roman"/>
          <w:sz w:val="22"/>
          <w:szCs w:val="24"/>
          <w:lang w:eastAsia="cs-CZ"/>
        </w:rPr>
        <w:t xml:space="preserve">podľa podkladov, ktoré boli vecne príslušnými súdmi predložené v roku 2011  podala  </w:t>
      </w:r>
      <w:r w:rsidRPr="00732CD8">
        <w:rPr>
          <w:rFonts w:ascii="Times New Roman" w:hAnsi="Times New Roman"/>
          <w:b/>
          <w:sz w:val="22"/>
          <w:szCs w:val="24"/>
          <w:lang w:eastAsia="cs-CZ"/>
        </w:rPr>
        <w:t>218</w:t>
      </w:r>
      <w:r w:rsidRPr="00732CD8">
        <w:rPr>
          <w:rFonts w:ascii="Times New Roman" w:hAnsi="Times New Roman"/>
          <w:sz w:val="22"/>
          <w:szCs w:val="24"/>
          <w:lang w:eastAsia="cs-CZ"/>
        </w:rPr>
        <w:t xml:space="preserve">  žiadostí o  vydanie súhlasu na použitie ITP v zmysle ustanovení  </w:t>
      </w:r>
      <w:r w:rsidRPr="00732CD8">
        <w:rPr>
          <w:rFonts w:ascii="Times New Roman" w:hAnsi="Times New Roman"/>
          <w:b/>
          <w:sz w:val="22"/>
          <w:szCs w:val="24"/>
          <w:lang w:eastAsia="cs-CZ"/>
        </w:rPr>
        <w:t xml:space="preserve">§ 4 ods. 1,  § 4  ods. 2 </w:t>
      </w:r>
      <w:r w:rsidRPr="00732CD8">
        <w:rPr>
          <w:rFonts w:ascii="Times New Roman" w:hAnsi="Times New Roman"/>
          <w:sz w:val="22"/>
          <w:szCs w:val="24"/>
          <w:lang w:eastAsia="cs-CZ"/>
        </w:rPr>
        <w:t xml:space="preserve"> zákona  č. 166/2003  Z.  z.  v  platnom znení. </w:t>
      </w:r>
      <w:r w:rsidRPr="00732CD8">
        <w:rPr>
          <w:rFonts w:ascii="Times New Roman" w:hAnsi="Times New Roman"/>
          <w:b/>
          <w:szCs w:val="24"/>
          <w:lang w:eastAsia="cs-CZ"/>
        </w:rPr>
        <w:t xml:space="preserve">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tab/>
      </w:r>
      <w:r w:rsidRPr="00732CD8">
        <w:rPr>
          <w:rFonts w:ascii="Times New Roman" w:hAnsi="Times New Roman"/>
          <w:sz w:val="22"/>
          <w:szCs w:val="24"/>
          <w:lang w:eastAsia="cs-CZ"/>
        </w:rPr>
        <w:t xml:space="preserve">Súdy vyhoveli  </w:t>
      </w:r>
      <w:r w:rsidRPr="00732CD8">
        <w:rPr>
          <w:rFonts w:ascii="Times New Roman" w:hAnsi="Times New Roman"/>
          <w:b/>
          <w:sz w:val="22"/>
          <w:szCs w:val="24"/>
          <w:lang w:eastAsia="cs-CZ"/>
        </w:rPr>
        <w:t xml:space="preserve">205  </w:t>
      </w:r>
      <w:r w:rsidRPr="00732CD8">
        <w:rPr>
          <w:rFonts w:ascii="Times New Roman" w:hAnsi="Times New Roman"/>
          <w:sz w:val="22"/>
          <w:szCs w:val="24"/>
          <w:lang w:eastAsia="cs-CZ"/>
        </w:rPr>
        <w:t>žiadostiam</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 xml:space="preserve">a </w:t>
      </w:r>
      <w:r w:rsidRPr="00732CD8">
        <w:rPr>
          <w:rFonts w:ascii="Times New Roman" w:hAnsi="Times New Roman"/>
          <w:b/>
          <w:sz w:val="22"/>
          <w:szCs w:val="24"/>
          <w:lang w:eastAsia="cs-CZ"/>
        </w:rPr>
        <w:t> </w:t>
      </w:r>
      <w:r w:rsidRPr="00732CD8">
        <w:rPr>
          <w:rFonts w:ascii="Times New Roman" w:hAnsi="Times New Roman"/>
          <w:sz w:val="22"/>
          <w:szCs w:val="24"/>
          <w:lang w:eastAsia="cs-CZ"/>
        </w:rPr>
        <w:t>súhlas</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na</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použitie</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ITP</w:t>
      </w:r>
      <w:r w:rsidRPr="00732CD8">
        <w:rPr>
          <w:rFonts w:ascii="Times New Roman" w:hAnsi="Times New Roman"/>
          <w:b/>
          <w:sz w:val="22"/>
          <w:szCs w:val="24"/>
          <w:lang w:eastAsia="cs-CZ"/>
        </w:rPr>
        <w:t xml:space="preserve"> </w:t>
      </w:r>
      <w:r w:rsidRPr="00732CD8">
        <w:rPr>
          <w:rFonts w:ascii="Times New Roman" w:hAnsi="Times New Roman"/>
          <w:sz w:val="22"/>
          <w:szCs w:val="24"/>
          <w:lang w:eastAsia="cs-CZ"/>
        </w:rPr>
        <w:t xml:space="preserve">vydali.  Súdy </w:t>
      </w:r>
      <w:r w:rsidRPr="00732CD8">
        <w:rPr>
          <w:rFonts w:ascii="Times New Roman" w:hAnsi="Times New Roman"/>
          <w:b/>
          <w:sz w:val="22"/>
          <w:szCs w:val="24"/>
          <w:lang w:eastAsia="cs-CZ"/>
        </w:rPr>
        <w:t xml:space="preserve">13  </w:t>
      </w:r>
      <w:r w:rsidRPr="00732CD8">
        <w:rPr>
          <w:rFonts w:ascii="Times New Roman" w:hAnsi="Times New Roman"/>
          <w:sz w:val="22"/>
          <w:szCs w:val="24"/>
          <w:lang w:eastAsia="cs-CZ"/>
        </w:rPr>
        <w:t xml:space="preserve">žiadostí o vydanie </w:t>
      </w:r>
      <w:r w:rsidRPr="00732CD8">
        <w:rPr>
          <w:rFonts w:ascii="Times New Roman" w:hAnsi="Times New Roman"/>
          <w:b/>
          <w:sz w:val="22"/>
          <w:szCs w:val="24"/>
          <w:lang w:eastAsia="cs-CZ"/>
        </w:rPr>
        <w:t xml:space="preserve"> </w:t>
      </w:r>
      <w:r w:rsidRPr="00732CD8">
        <w:rPr>
          <w:rFonts w:ascii="Times New Roman" w:hAnsi="Times New Roman"/>
          <w:szCs w:val="24"/>
          <w:lang w:eastAsia="cs-CZ"/>
        </w:rPr>
        <w:t xml:space="preserve"> </w:t>
      </w:r>
      <w:r w:rsidRPr="00732CD8">
        <w:rPr>
          <w:rFonts w:ascii="Times New Roman" w:hAnsi="Times New Roman"/>
          <w:sz w:val="22"/>
          <w:szCs w:val="24"/>
          <w:lang w:eastAsia="cs-CZ"/>
        </w:rPr>
        <w:t xml:space="preserve">súhlasu na použitie ITP zamietli.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r w:rsidRPr="00732CD8">
        <w:rPr>
          <w:rFonts w:ascii="Times New Roman" w:hAnsi="Times New Roman"/>
          <w:sz w:val="22"/>
          <w:szCs w:val="24"/>
          <w:lang w:eastAsia="cs-CZ"/>
        </w:rPr>
        <w:t xml:space="preserve">Podľa  ustanovenia </w:t>
      </w:r>
      <w:r w:rsidRPr="00732CD8">
        <w:rPr>
          <w:rFonts w:ascii="Times New Roman" w:hAnsi="Times New Roman"/>
          <w:b/>
          <w:sz w:val="22"/>
          <w:szCs w:val="24"/>
          <w:lang w:eastAsia="cs-CZ"/>
        </w:rPr>
        <w:t xml:space="preserve">§ 4 ods. 1 </w:t>
      </w:r>
      <w:r w:rsidRPr="00732CD8">
        <w:rPr>
          <w:rFonts w:ascii="Times New Roman" w:hAnsi="Times New Roman"/>
          <w:sz w:val="22"/>
          <w:szCs w:val="24"/>
          <w:lang w:eastAsia="cs-CZ"/>
        </w:rPr>
        <w:t xml:space="preserve">  zákona č. 166/2003 Z. z. v platnom znení na vecne príslušné krajské súdy bolo podaných </w:t>
      </w:r>
      <w:r w:rsidRPr="00732CD8">
        <w:rPr>
          <w:rFonts w:ascii="Times New Roman" w:hAnsi="Times New Roman"/>
          <w:b/>
          <w:sz w:val="22"/>
          <w:szCs w:val="24"/>
          <w:lang w:eastAsia="cs-CZ"/>
        </w:rPr>
        <w:t>198</w:t>
      </w:r>
      <w:r w:rsidRPr="00732CD8">
        <w:rPr>
          <w:rFonts w:ascii="Times New Roman" w:hAnsi="Times New Roman"/>
          <w:sz w:val="22"/>
          <w:szCs w:val="24"/>
          <w:lang w:eastAsia="cs-CZ"/>
        </w:rPr>
        <w:t xml:space="preserve"> žiadostí. Súdy vyhoveli </w:t>
      </w:r>
      <w:r w:rsidRPr="00732CD8">
        <w:rPr>
          <w:rFonts w:ascii="Times New Roman" w:hAnsi="Times New Roman"/>
          <w:b/>
          <w:sz w:val="22"/>
          <w:szCs w:val="24"/>
          <w:lang w:eastAsia="cs-CZ"/>
        </w:rPr>
        <w:t>185</w:t>
      </w:r>
      <w:r w:rsidRPr="00732CD8">
        <w:rPr>
          <w:rFonts w:ascii="Times New Roman" w:hAnsi="Times New Roman"/>
          <w:sz w:val="22"/>
          <w:szCs w:val="24"/>
          <w:lang w:eastAsia="cs-CZ"/>
        </w:rPr>
        <w:t xml:space="preserve"> žiadostiam a súhlas na použitie ITP vydali.  Súdy nevyhoveli  </w:t>
      </w:r>
      <w:r w:rsidRPr="00732CD8">
        <w:rPr>
          <w:rFonts w:ascii="Times New Roman" w:hAnsi="Times New Roman"/>
          <w:b/>
          <w:sz w:val="22"/>
          <w:szCs w:val="24"/>
          <w:lang w:eastAsia="cs-CZ"/>
        </w:rPr>
        <w:t>13</w:t>
      </w:r>
      <w:r w:rsidRPr="00732CD8">
        <w:rPr>
          <w:rFonts w:ascii="Times New Roman" w:hAnsi="Times New Roman"/>
          <w:sz w:val="22"/>
          <w:szCs w:val="24"/>
          <w:lang w:eastAsia="cs-CZ"/>
        </w:rPr>
        <w:t xml:space="preserve">  žiadostiam na povolenie súhlasu na použitie ITP.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Podľa </w:t>
      </w:r>
      <w:r w:rsidRPr="00732CD8">
        <w:rPr>
          <w:rFonts w:ascii="Times New Roman" w:hAnsi="Times New Roman"/>
          <w:b/>
          <w:sz w:val="22"/>
          <w:szCs w:val="24"/>
          <w:lang w:eastAsia="cs-CZ"/>
        </w:rPr>
        <w:t xml:space="preserve">§ 4 ods. 2 </w:t>
      </w:r>
      <w:r w:rsidRPr="00732CD8">
        <w:rPr>
          <w:rFonts w:ascii="Times New Roman" w:hAnsi="Times New Roman"/>
          <w:sz w:val="22"/>
          <w:szCs w:val="24"/>
          <w:lang w:eastAsia="cs-CZ"/>
        </w:rPr>
        <w:t xml:space="preserve"> zákona č. 166/2003 Z. z. v platnom znení bolo podaných </w:t>
      </w:r>
      <w:r w:rsidRPr="00732CD8">
        <w:rPr>
          <w:rFonts w:ascii="Times New Roman" w:hAnsi="Times New Roman"/>
          <w:b/>
          <w:sz w:val="22"/>
          <w:szCs w:val="24"/>
          <w:lang w:eastAsia="cs-CZ"/>
        </w:rPr>
        <w:t>20</w:t>
      </w:r>
      <w:r w:rsidRPr="00732CD8">
        <w:rPr>
          <w:rFonts w:ascii="Times New Roman" w:hAnsi="Times New Roman"/>
          <w:sz w:val="22"/>
          <w:szCs w:val="24"/>
          <w:lang w:eastAsia="cs-CZ"/>
        </w:rPr>
        <w:t xml:space="preserve"> žiadostí o  predĺženie lehoty na použitie ITP. Vecne príslušné súdy vyhoveli všetkým </w:t>
      </w:r>
      <w:r w:rsidRPr="00732CD8">
        <w:rPr>
          <w:rFonts w:ascii="Times New Roman" w:hAnsi="Times New Roman"/>
          <w:b/>
          <w:sz w:val="22"/>
          <w:szCs w:val="24"/>
          <w:lang w:eastAsia="cs-CZ"/>
        </w:rPr>
        <w:t>20</w:t>
      </w:r>
      <w:r w:rsidRPr="00732CD8">
        <w:rPr>
          <w:rFonts w:ascii="Times New Roman" w:hAnsi="Times New Roman"/>
          <w:sz w:val="22"/>
          <w:szCs w:val="24"/>
          <w:lang w:eastAsia="cs-CZ"/>
        </w:rPr>
        <w:t xml:space="preserve"> žiadostiam a lehotu na použitie ITP predĺžili.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tab/>
      </w:r>
      <w:r w:rsidRPr="00732CD8">
        <w:rPr>
          <w:rFonts w:ascii="Times New Roman" w:hAnsi="Times New Roman"/>
          <w:sz w:val="22"/>
          <w:szCs w:val="24"/>
          <w:lang w:eastAsia="cs-CZ"/>
        </w:rPr>
        <w:t xml:space="preserve">V roku 2011 </w:t>
      </w:r>
      <w:r w:rsidRPr="00732CD8">
        <w:rPr>
          <w:rFonts w:ascii="Times New Roman" w:hAnsi="Times New Roman"/>
          <w:b/>
          <w:sz w:val="22"/>
          <w:szCs w:val="24"/>
          <w:lang w:eastAsia="cs-CZ"/>
        </w:rPr>
        <w:t>Ministerstvom</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obrany</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 xml:space="preserve">Slovenskej republiky - </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Vojenským</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obranným</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spravodajstvom</w:t>
      </w:r>
      <w:r w:rsidRPr="00732CD8">
        <w:rPr>
          <w:rFonts w:ascii="Times New Roman" w:hAnsi="Times New Roman"/>
          <w:sz w:val="22"/>
          <w:szCs w:val="24"/>
          <w:lang w:eastAsia="cs-CZ"/>
        </w:rPr>
        <w:t xml:space="preserve"> (ďalej len „VOS“) na vecne príslušný Krajský súd v Trenčíne bolo predložených  celkom </w:t>
      </w:r>
      <w:r w:rsidRPr="00732CD8">
        <w:rPr>
          <w:rFonts w:ascii="Times New Roman" w:hAnsi="Times New Roman"/>
          <w:b/>
          <w:sz w:val="22"/>
          <w:szCs w:val="24"/>
          <w:lang w:eastAsia="cs-CZ"/>
        </w:rPr>
        <w:t>147</w:t>
      </w:r>
      <w:r w:rsidRPr="00732CD8">
        <w:rPr>
          <w:rFonts w:ascii="Times New Roman" w:hAnsi="Times New Roman"/>
          <w:sz w:val="22"/>
          <w:szCs w:val="24"/>
          <w:lang w:eastAsia="cs-CZ"/>
        </w:rPr>
        <w:t xml:space="preserve">  žiadostí o  vydanie  súhlasu  na  použitie  ITP  podľa  </w:t>
      </w:r>
      <w:r w:rsidRPr="00732CD8">
        <w:rPr>
          <w:rFonts w:ascii="Times New Roman" w:hAnsi="Times New Roman"/>
          <w:b/>
          <w:sz w:val="22"/>
          <w:szCs w:val="24"/>
          <w:lang w:eastAsia="cs-CZ"/>
        </w:rPr>
        <w:t xml:space="preserve">§  4  ods. 1, § 4 ods. 2 </w:t>
      </w:r>
      <w:r w:rsidRPr="00732CD8">
        <w:rPr>
          <w:rFonts w:ascii="Times New Roman" w:hAnsi="Times New Roman"/>
          <w:sz w:val="22"/>
          <w:szCs w:val="24"/>
          <w:lang w:eastAsia="cs-CZ"/>
        </w:rPr>
        <w:t>zákona č. 166/2003 Z. z. v  platnom znení.</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 w:val="22"/>
          <w:szCs w:val="24"/>
          <w:lang w:eastAsia="cs-CZ"/>
        </w:rPr>
      </w:pPr>
      <w:r w:rsidRPr="00732CD8">
        <w:rPr>
          <w:rFonts w:ascii="Times New Roman" w:hAnsi="Times New Roman"/>
          <w:sz w:val="22"/>
          <w:szCs w:val="24"/>
          <w:lang w:eastAsia="cs-CZ"/>
        </w:rPr>
        <w:t xml:space="preserve">Vecne príslušný súd vyhovel  </w:t>
      </w:r>
      <w:r w:rsidRPr="00732CD8">
        <w:rPr>
          <w:rFonts w:ascii="Times New Roman" w:hAnsi="Times New Roman"/>
          <w:b/>
          <w:sz w:val="22"/>
          <w:szCs w:val="24"/>
          <w:lang w:eastAsia="cs-CZ"/>
        </w:rPr>
        <w:t>137</w:t>
      </w:r>
      <w:r w:rsidRPr="00732CD8">
        <w:rPr>
          <w:rFonts w:ascii="Times New Roman" w:hAnsi="Times New Roman"/>
          <w:sz w:val="22"/>
          <w:szCs w:val="24"/>
          <w:lang w:eastAsia="cs-CZ"/>
        </w:rPr>
        <w:t xml:space="preserve">  žiadostiam na vydanie súhlasu na použitie ITP a predĺženie lehoty ITP.  </w:t>
      </w:r>
      <w:r w:rsidRPr="00732CD8">
        <w:rPr>
          <w:rFonts w:ascii="Times New Roman" w:hAnsi="Times New Roman"/>
          <w:b/>
          <w:sz w:val="22"/>
          <w:szCs w:val="24"/>
          <w:lang w:eastAsia="cs-CZ"/>
        </w:rPr>
        <w:t xml:space="preserve">10 </w:t>
      </w:r>
      <w:r w:rsidRPr="00732CD8">
        <w:rPr>
          <w:rFonts w:ascii="Times New Roman" w:hAnsi="Times New Roman"/>
          <w:sz w:val="22"/>
          <w:szCs w:val="24"/>
          <w:lang w:eastAsia="cs-CZ"/>
        </w:rPr>
        <w:t xml:space="preserve"> žiadostí na  vydanie súhlasu na použitie ITP zamietol a  súhlas nevydal.  </w:t>
      </w:r>
    </w:p>
    <w:p w:rsidR="00732CD8" w:rsidRPr="00732CD8" w:rsidP="00732CD8">
      <w:pPr>
        <w:bidi w:val="0"/>
        <w:spacing w:after="0" w:line="240" w:lineRule="auto"/>
        <w:jc w:val="both"/>
        <w:rPr>
          <w:rFonts w:ascii="Times New Roman" w:hAnsi="Times New Roman"/>
          <w:sz w:val="22"/>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Tento štátny orgán podľa </w:t>
      </w:r>
      <w:r w:rsidRPr="00732CD8">
        <w:rPr>
          <w:rFonts w:ascii="Times New Roman" w:hAnsi="Times New Roman"/>
          <w:b/>
          <w:sz w:val="22"/>
          <w:szCs w:val="24"/>
          <w:lang w:eastAsia="cs-CZ"/>
        </w:rPr>
        <w:t xml:space="preserve">§ 4 ods. 1 </w:t>
      </w:r>
      <w:r w:rsidRPr="00732CD8">
        <w:rPr>
          <w:rFonts w:ascii="Times New Roman" w:hAnsi="Times New Roman"/>
          <w:sz w:val="22"/>
          <w:szCs w:val="24"/>
          <w:lang w:eastAsia="cs-CZ"/>
        </w:rPr>
        <w:t xml:space="preserve">zákona č. 166/2003 Z. z. v platnom znení  podal na vecne príslušný súd </w:t>
      </w:r>
      <w:r w:rsidRPr="00732CD8">
        <w:rPr>
          <w:rFonts w:ascii="Times New Roman" w:hAnsi="Times New Roman"/>
          <w:b/>
          <w:sz w:val="22"/>
          <w:szCs w:val="24"/>
          <w:lang w:eastAsia="cs-CZ"/>
        </w:rPr>
        <w:t xml:space="preserve">130 </w:t>
      </w:r>
      <w:r w:rsidRPr="00732CD8">
        <w:rPr>
          <w:rFonts w:ascii="Times New Roman" w:hAnsi="Times New Roman"/>
          <w:sz w:val="22"/>
          <w:szCs w:val="24"/>
          <w:lang w:eastAsia="cs-CZ"/>
        </w:rPr>
        <w:t xml:space="preserve">žiadostí o vydanie súhlasu na použitie ITP. Súd vyhovel </w:t>
      </w:r>
      <w:r w:rsidRPr="00732CD8">
        <w:rPr>
          <w:rFonts w:ascii="Times New Roman" w:hAnsi="Times New Roman"/>
          <w:b/>
          <w:sz w:val="22"/>
          <w:szCs w:val="24"/>
          <w:lang w:eastAsia="cs-CZ"/>
        </w:rPr>
        <w:t>120</w:t>
      </w:r>
      <w:r w:rsidRPr="00732CD8">
        <w:rPr>
          <w:rFonts w:ascii="Times New Roman" w:hAnsi="Times New Roman"/>
          <w:sz w:val="22"/>
          <w:szCs w:val="24"/>
          <w:lang w:eastAsia="cs-CZ"/>
        </w:rPr>
        <w:t xml:space="preserve"> žiadostiam  a  súhlas na použitie ITP vydal.  Nevyhovel </w:t>
      </w:r>
      <w:r w:rsidRPr="00732CD8">
        <w:rPr>
          <w:rFonts w:ascii="Times New Roman" w:hAnsi="Times New Roman"/>
          <w:b/>
          <w:sz w:val="22"/>
          <w:szCs w:val="24"/>
          <w:lang w:eastAsia="cs-CZ"/>
        </w:rPr>
        <w:t>10</w:t>
      </w:r>
      <w:r w:rsidRPr="00732CD8">
        <w:rPr>
          <w:rFonts w:ascii="Times New Roman" w:hAnsi="Times New Roman"/>
          <w:sz w:val="22"/>
          <w:szCs w:val="24"/>
          <w:lang w:eastAsia="cs-CZ"/>
        </w:rPr>
        <w:t xml:space="preserve"> žiadostiam  a súhlas na použitie ITP nevydal.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b/>
          <w:szCs w:val="24"/>
          <w:lang w:eastAsia="cs-CZ"/>
        </w:rPr>
        <w:t xml:space="preserve"> </w:t>
      </w: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Podľa ustanovenia </w:t>
      </w:r>
      <w:r w:rsidRPr="00732CD8">
        <w:rPr>
          <w:rFonts w:ascii="Times New Roman" w:hAnsi="Times New Roman"/>
          <w:b/>
          <w:sz w:val="22"/>
          <w:szCs w:val="24"/>
          <w:lang w:eastAsia="cs-CZ"/>
        </w:rPr>
        <w:t xml:space="preserve">§ 4 ods. 2 </w:t>
      </w:r>
      <w:r w:rsidRPr="00732CD8">
        <w:rPr>
          <w:rFonts w:ascii="Times New Roman" w:hAnsi="Times New Roman"/>
          <w:sz w:val="22"/>
          <w:szCs w:val="24"/>
          <w:lang w:eastAsia="cs-CZ"/>
        </w:rPr>
        <w:t xml:space="preserve">zákona č. 166/2003 Z. z. v platnom znení bolo podaných </w:t>
      </w:r>
      <w:r w:rsidRPr="00732CD8">
        <w:rPr>
          <w:rFonts w:ascii="Times New Roman" w:hAnsi="Times New Roman"/>
          <w:b/>
          <w:sz w:val="22"/>
          <w:szCs w:val="24"/>
          <w:lang w:eastAsia="cs-CZ"/>
        </w:rPr>
        <w:t>17</w:t>
      </w:r>
      <w:r w:rsidRPr="00732CD8">
        <w:rPr>
          <w:rFonts w:ascii="Times New Roman" w:hAnsi="Times New Roman"/>
          <w:sz w:val="22"/>
          <w:szCs w:val="24"/>
          <w:lang w:eastAsia="cs-CZ"/>
        </w:rPr>
        <w:t xml:space="preserve"> žiadostí o predĺženie lehoty  použitia ITP, Súd vyhovel všetkým </w:t>
      </w:r>
      <w:r w:rsidRPr="00732CD8">
        <w:rPr>
          <w:rFonts w:ascii="Times New Roman" w:hAnsi="Times New Roman"/>
          <w:b/>
          <w:sz w:val="22"/>
          <w:szCs w:val="24"/>
          <w:lang w:eastAsia="cs-CZ"/>
        </w:rPr>
        <w:t xml:space="preserve">17 </w:t>
      </w:r>
      <w:r w:rsidRPr="00732CD8">
        <w:rPr>
          <w:rFonts w:ascii="Times New Roman" w:hAnsi="Times New Roman"/>
          <w:sz w:val="22"/>
          <w:szCs w:val="24"/>
          <w:lang w:eastAsia="cs-CZ"/>
        </w:rPr>
        <w:t xml:space="preserve"> žiadostiam a súhlas na predĺženie lehoty ITP udelil.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 w:val="22"/>
          <w:szCs w:val="24"/>
          <w:lang w:eastAsia="cs-CZ"/>
        </w:rPr>
      </w:pPr>
      <w:r w:rsidRPr="00732CD8">
        <w:rPr>
          <w:rFonts w:ascii="Times New Roman" w:hAnsi="Times New Roman"/>
          <w:b/>
          <w:sz w:val="22"/>
          <w:szCs w:val="24"/>
          <w:lang w:eastAsia="cs-CZ"/>
        </w:rPr>
        <w:t>Ministerstvom</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obrany</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Slovenskej republiky - Vojenskou</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spravodajskou</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službou</w:t>
      </w:r>
      <w:r w:rsidRPr="00732CD8">
        <w:rPr>
          <w:rFonts w:ascii="Times New Roman" w:hAnsi="Times New Roman"/>
          <w:sz w:val="22"/>
          <w:szCs w:val="24"/>
          <w:lang w:eastAsia="cs-CZ"/>
        </w:rPr>
        <w:t xml:space="preserve"> (ďalej len „VSS“) na vecne  príslušný Krajský súd v Trenčíne bola v roku 2011 podaná </w:t>
      </w:r>
      <w:r w:rsidRPr="00732CD8">
        <w:rPr>
          <w:rFonts w:ascii="Times New Roman" w:hAnsi="Times New Roman"/>
          <w:b/>
          <w:sz w:val="22"/>
          <w:szCs w:val="24"/>
          <w:lang w:eastAsia="cs-CZ"/>
        </w:rPr>
        <w:t xml:space="preserve">1 </w:t>
      </w:r>
      <w:r w:rsidRPr="00732CD8">
        <w:rPr>
          <w:rFonts w:ascii="Times New Roman" w:hAnsi="Times New Roman"/>
          <w:sz w:val="22"/>
          <w:szCs w:val="24"/>
          <w:lang w:eastAsia="cs-CZ"/>
        </w:rPr>
        <w:t xml:space="preserve"> žiadosť  o  vydanie  súhlasu  na  použitie  ITP  podľa   </w:t>
      </w:r>
      <w:r w:rsidRPr="00732CD8">
        <w:rPr>
          <w:rFonts w:ascii="Times New Roman" w:hAnsi="Times New Roman"/>
          <w:b/>
          <w:sz w:val="22"/>
          <w:szCs w:val="24"/>
          <w:lang w:eastAsia="cs-CZ"/>
        </w:rPr>
        <w:t xml:space="preserve">§  4  ods.  1  </w:t>
      </w:r>
      <w:r w:rsidRPr="00732CD8">
        <w:rPr>
          <w:rFonts w:ascii="Times New Roman" w:hAnsi="Times New Roman"/>
          <w:sz w:val="22"/>
          <w:szCs w:val="24"/>
          <w:lang w:eastAsia="cs-CZ"/>
        </w:rPr>
        <w:t xml:space="preserve">zákona  č.  166/2003  Z.  z. v platnom znení.  Súd  tejto žiadosti vyhovel a súhlas na použitie ITP vydal.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Podľa  ustanovenia </w:t>
      </w:r>
      <w:r w:rsidRPr="00732CD8">
        <w:rPr>
          <w:rFonts w:ascii="Times New Roman" w:hAnsi="Times New Roman"/>
          <w:b/>
          <w:sz w:val="22"/>
          <w:szCs w:val="24"/>
          <w:lang w:eastAsia="cs-CZ"/>
        </w:rPr>
        <w:t xml:space="preserve">§ 4 ods. 2 </w:t>
      </w:r>
      <w:r w:rsidRPr="00732CD8">
        <w:rPr>
          <w:rFonts w:ascii="Times New Roman" w:hAnsi="Times New Roman"/>
          <w:sz w:val="22"/>
          <w:szCs w:val="24"/>
          <w:lang w:eastAsia="cs-CZ"/>
        </w:rPr>
        <w:t xml:space="preserve">zákona č. 166/2003 Z. z. v platnom znení  tento štátny orgán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 w:val="22"/>
          <w:szCs w:val="24"/>
          <w:lang w:eastAsia="cs-CZ"/>
        </w:rPr>
      </w:pPr>
      <w:r w:rsidRPr="00732CD8">
        <w:rPr>
          <w:rFonts w:ascii="Times New Roman" w:hAnsi="Times New Roman"/>
          <w:sz w:val="22"/>
          <w:szCs w:val="24"/>
          <w:lang w:eastAsia="cs-CZ"/>
        </w:rPr>
        <w:t xml:space="preserve">Žiadosť o súhlas na  predĺženie lehoty ITP v roku 2011 nepodal.           </w:t>
      </w:r>
    </w:p>
    <w:p w:rsidR="00732CD8" w:rsidRPr="00732CD8" w:rsidP="00732CD8">
      <w:pPr>
        <w:bidi w:val="0"/>
        <w:spacing w:after="0" w:line="240" w:lineRule="auto"/>
        <w:jc w:val="both"/>
        <w:rPr>
          <w:rFonts w:ascii="Times New Roman" w:hAnsi="Times New Roman"/>
          <w:sz w:val="22"/>
          <w:szCs w:val="24"/>
          <w:lang w:eastAsia="cs-CZ"/>
        </w:rPr>
      </w:pPr>
      <w:r w:rsidRPr="00732CD8">
        <w:rPr>
          <w:rFonts w:ascii="Times New Roman" w:hAnsi="Times New Roman"/>
          <w:sz w:val="22"/>
          <w:szCs w:val="24"/>
          <w:lang w:eastAsia="cs-CZ"/>
        </w:rPr>
        <w:t xml:space="preserve">                                                                          </w:t>
      </w:r>
    </w:p>
    <w:p w:rsidR="00732CD8" w:rsidRPr="00732CD8" w:rsidP="00732CD8">
      <w:pPr>
        <w:bidi w:val="0"/>
        <w:spacing w:after="0" w:line="240" w:lineRule="auto"/>
        <w:jc w:val="both"/>
        <w:rPr>
          <w:rFonts w:ascii="Times New Roman" w:hAnsi="Times New Roman"/>
          <w:sz w:val="22"/>
          <w:szCs w:val="24"/>
          <w:lang w:eastAsia="cs-CZ"/>
        </w:rPr>
      </w:pPr>
      <w:r w:rsidRPr="00732CD8">
        <w:rPr>
          <w:rFonts w:ascii="Times New Roman" w:hAnsi="Times New Roman"/>
          <w:sz w:val="22"/>
          <w:szCs w:val="24"/>
          <w:lang w:eastAsia="cs-CZ"/>
        </w:rPr>
        <w:t xml:space="preserve">                                                                        </w:t>
      </w:r>
    </w:p>
    <w:p w:rsidR="00732CD8" w:rsidRPr="00732CD8" w:rsidP="00732CD8">
      <w:pPr>
        <w:bidi w:val="0"/>
        <w:spacing w:after="0" w:line="240" w:lineRule="auto"/>
        <w:ind w:firstLine="708"/>
        <w:jc w:val="both"/>
        <w:rPr>
          <w:rFonts w:ascii="Times New Roman" w:hAnsi="Times New Roman"/>
          <w:sz w:val="22"/>
          <w:szCs w:val="24"/>
          <w:lang w:eastAsia="cs-CZ"/>
        </w:rPr>
      </w:pPr>
      <w:r w:rsidRPr="00732CD8">
        <w:rPr>
          <w:rFonts w:ascii="Times New Roman" w:hAnsi="Times New Roman"/>
          <w:sz w:val="22"/>
          <w:szCs w:val="24"/>
          <w:lang w:eastAsia="cs-CZ"/>
        </w:rPr>
        <w:t xml:space="preserve">Vecne príslušné </w:t>
      </w:r>
      <w:r w:rsidRPr="00732CD8">
        <w:rPr>
          <w:rFonts w:ascii="Times New Roman" w:hAnsi="Times New Roman"/>
          <w:b/>
          <w:sz w:val="22"/>
          <w:szCs w:val="24"/>
          <w:lang w:eastAsia="cs-CZ"/>
        </w:rPr>
        <w:t>krajské</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súdy a Špecializovaný</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trestný</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súd</w:t>
      </w:r>
      <w:r w:rsidRPr="00732CD8">
        <w:rPr>
          <w:rFonts w:ascii="Times New Roman" w:hAnsi="Times New Roman"/>
          <w:sz w:val="22"/>
          <w:szCs w:val="24"/>
          <w:lang w:eastAsia="cs-CZ"/>
        </w:rPr>
        <w:t xml:space="preserve"> uviedli, že za rok 2011  nemajú   žiadne   poznatky   o  využití   informácií   získaných   použitím   ITP,   ako   dôkazov v trestnom konaní. Súdy pri predkladaní správ o použití ITP zhodne informovali, že evidenciu  o  využití  informácií  získaných  použitím, ako  dôkazu v trestnom konaní  naďalej nevedú.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Podľa vyjadrenia predsedov vecne príslušných súdov by taká evidencia nebola spoľahlivá a použiteľná. Súdy nemajú žiadnu možnosť fyzicky si overiť, či práve na podklade nimi vydaného súhlasu na použitie ITP  došlo k začatiu trestného stíhania.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Prokurátor vo veci,  v  ktorej bol vydaný súhlas na použitie ITP nemusí obžalobu podať na  súd v kraji, ktorého krajský súd o vydaní súhlasu na použitie ITP rozhodol.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Ustanovenie § 20 Trestného poriadku  prokurátorovi  umožňuje  založiť príslušnosť na  súde v  inom kraji. O  takom postupe  prokurátora však súd,  ktorý rozhodol o  vydaní súhlasu na použitie ITP   nemá  informáciu.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Súdy vecne príslušné na  vydávanie  súhlasov  na  použitie ITP sa zhodli na tom, že informácie  o využití poznatkov získaných v rámci použitia ITP ako dôkazov v trestnom konaní, môžu podávať len štátne orgány, ktoré žiadosť o vydanie súhlasu na použitie ITP podali na súd, ktorý je  vecne  príslušný na také rozhodnutie.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 w:val="22"/>
          <w:szCs w:val="24"/>
          <w:lang w:eastAsia="cs-CZ"/>
        </w:rPr>
      </w:pPr>
      <w:r w:rsidRPr="00732CD8">
        <w:rPr>
          <w:rFonts w:ascii="Times New Roman" w:hAnsi="Times New Roman"/>
          <w:b/>
          <w:sz w:val="22"/>
          <w:szCs w:val="24"/>
          <w:lang w:eastAsia="cs-CZ"/>
        </w:rPr>
        <w:t>Krajský</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súd</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 xml:space="preserve">v Prešove, </w:t>
      </w:r>
      <w:r w:rsidRPr="00732CD8">
        <w:rPr>
          <w:rFonts w:ascii="Times New Roman" w:hAnsi="Times New Roman"/>
          <w:sz w:val="22"/>
          <w:szCs w:val="24"/>
          <w:lang w:eastAsia="cs-CZ"/>
        </w:rPr>
        <w:t xml:space="preserve">ako jediný z  vecne príslušných súdov v  správe o  použití ITP uviedol aj  údaje o počte  vecí,  v  ktorých bol splnený cieľ použitia ITP  a  o počte vecí, v ktorých v roku 2011 k  splneniu cieľa nedošlo. </w:t>
      </w:r>
    </w:p>
    <w:p w:rsidR="00732CD8" w:rsidRPr="00732CD8" w:rsidP="00732CD8">
      <w:pPr>
        <w:bidi w:val="0"/>
        <w:spacing w:after="0" w:line="240" w:lineRule="auto"/>
        <w:jc w:val="both"/>
        <w:rPr>
          <w:rFonts w:ascii="Times New Roman" w:hAnsi="Times New Roman"/>
          <w:sz w:val="22"/>
          <w:szCs w:val="24"/>
          <w:lang w:eastAsia="cs-CZ"/>
        </w:rPr>
      </w:pP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Predsedníčka súdu oznámila, že v roku 2011  bol cieľ použitia ITP  splnený v  </w:t>
      </w:r>
      <w:r w:rsidRPr="00732CD8">
        <w:rPr>
          <w:rFonts w:ascii="Times New Roman" w:hAnsi="Times New Roman"/>
          <w:b/>
          <w:sz w:val="22"/>
          <w:szCs w:val="24"/>
          <w:lang w:eastAsia="cs-CZ"/>
        </w:rPr>
        <w:t>161</w:t>
      </w:r>
      <w:r w:rsidRPr="00732CD8">
        <w:rPr>
          <w:rFonts w:ascii="Times New Roman" w:hAnsi="Times New Roman"/>
          <w:sz w:val="22"/>
          <w:szCs w:val="24"/>
          <w:lang w:eastAsia="cs-CZ"/>
        </w:rPr>
        <w:t xml:space="preserve"> veciach.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b/>
          <w:szCs w:val="24"/>
          <w:lang w:eastAsia="cs-CZ"/>
        </w:rPr>
      </w:pPr>
    </w:p>
    <w:p w:rsidR="00732CD8" w:rsidRPr="00732CD8" w:rsidP="00732CD8">
      <w:pPr>
        <w:bidi w:val="0"/>
        <w:spacing w:after="0" w:line="240" w:lineRule="auto"/>
        <w:ind w:firstLine="708"/>
        <w:jc w:val="both"/>
        <w:rPr>
          <w:rFonts w:ascii="Times New Roman" w:hAnsi="Times New Roman"/>
          <w:b/>
          <w:szCs w:val="24"/>
          <w:lang w:eastAsia="cs-CZ"/>
        </w:rPr>
      </w:pPr>
      <w:r w:rsidRPr="00732CD8">
        <w:rPr>
          <w:rFonts w:ascii="Times New Roman" w:hAnsi="Times New Roman"/>
          <w:sz w:val="22"/>
          <w:szCs w:val="24"/>
          <w:lang w:eastAsia="cs-CZ"/>
        </w:rPr>
        <w:t>Cieľ použitia  ITP v roku 2011  nebol splnený  v </w:t>
      </w:r>
      <w:r w:rsidRPr="00732CD8">
        <w:rPr>
          <w:rFonts w:ascii="Times New Roman" w:hAnsi="Times New Roman"/>
          <w:b/>
          <w:sz w:val="22"/>
          <w:szCs w:val="24"/>
          <w:lang w:eastAsia="cs-CZ"/>
        </w:rPr>
        <w:t xml:space="preserve">7  </w:t>
      </w:r>
      <w:r w:rsidRPr="00732CD8">
        <w:rPr>
          <w:rFonts w:ascii="Times New Roman" w:hAnsi="Times New Roman"/>
          <w:sz w:val="22"/>
          <w:szCs w:val="24"/>
          <w:lang w:eastAsia="cs-CZ"/>
        </w:rPr>
        <w:t xml:space="preserve"> veciach.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szCs w:val="24"/>
          <w:lang w:eastAsia="cs-CZ"/>
        </w:rPr>
      </w:pPr>
      <w:r w:rsidRPr="00732CD8">
        <w:rPr>
          <w:rFonts w:ascii="Times New Roman" w:hAnsi="Times New Roman"/>
          <w:sz w:val="22"/>
          <w:szCs w:val="24"/>
          <w:lang w:eastAsia="cs-CZ"/>
        </w:rPr>
        <w:t xml:space="preserve">V roku 2011 z celkového počtu vecí, v ktorých  bol súhlas na použitie ITP vydaný nie je skončených </w:t>
      </w:r>
      <w:r w:rsidRPr="00732CD8">
        <w:rPr>
          <w:rFonts w:ascii="Times New Roman" w:hAnsi="Times New Roman"/>
          <w:b/>
          <w:sz w:val="22"/>
          <w:szCs w:val="24"/>
          <w:lang w:eastAsia="cs-CZ"/>
        </w:rPr>
        <w:t>20</w:t>
      </w:r>
      <w:r w:rsidRPr="00732CD8">
        <w:rPr>
          <w:rFonts w:ascii="Times New Roman" w:hAnsi="Times New Roman"/>
          <w:sz w:val="22"/>
          <w:szCs w:val="24"/>
          <w:lang w:eastAsia="cs-CZ"/>
        </w:rPr>
        <w:t xml:space="preserve"> vecí  a  preto nie  je  možné  sa  k nim  vyjadriť.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ind w:firstLine="708"/>
        <w:jc w:val="both"/>
        <w:rPr>
          <w:rFonts w:ascii="Times New Roman" w:hAnsi="Times New Roman"/>
          <w:sz w:val="22"/>
          <w:szCs w:val="24"/>
          <w:lang w:eastAsia="cs-CZ"/>
        </w:rPr>
      </w:pPr>
      <w:r w:rsidRPr="00732CD8">
        <w:rPr>
          <w:rFonts w:ascii="Times New Roman" w:hAnsi="Times New Roman"/>
          <w:sz w:val="22"/>
          <w:szCs w:val="24"/>
          <w:lang w:eastAsia="cs-CZ"/>
        </w:rPr>
        <w:t>Podľa  vyjadrenia  predsedníčky  Krajského súdu v Prešove, žiadatelia  o vydanie  súhlasu  na Použitie ITP  nepredkladajú informácie o tom,  či ITP boli použité ako dôkazy v trestnom konaní.</w:t>
      </w:r>
    </w:p>
    <w:p w:rsidR="00732CD8" w:rsidRPr="00732CD8" w:rsidP="00732CD8">
      <w:pPr>
        <w:bidi w:val="0"/>
        <w:spacing w:after="0" w:line="240" w:lineRule="auto"/>
        <w:ind w:firstLine="708"/>
        <w:jc w:val="both"/>
        <w:rPr>
          <w:rFonts w:ascii="Times New Roman" w:hAnsi="Times New Roman"/>
          <w:sz w:val="22"/>
          <w:szCs w:val="24"/>
          <w:lang w:eastAsia="cs-CZ"/>
        </w:rPr>
      </w:pPr>
      <w:r w:rsidRPr="00732CD8">
        <w:rPr>
          <w:rFonts w:ascii="Times New Roman" w:hAnsi="Times New Roman"/>
          <w:sz w:val="22"/>
          <w:szCs w:val="24"/>
          <w:lang w:eastAsia="cs-CZ"/>
        </w:rPr>
        <w:t>Predseda</w:t>
      </w:r>
      <w:r w:rsidRPr="00732CD8">
        <w:rPr>
          <w:rFonts w:ascii="Times New Roman" w:hAnsi="Times New Roman"/>
          <w:szCs w:val="24"/>
          <w:lang w:eastAsia="cs-CZ"/>
        </w:rPr>
        <w:t xml:space="preserve"> </w:t>
      </w:r>
      <w:r w:rsidRPr="00732CD8">
        <w:rPr>
          <w:rFonts w:ascii="Times New Roman" w:hAnsi="Times New Roman"/>
          <w:sz w:val="22"/>
          <w:szCs w:val="24"/>
          <w:lang w:eastAsia="cs-CZ"/>
        </w:rPr>
        <w:t xml:space="preserve">Krajského súdu v Košiciach vo svojej informácii oznámil, že krajský súd vydal aj tri uznesenia  na základe žiadostí sudcov prípravného konania Okresného súdu Košice I,  o vylúčení z  vykonávania  úkonov v  súvislosti  s  návrhom na vydanie príkazu na odpočúvanie a záznam  telekomunikačnej  prevádzky pri rozhodovaní o návrhu krajského prokurátora.   </w:t>
      </w: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ind w:firstLine="708"/>
        <w:jc w:val="both"/>
        <w:rPr>
          <w:rFonts w:ascii="Times New Roman" w:hAnsi="Times New Roman"/>
          <w:b/>
          <w:szCs w:val="24"/>
          <w:lang w:eastAsia="cs-CZ"/>
        </w:rPr>
      </w:pPr>
      <w:r w:rsidRPr="00732CD8">
        <w:rPr>
          <w:rFonts w:ascii="Times New Roman" w:hAnsi="Times New Roman"/>
          <w:b/>
          <w:sz w:val="22"/>
          <w:szCs w:val="24"/>
          <w:lang w:eastAsia="cs-CZ"/>
        </w:rPr>
        <w:t>Všetky</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vecne</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príslušné</w:t>
      </w:r>
      <w:r w:rsidRPr="00732CD8">
        <w:rPr>
          <w:rFonts w:ascii="Times New Roman" w:hAnsi="Times New Roman"/>
          <w:sz w:val="22"/>
          <w:szCs w:val="24"/>
          <w:lang w:eastAsia="cs-CZ"/>
        </w:rPr>
        <w:t xml:space="preserve"> </w:t>
      </w:r>
      <w:r w:rsidRPr="00732CD8">
        <w:rPr>
          <w:rFonts w:ascii="Times New Roman" w:hAnsi="Times New Roman"/>
          <w:b/>
          <w:sz w:val="22"/>
          <w:szCs w:val="24"/>
          <w:lang w:eastAsia="cs-CZ"/>
        </w:rPr>
        <w:t>súdy</w:t>
      </w:r>
      <w:r w:rsidRPr="00732CD8">
        <w:rPr>
          <w:rFonts w:ascii="Times New Roman" w:hAnsi="Times New Roman"/>
          <w:sz w:val="22"/>
          <w:szCs w:val="24"/>
          <w:lang w:eastAsia="cs-CZ"/>
        </w:rPr>
        <w:t>, ktoré podľa zákona č. 166/2003 Z. z. v platnom znení konajú o ITP,  pri vedení evidencie postupujú jednotne  podľa § 34 – vyhlášky Ministerstva spravodlivosti  z 11. novembra 2005  č. 543/2005 o  Spravovacom a kancelárskom poriadku pre okresné, krajské, Špeciálny súd a vojenské súdy, v  znení vyhlášky Ministerstva spravodlivosti   č. 417/2006  Z. z.</w:t>
      </w:r>
      <w:r w:rsidRPr="00732CD8">
        <w:rPr>
          <w:rFonts w:ascii="Times New Roman" w:hAnsi="Times New Roman"/>
          <w:szCs w:val="24"/>
          <w:lang w:eastAsia="cs-CZ"/>
        </w:rPr>
        <w:t xml:space="preserve">  </w:t>
      </w:r>
      <w:r w:rsidRPr="00732CD8">
        <w:rPr>
          <w:rFonts w:ascii="Times New Roman" w:hAnsi="Times New Roman"/>
          <w:b/>
          <w:szCs w:val="24"/>
          <w:lang w:eastAsia="cs-CZ"/>
        </w:rPr>
        <w:t xml:space="preserve">       </w:t>
      </w:r>
    </w:p>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 xml:space="preserve">                                                           </w:t>
      </w:r>
      <w:r w:rsidRPr="00732CD8">
        <w:rPr>
          <w:rFonts w:ascii="Times New Roman" w:hAnsi="Times New Roman"/>
          <w:szCs w:val="24"/>
          <w:lang w:eastAsia="cs-CZ"/>
        </w:rPr>
        <w:t xml:space="preserve">  </w:t>
      </w:r>
      <w:r w:rsidRPr="00732CD8">
        <w:rPr>
          <w:rFonts w:ascii="Times New Roman" w:hAnsi="Times New Roman"/>
          <w:b/>
          <w:szCs w:val="24"/>
          <w:lang w:eastAsia="cs-CZ"/>
        </w:rPr>
        <w:t xml:space="preserve">          </w:t>
      </w:r>
    </w:p>
    <w:p w:rsidR="00732CD8" w:rsidRPr="00732CD8" w:rsidP="00732CD8">
      <w:pPr>
        <w:bidi w:val="0"/>
        <w:spacing w:after="0" w:line="240" w:lineRule="auto"/>
        <w:ind w:firstLine="708"/>
        <w:jc w:val="both"/>
        <w:rPr>
          <w:rFonts w:ascii="Times New Roman" w:hAnsi="Times New Roman"/>
          <w:b/>
          <w:szCs w:val="24"/>
          <w:lang w:eastAsia="cs-CZ"/>
        </w:rPr>
      </w:pPr>
      <w:r w:rsidRPr="00732CD8">
        <w:rPr>
          <w:rFonts w:ascii="Times New Roman" w:hAnsi="Times New Roman"/>
          <w:b/>
          <w:sz w:val="22"/>
          <w:szCs w:val="24"/>
          <w:lang w:eastAsia="cs-CZ"/>
        </w:rPr>
        <w:t xml:space="preserve">Súdy vecne príslušné na konanie o použití ITP podľa  § 2 zákona č. 166/2003 Z. z. v platnom znení, vrátane Krajského súdu v Prešove v roku 2011 nezistili nezákonné použitie ITP. </w:t>
      </w:r>
    </w:p>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 xml:space="preserve">        </w:t>
      </w:r>
    </w:p>
    <w:p w:rsidR="00732CD8" w:rsidRPr="00732CD8" w:rsidP="00732CD8">
      <w:pPr>
        <w:bidi w:val="0"/>
        <w:spacing w:after="0" w:line="240" w:lineRule="auto"/>
        <w:jc w:val="both"/>
        <w:rPr>
          <w:rFonts w:ascii="Times New Roman" w:hAnsi="Times New Roman"/>
          <w:b/>
          <w:szCs w:val="24"/>
          <w:lang w:eastAsia="cs-CZ"/>
        </w:rPr>
      </w:pPr>
      <w:r w:rsidRPr="00732CD8">
        <w:rPr>
          <w:rFonts w:ascii="Times New Roman" w:hAnsi="Times New Roman"/>
          <w:b/>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r w:rsidRPr="00732CD8">
        <w:rPr>
          <w:rFonts w:ascii="Times New Roman" w:hAnsi="Times New Roman"/>
          <w:szCs w:val="24"/>
          <w:lang w:eastAsia="cs-CZ"/>
        </w:rPr>
        <w:t xml:space="preserve">                              </w:t>
      </w: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jc w:val="both"/>
        <w:rPr>
          <w:rFonts w:ascii="Times New Roman" w:hAnsi="Times New Roman"/>
          <w:szCs w:val="24"/>
          <w:lang w:eastAsia="cs-CZ"/>
        </w:rPr>
      </w:pPr>
    </w:p>
    <w:p w:rsidR="00732CD8" w:rsidRPr="00732CD8" w:rsidP="00732CD8">
      <w:pPr>
        <w:bidi w:val="0"/>
        <w:spacing w:after="0" w:line="240" w:lineRule="auto"/>
        <w:jc w:val="both"/>
        <w:rPr>
          <w:rFonts w:ascii="Times New Roman" w:hAnsi="Times New Roman"/>
          <w:b/>
          <w:szCs w:val="24"/>
          <w:lang w:eastAsia="cs-CZ"/>
        </w:rPr>
      </w:pPr>
    </w:p>
    <w:p w:rsidR="00732CD8" w:rsidRPr="00732CD8" w:rsidP="00732CD8">
      <w:pPr>
        <w:bidi w:val="0"/>
        <w:spacing w:after="0" w:line="240" w:lineRule="auto"/>
        <w:jc w:val="both"/>
        <w:rPr>
          <w:rFonts w:ascii="Times New Roman" w:hAnsi="Times New Roman"/>
          <w:b/>
          <w:szCs w:val="24"/>
          <w:lang w:eastAsia="cs-CZ"/>
        </w:rPr>
      </w:pPr>
    </w:p>
    <w:p w:rsidR="00732CD8" w:rsidRPr="00732CD8" w:rsidP="00732CD8">
      <w:pPr>
        <w:bidi w:val="0"/>
        <w:spacing w:after="0" w:line="240" w:lineRule="auto"/>
        <w:jc w:val="both"/>
        <w:rPr>
          <w:rFonts w:ascii="Times New Roman" w:hAnsi="Times New Roman"/>
          <w:b/>
          <w:szCs w:val="24"/>
          <w:lang w:eastAsia="cs-CZ"/>
        </w:rPr>
      </w:pPr>
    </w:p>
    <w:p w:rsidR="00732CD8" w:rsidRPr="00732CD8" w:rsidP="00732CD8">
      <w:pPr>
        <w:bidi w:val="0"/>
        <w:spacing w:after="0" w:line="240" w:lineRule="auto"/>
        <w:jc w:val="both"/>
        <w:rPr>
          <w:rFonts w:ascii="Times New Roman" w:hAnsi="Times New Roman"/>
          <w:b/>
          <w:szCs w:val="24"/>
          <w:lang w:eastAsia="cs-CZ"/>
        </w:rPr>
      </w:pPr>
    </w:p>
    <w:p w:rsidR="00732CD8" w:rsidRPr="00732CD8" w:rsidP="00732CD8">
      <w:pPr>
        <w:bidi w:val="0"/>
        <w:spacing w:after="0" w:line="240" w:lineRule="auto"/>
        <w:jc w:val="both"/>
        <w:rPr>
          <w:rFonts w:ascii="Times New Roman" w:hAnsi="Times New Roman"/>
          <w:b/>
          <w:szCs w:val="24"/>
          <w:lang w:eastAsia="cs-CZ"/>
        </w:rPr>
      </w:pPr>
    </w:p>
    <w:p w:rsidR="00732CD8" w:rsidRPr="00732CD8" w:rsidP="00732CD8">
      <w:pPr>
        <w:bidi w:val="0"/>
        <w:spacing w:after="0" w:line="240" w:lineRule="auto"/>
        <w:jc w:val="both"/>
        <w:rPr>
          <w:rFonts w:ascii="Times New Roman" w:hAnsi="Times New Roman"/>
          <w:b/>
          <w:szCs w:val="24"/>
          <w:lang w:eastAsia="cs-CZ"/>
        </w:rPr>
      </w:pPr>
    </w:p>
    <w:p w:rsidR="00732CD8" w:rsidRPr="00732CD8" w:rsidP="00732CD8">
      <w:pPr>
        <w:bidi w:val="0"/>
        <w:spacing w:after="0" w:line="240" w:lineRule="auto"/>
        <w:jc w:val="both"/>
        <w:rPr>
          <w:rFonts w:ascii="Arial" w:hAnsi="Arial"/>
          <w:b/>
          <w:szCs w:val="24"/>
          <w:lang w:eastAsia="cs-CZ"/>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keepNext/>
        <w:bidi w:val="0"/>
        <w:spacing w:before="40" w:after="40" w:line="240" w:lineRule="auto"/>
        <w:jc w:val="center"/>
        <w:outlineLvl w:val="3"/>
        <w:rPr>
          <w:rFonts w:ascii="Arial" w:hAnsi="Arial"/>
          <w:b/>
          <w:szCs w:val="20"/>
          <w:lang w:eastAsia="sk-SK"/>
        </w:rPr>
      </w:pPr>
    </w:p>
    <w:p w:rsidR="00732CD8" w:rsidRPr="00732CD8" w:rsidP="00732CD8">
      <w:pPr>
        <w:keepNext/>
        <w:bidi w:val="0"/>
        <w:spacing w:before="40" w:after="40" w:line="240" w:lineRule="auto"/>
        <w:jc w:val="center"/>
        <w:outlineLvl w:val="3"/>
        <w:rPr>
          <w:rFonts w:ascii="Arial" w:hAnsi="Arial"/>
          <w:b/>
          <w:szCs w:val="20"/>
          <w:lang w:eastAsia="sk-SK"/>
        </w:rPr>
      </w:pPr>
      <w:r w:rsidRPr="00732CD8">
        <w:rPr>
          <w:rFonts w:ascii="Arial" w:hAnsi="Arial"/>
          <w:b/>
          <w:szCs w:val="20"/>
          <w:lang w:eastAsia="sk-SK"/>
        </w:rPr>
        <w:t>Návrh</w:t>
      </w:r>
    </w:p>
    <w:p w:rsidR="00732CD8" w:rsidRPr="00732CD8" w:rsidP="00732CD8">
      <w:pPr>
        <w:bidi w:val="0"/>
        <w:spacing w:after="0" w:line="240" w:lineRule="auto"/>
        <w:jc w:val="center"/>
        <w:rPr>
          <w:rFonts w:ascii="Times New Roman" w:hAnsi="Times New Roman"/>
          <w:szCs w:val="24"/>
          <w:lang w:eastAsia="sk-SK"/>
        </w:rPr>
      </w:pPr>
    </w:p>
    <w:p w:rsidR="00732CD8" w:rsidRPr="00732CD8" w:rsidP="00732CD8">
      <w:pPr>
        <w:bidi w:val="0"/>
        <w:spacing w:after="0" w:line="240" w:lineRule="auto"/>
        <w:jc w:val="center"/>
        <w:rPr>
          <w:rFonts w:ascii="Times New Roman" w:hAnsi="Times New Roman"/>
          <w:szCs w:val="24"/>
          <w:lang w:eastAsia="sk-SK"/>
        </w:rPr>
      </w:pPr>
    </w:p>
    <w:p w:rsidR="00732CD8" w:rsidRPr="00732CD8" w:rsidP="00732CD8">
      <w:pPr>
        <w:bidi w:val="0"/>
        <w:spacing w:after="0" w:line="240" w:lineRule="auto"/>
        <w:jc w:val="center"/>
        <w:rPr>
          <w:rFonts w:ascii="Times New Roman" w:hAnsi="Times New Roman"/>
          <w:szCs w:val="24"/>
          <w:lang w:eastAsia="sk-SK"/>
        </w:rPr>
      </w:pPr>
    </w:p>
    <w:p w:rsidR="00732CD8" w:rsidRPr="00732CD8" w:rsidP="00732CD8">
      <w:pPr>
        <w:bidi w:val="0"/>
        <w:spacing w:after="0" w:line="240" w:lineRule="auto"/>
        <w:jc w:val="center"/>
        <w:rPr>
          <w:rFonts w:ascii="Times New Roman" w:hAnsi="Times New Roman"/>
          <w:szCs w:val="24"/>
          <w:lang w:eastAsia="sk-SK"/>
        </w:rPr>
      </w:pPr>
    </w:p>
    <w:p w:rsidR="00732CD8" w:rsidRPr="00732CD8" w:rsidP="00732CD8">
      <w:pPr>
        <w:bidi w:val="0"/>
        <w:spacing w:after="0" w:line="240" w:lineRule="auto"/>
        <w:jc w:val="center"/>
        <w:rPr>
          <w:rFonts w:ascii="Times New Roman" w:hAnsi="Times New Roman"/>
          <w:szCs w:val="24"/>
          <w:lang w:eastAsia="sk-SK"/>
        </w:rPr>
      </w:pPr>
    </w:p>
    <w:p w:rsidR="00732CD8" w:rsidRPr="00732CD8" w:rsidP="00732CD8">
      <w:pPr>
        <w:keepNext/>
        <w:tabs>
          <w:tab w:val="left" w:pos="708"/>
        </w:tabs>
        <w:bidi w:val="0"/>
        <w:spacing w:before="80" w:after="40" w:line="240" w:lineRule="auto"/>
        <w:ind w:left="3569"/>
        <w:outlineLvl w:val="2"/>
        <w:rPr>
          <w:rFonts w:ascii="Arial" w:hAnsi="Arial"/>
          <w:b/>
          <w:i/>
          <w:szCs w:val="20"/>
          <w:lang w:eastAsia="sk-SK"/>
        </w:rPr>
      </w:pPr>
      <w:r w:rsidRPr="00732CD8">
        <w:rPr>
          <w:rFonts w:ascii="Arial" w:hAnsi="Arial"/>
          <w:b/>
          <w:i/>
          <w:szCs w:val="20"/>
          <w:lang w:eastAsia="sk-SK"/>
        </w:rPr>
        <w:t xml:space="preserve">    UZNESENIE</w:t>
      </w:r>
    </w:p>
    <w:p w:rsidR="00732CD8" w:rsidRPr="00732CD8" w:rsidP="00732CD8">
      <w:pPr>
        <w:bidi w:val="0"/>
        <w:spacing w:after="0" w:line="240" w:lineRule="auto"/>
        <w:jc w:val="center"/>
        <w:rPr>
          <w:rFonts w:ascii="Times New Roman" w:hAnsi="Times New Roman"/>
          <w:sz w:val="28"/>
          <w:szCs w:val="24"/>
          <w:lang w:eastAsia="sk-SK"/>
        </w:rPr>
      </w:pPr>
    </w:p>
    <w:p w:rsidR="00732CD8" w:rsidRPr="00732CD8" w:rsidP="00732CD8">
      <w:pPr>
        <w:bidi w:val="0"/>
        <w:spacing w:after="0" w:line="240" w:lineRule="auto"/>
        <w:jc w:val="center"/>
        <w:rPr>
          <w:rFonts w:ascii="Times New Roman" w:hAnsi="Times New Roman"/>
          <w:szCs w:val="24"/>
          <w:lang w:eastAsia="sk-SK"/>
        </w:rPr>
      </w:pPr>
      <w:r w:rsidRPr="00732CD8">
        <w:rPr>
          <w:rFonts w:ascii="Times New Roman" w:hAnsi="Times New Roman"/>
          <w:sz w:val="28"/>
          <w:szCs w:val="24"/>
          <w:lang w:eastAsia="sk-SK"/>
        </w:rPr>
        <w:t>NÁRODNEJ RADY SLOVENSKEJ REPUBLIKY</w:t>
      </w:r>
    </w:p>
    <w:p w:rsidR="00732CD8" w:rsidRPr="00732CD8" w:rsidP="00732CD8">
      <w:pPr>
        <w:bidi w:val="0"/>
        <w:spacing w:after="0" w:line="240" w:lineRule="auto"/>
        <w:jc w:val="center"/>
        <w:rPr>
          <w:rFonts w:ascii="Times New Roman" w:hAnsi="Times New Roman"/>
          <w:szCs w:val="24"/>
          <w:lang w:eastAsia="sk-SK"/>
        </w:rPr>
      </w:pPr>
      <w:r w:rsidRPr="00732CD8">
        <w:rPr>
          <w:rFonts w:ascii="Times New Roman" w:hAnsi="Times New Roman"/>
          <w:szCs w:val="24"/>
          <w:lang w:eastAsia="sk-SK"/>
        </w:rPr>
        <w:t>z ..........2012</w:t>
      </w:r>
    </w:p>
    <w:p w:rsidR="00732CD8" w:rsidRPr="00732CD8" w:rsidP="00732CD8">
      <w:pPr>
        <w:widowControl w:val="0"/>
        <w:shd w:val="clear" w:color="auto" w:fill="FFFFFF"/>
        <w:tabs>
          <w:tab w:val="left" w:pos="5580"/>
        </w:tabs>
        <w:bidi w:val="0"/>
        <w:snapToGrid w:val="0"/>
        <w:spacing w:after="0" w:line="240" w:lineRule="auto"/>
        <w:ind w:left="369"/>
        <w:jc w:val="both"/>
        <w:rPr>
          <w:rFonts w:ascii="Times New Roman" w:hAnsi="Times New Roman"/>
          <w:szCs w:val="20"/>
          <w:lang w:eastAsia="sk-SK"/>
        </w:rPr>
      </w:pPr>
    </w:p>
    <w:p w:rsidR="00732CD8" w:rsidRPr="00732CD8" w:rsidP="00732CD8">
      <w:pPr>
        <w:widowControl w:val="0"/>
        <w:shd w:val="clear" w:color="auto" w:fill="FFFFFF"/>
        <w:tabs>
          <w:tab w:val="left" w:pos="5580"/>
        </w:tabs>
        <w:bidi w:val="0"/>
        <w:snapToGrid w:val="0"/>
        <w:spacing w:after="0" w:line="240" w:lineRule="auto"/>
        <w:jc w:val="both"/>
        <w:rPr>
          <w:rFonts w:ascii="Times New Roman" w:hAnsi="Times New Roman"/>
          <w:szCs w:val="20"/>
          <w:lang w:eastAsia="sk-SK"/>
        </w:rPr>
      </w:pPr>
    </w:p>
    <w:p w:rsidR="00732CD8" w:rsidRPr="00732CD8" w:rsidP="00732CD8">
      <w:pPr>
        <w:widowControl w:val="0"/>
        <w:shd w:val="clear" w:color="auto" w:fill="FFFFFF"/>
        <w:tabs>
          <w:tab w:val="left" w:pos="5580"/>
        </w:tabs>
        <w:bidi w:val="0"/>
        <w:snapToGrid w:val="0"/>
        <w:spacing w:after="0" w:line="240" w:lineRule="auto"/>
        <w:jc w:val="both"/>
        <w:rPr>
          <w:rFonts w:ascii="Times New Roman" w:hAnsi="Times New Roman"/>
          <w:bCs/>
          <w:szCs w:val="20"/>
          <w:lang w:eastAsia="sk-SK"/>
        </w:rPr>
      </w:pPr>
      <w:r w:rsidRPr="00732CD8">
        <w:rPr>
          <w:rFonts w:ascii="Times New Roman" w:hAnsi="Times New Roman"/>
          <w:szCs w:val="20"/>
          <w:lang w:eastAsia="sk-SK"/>
        </w:rPr>
        <w:t>k s</w:t>
      </w:r>
      <w:r w:rsidRPr="00732CD8">
        <w:rPr>
          <w:rFonts w:ascii="Times New Roman" w:hAnsi="Times New Roman"/>
          <w:bCs/>
          <w:szCs w:val="20"/>
          <w:lang w:eastAsia="sk-SK"/>
        </w:rPr>
        <w:t>práve Výboru Národnej rady Slovenskej republiky pre obranu a bezpečnosť o</w:t>
      </w:r>
      <w:r w:rsidR="008A7FB1">
        <w:rPr>
          <w:rFonts w:ascii="Times New Roman" w:hAnsi="Times New Roman"/>
          <w:bCs/>
          <w:szCs w:val="20"/>
          <w:lang w:eastAsia="sk-SK"/>
        </w:rPr>
        <w:t xml:space="preserve"> stave použitia</w:t>
      </w:r>
      <w:r w:rsidRPr="00732CD8">
        <w:rPr>
          <w:rFonts w:ascii="Times New Roman" w:hAnsi="Times New Roman"/>
          <w:bCs/>
          <w:szCs w:val="20"/>
          <w:lang w:eastAsia="sk-SK"/>
        </w:rPr>
        <w:t xml:space="preserve"> informačno-technických prostriedkov za rok 2011 </w:t>
      </w:r>
      <w:r w:rsidRPr="00732CD8">
        <w:rPr>
          <w:rFonts w:ascii="Times New Roman" w:hAnsi="Times New Roman"/>
          <w:b/>
          <w:bCs/>
          <w:szCs w:val="20"/>
          <w:lang w:eastAsia="sk-SK"/>
        </w:rPr>
        <w:t>(tlač</w:t>
      </w:r>
      <w:r w:rsidRPr="00732CD8">
        <w:rPr>
          <w:rFonts w:ascii="Times New Roman" w:hAnsi="Times New Roman"/>
          <w:b/>
          <w:bCs/>
          <w:color w:val="FF0000"/>
          <w:szCs w:val="20"/>
          <w:lang w:eastAsia="sk-SK"/>
        </w:rPr>
        <w:t xml:space="preserve"> </w:t>
      </w:r>
      <w:r w:rsidR="008A7FB1">
        <w:rPr>
          <w:rFonts w:ascii="Times New Roman" w:hAnsi="Times New Roman"/>
          <w:b/>
          <w:bCs/>
          <w:szCs w:val="20"/>
          <w:lang w:eastAsia="sk-SK"/>
        </w:rPr>
        <w:t>50</w:t>
      </w:r>
      <w:r w:rsidRPr="00732CD8">
        <w:rPr>
          <w:rFonts w:ascii="Times New Roman" w:hAnsi="Times New Roman"/>
          <w:b/>
          <w:bCs/>
          <w:szCs w:val="20"/>
          <w:lang w:eastAsia="sk-SK"/>
        </w:rPr>
        <w:t>)</w:t>
      </w:r>
    </w:p>
    <w:p w:rsidR="00732CD8" w:rsidRPr="00732CD8" w:rsidP="00732CD8">
      <w:pPr>
        <w:widowControl w:val="0"/>
        <w:shd w:val="clear" w:color="auto" w:fill="FFFFFF"/>
        <w:tabs>
          <w:tab w:val="left" w:pos="5580"/>
        </w:tabs>
        <w:bidi w:val="0"/>
        <w:snapToGrid w:val="0"/>
        <w:spacing w:after="0" w:line="240" w:lineRule="auto"/>
        <w:ind w:left="369"/>
        <w:jc w:val="both"/>
        <w:rPr>
          <w:rFonts w:ascii="Times New Roman" w:hAnsi="Times New Roman"/>
          <w:bCs/>
          <w:szCs w:val="20"/>
          <w:lang w:eastAsia="sk-SK"/>
        </w:rPr>
      </w:pPr>
    </w:p>
    <w:p w:rsidR="00732CD8" w:rsidRPr="00732CD8" w:rsidP="00732CD8">
      <w:pPr>
        <w:widowControl w:val="0"/>
        <w:shd w:val="clear" w:color="auto" w:fill="FFFFFF"/>
        <w:bidi w:val="0"/>
        <w:snapToGrid w:val="0"/>
        <w:spacing w:after="0" w:line="240" w:lineRule="auto"/>
        <w:ind w:left="369"/>
        <w:rPr>
          <w:rFonts w:ascii="Times New Roman" w:hAnsi="Times New Roman"/>
          <w:b/>
          <w:szCs w:val="20"/>
          <w:lang w:eastAsia="sk-SK"/>
        </w:rPr>
      </w:pPr>
      <w:r w:rsidRPr="00732CD8">
        <w:rPr>
          <w:rFonts w:ascii="Times New Roman" w:hAnsi="Times New Roman"/>
          <w:b/>
          <w:szCs w:val="20"/>
          <w:lang w:eastAsia="sk-SK"/>
        </w:rPr>
        <w:t xml:space="preserve"> </w:t>
      </w: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 w:val="28"/>
          <w:szCs w:val="24"/>
          <w:lang w:eastAsia="sk-SK"/>
        </w:rPr>
      </w:pPr>
      <w:r w:rsidRPr="00732CD8">
        <w:rPr>
          <w:rFonts w:ascii="Times New Roman" w:hAnsi="Times New Roman"/>
          <w:szCs w:val="24"/>
          <w:lang w:eastAsia="sk-SK"/>
        </w:rPr>
        <w:t xml:space="preserve"> </w:t>
        <w:tab/>
      </w:r>
      <w:r w:rsidRPr="00732CD8">
        <w:rPr>
          <w:rFonts w:ascii="Times New Roman" w:hAnsi="Times New Roman"/>
          <w:b/>
          <w:sz w:val="28"/>
          <w:szCs w:val="24"/>
          <w:lang w:eastAsia="sk-SK"/>
        </w:rPr>
        <w:t>Národná rada Slovenskej republiky</w:t>
      </w: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b/>
          <w:sz w:val="28"/>
          <w:szCs w:val="24"/>
          <w:lang w:eastAsia="sk-SK"/>
        </w:rPr>
      </w:pPr>
      <w:r w:rsidRPr="00732CD8">
        <w:rPr>
          <w:rFonts w:ascii="Times New Roman" w:hAnsi="Times New Roman"/>
          <w:szCs w:val="24"/>
          <w:lang w:eastAsia="sk-SK"/>
        </w:rPr>
        <w:t xml:space="preserve"> </w:t>
        <w:tab/>
        <w:t xml:space="preserve"> </w:t>
      </w:r>
      <w:r w:rsidRPr="00732CD8">
        <w:rPr>
          <w:rFonts w:ascii="Times New Roman" w:hAnsi="Times New Roman"/>
          <w:b/>
          <w:spacing w:val="40"/>
          <w:sz w:val="28"/>
          <w:szCs w:val="24"/>
          <w:lang w:eastAsia="sk-SK"/>
        </w:rPr>
        <w:t>berie  na vedomie</w:t>
      </w:r>
    </w:p>
    <w:p w:rsidR="00732CD8" w:rsidRPr="00732CD8" w:rsidP="00732CD8">
      <w:pPr>
        <w:widowControl w:val="0"/>
        <w:shd w:val="clear" w:color="auto" w:fill="FFFFFF"/>
        <w:tabs>
          <w:tab w:val="left" w:pos="5580"/>
        </w:tabs>
        <w:bidi w:val="0"/>
        <w:snapToGrid w:val="0"/>
        <w:spacing w:after="0" w:line="240" w:lineRule="auto"/>
        <w:jc w:val="both"/>
        <w:rPr>
          <w:rFonts w:ascii="Times New Roman" w:hAnsi="Times New Roman"/>
          <w:szCs w:val="20"/>
          <w:lang w:eastAsia="sk-SK"/>
        </w:rPr>
      </w:pPr>
    </w:p>
    <w:p w:rsidR="00732CD8" w:rsidRPr="00732CD8" w:rsidP="00732CD8">
      <w:pPr>
        <w:widowControl w:val="0"/>
        <w:shd w:val="clear" w:color="auto" w:fill="FFFFFF"/>
        <w:tabs>
          <w:tab w:val="left" w:pos="5580"/>
        </w:tabs>
        <w:bidi w:val="0"/>
        <w:snapToGrid w:val="0"/>
        <w:spacing w:after="0" w:line="240" w:lineRule="auto"/>
        <w:jc w:val="both"/>
        <w:rPr>
          <w:rFonts w:ascii="Times New Roman" w:hAnsi="Times New Roman"/>
          <w:szCs w:val="20"/>
          <w:lang w:eastAsia="sk-SK"/>
        </w:rPr>
      </w:pPr>
      <w:r w:rsidRPr="00732CD8">
        <w:rPr>
          <w:rFonts w:ascii="Times New Roman" w:hAnsi="Times New Roman"/>
          <w:szCs w:val="20"/>
          <w:lang w:eastAsia="sk-SK"/>
        </w:rPr>
        <w:t xml:space="preserve">            spr</w:t>
      </w:r>
      <w:r w:rsidRPr="00732CD8">
        <w:rPr>
          <w:rFonts w:ascii="Times New Roman" w:hAnsi="Times New Roman"/>
          <w:bCs/>
          <w:szCs w:val="20"/>
          <w:lang w:eastAsia="sk-SK"/>
        </w:rPr>
        <w:t>ávu o Výboru Národnej rady Slovenskej republiky pre obranu a bezpečnosť o</w:t>
      </w:r>
      <w:r w:rsidR="008A7FB1">
        <w:rPr>
          <w:rFonts w:ascii="Times New Roman" w:hAnsi="Times New Roman"/>
          <w:bCs/>
          <w:szCs w:val="20"/>
          <w:lang w:eastAsia="sk-SK"/>
        </w:rPr>
        <w:t xml:space="preserve"> stave použitia</w:t>
      </w:r>
      <w:r w:rsidRPr="00732CD8">
        <w:rPr>
          <w:rFonts w:ascii="Times New Roman" w:hAnsi="Times New Roman"/>
          <w:bCs/>
          <w:szCs w:val="20"/>
          <w:lang w:eastAsia="sk-SK"/>
        </w:rPr>
        <w:t xml:space="preserve"> informačno-technických prostriedkov za rok 2011 (</w:t>
      </w:r>
      <w:r w:rsidR="008A7FB1">
        <w:rPr>
          <w:rFonts w:ascii="Times New Roman" w:hAnsi="Times New Roman"/>
          <w:b/>
          <w:bCs/>
          <w:szCs w:val="20"/>
          <w:lang w:eastAsia="sk-SK"/>
        </w:rPr>
        <w:t>tlač 50</w:t>
      </w:r>
      <w:r w:rsidRPr="00732CD8">
        <w:rPr>
          <w:rFonts w:ascii="Times New Roman" w:hAnsi="Times New Roman"/>
          <w:bCs/>
          <w:szCs w:val="20"/>
          <w:lang w:eastAsia="sk-SK"/>
        </w:rPr>
        <w:t>)</w:t>
      </w:r>
    </w:p>
    <w:p w:rsidR="00732CD8" w:rsidRPr="00732CD8" w:rsidP="00732CD8">
      <w:pPr>
        <w:widowControl w:val="0"/>
        <w:shd w:val="clear" w:color="auto" w:fill="FFFFFF"/>
        <w:tabs>
          <w:tab w:val="left" w:pos="5580"/>
        </w:tabs>
        <w:bidi w:val="0"/>
        <w:snapToGrid w:val="0"/>
        <w:spacing w:after="0" w:line="240" w:lineRule="auto"/>
        <w:ind w:left="369"/>
        <w:jc w:val="both"/>
        <w:rPr>
          <w:rFonts w:ascii="Times New Roman" w:hAnsi="Times New Roman"/>
          <w:bCs/>
          <w:szCs w:val="20"/>
          <w:lang w:eastAsia="sk-SK"/>
        </w:rPr>
      </w:pPr>
    </w:p>
    <w:p w:rsidR="00732CD8" w:rsidRPr="00732CD8" w:rsidP="00732CD8">
      <w:pPr>
        <w:widowControl w:val="0"/>
        <w:shd w:val="clear" w:color="auto" w:fill="FFFFFF"/>
        <w:tabs>
          <w:tab w:val="left" w:pos="5580"/>
        </w:tabs>
        <w:bidi w:val="0"/>
        <w:snapToGrid w:val="0"/>
        <w:spacing w:after="0" w:line="240" w:lineRule="auto"/>
        <w:ind w:left="369"/>
        <w:jc w:val="both"/>
        <w:rPr>
          <w:rFonts w:ascii="Times New Roman" w:hAnsi="Times New Roman"/>
          <w:bCs/>
          <w:szCs w:val="20"/>
          <w:lang w:eastAsia="sk-SK"/>
        </w:rPr>
      </w:pPr>
    </w:p>
    <w:p w:rsidR="00732CD8" w:rsidRPr="00732CD8" w:rsidP="00732CD8">
      <w:pPr>
        <w:widowControl w:val="0"/>
        <w:shd w:val="clear" w:color="auto" w:fill="FFFFFF"/>
        <w:bidi w:val="0"/>
        <w:snapToGrid w:val="0"/>
        <w:spacing w:after="0" w:line="240" w:lineRule="auto"/>
        <w:ind w:left="369"/>
        <w:jc w:val="both"/>
        <w:rPr>
          <w:rFonts w:ascii="Times New Roman" w:hAnsi="Times New Roman"/>
          <w:szCs w:val="20"/>
          <w:lang w:eastAsia="sk-SK"/>
        </w:rPr>
      </w:pPr>
    </w:p>
    <w:p w:rsidR="00732CD8" w:rsidRPr="00732CD8" w:rsidP="00732CD8">
      <w:pPr>
        <w:bidi w:val="0"/>
        <w:spacing w:after="0" w:line="240" w:lineRule="auto"/>
        <w:rPr>
          <w:rFonts w:ascii="Times New Roman" w:hAnsi="Times New Roman"/>
          <w:szCs w:val="24"/>
          <w:lang w:eastAsia="sk-SK"/>
        </w:rPr>
      </w:pPr>
      <w:r w:rsidRPr="00732CD8">
        <w:rPr>
          <w:rFonts w:ascii="Times New Roman" w:hAnsi="Times New Roman"/>
          <w:szCs w:val="24"/>
          <w:lang w:eastAsia="sk-SK"/>
        </w:rPr>
        <w:tab/>
      </w: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spacing w:after="0" w:line="240" w:lineRule="auto"/>
        <w:jc w:val="both"/>
        <w:rPr>
          <w:rFonts w:ascii="Times New Roman" w:hAnsi="Times New Roman"/>
          <w:b/>
          <w:szCs w:val="24"/>
          <w:lang w:eastAsia="sk-SK"/>
        </w:rPr>
      </w:pPr>
    </w:p>
    <w:p w:rsidR="00732CD8" w:rsidRPr="00732CD8" w:rsidP="00732CD8">
      <w:pPr>
        <w:bidi w:val="0"/>
        <w:spacing w:after="0" w:line="240" w:lineRule="auto"/>
        <w:jc w:val="both"/>
        <w:rPr>
          <w:rFonts w:ascii="Times New Roman" w:hAnsi="Times New Roman"/>
          <w:b/>
          <w:color w:val="FF0000"/>
          <w:szCs w:val="24"/>
          <w:lang w:eastAsia="sk-SK"/>
        </w:rPr>
      </w:pPr>
    </w:p>
    <w:p w:rsidR="00732CD8" w:rsidRPr="00732CD8" w:rsidP="00732CD8">
      <w:pPr>
        <w:bidi w:val="0"/>
        <w:spacing w:after="0" w:line="240" w:lineRule="auto"/>
        <w:jc w:val="both"/>
        <w:rPr>
          <w:rFonts w:ascii="Times New Roman" w:hAnsi="Times New Roman"/>
          <w:b/>
          <w:color w:val="FF0000"/>
          <w:szCs w:val="24"/>
          <w:lang w:eastAsia="sk-SK"/>
        </w:rPr>
      </w:pPr>
    </w:p>
    <w:p w:rsidR="00732CD8" w:rsidRPr="00732CD8" w:rsidP="00732CD8">
      <w:pPr>
        <w:bidi w:val="0"/>
        <w:spacing w:after="0" w:line="240" w:lineRule="auto"/>
        <w:jc w:val="both"/>
        <w:rPr>
          <w:rFonts w:ascii="Times New Roman" w:hAnsi="Times New Roman"/>
          <w:b/>
          <w:color w:val="FF0000"/>
          <w:szCs w:val="24"/>
          <w:lang w:eastAsia="sk-SK"/>
        </w:rPr>
      </w:pPr>
    </w:p>
    <w:p w:rsidR="00732CD8" w:rsidRPr="00732CD8" w:rsidP="00732CD8">
      <w:pPr>
        <w:bidi w:val="0"/>
        <w:spacing w:after="0" w:line="240" w:lineRule="auto"/>
        <w:jc w:val="both"/>
        <w:rPr>
          <w:rFonts w:ascii="Times New Roman" w:hAnsi="Times New Roman"/>
          <w:b/>
          <w:color w:val="FF0000"/>
          <w:szCs w:val="24"/>
          <w:lang w:eastAsia="sk-SK"/>
        </w:rPr>
      </w:pPr>
    </w:p>
    <w:p w:rsidR="00732CD8" w:rsidRPr="00732CD8" w:rsidP="00732CD8">
      <w:pPr>
        <w:bidi w:val="0"/>
        <w:spacing w:after="0" w:line="240" w:lineRule="auto"/>
        <w:jc w:val="both"/>
        <w:rPr>
          <w:rFonts w:ascii="Times New Roman" w:hAnsi="Times New Roman"/>
          <w:b/>
          <w:color w:val="FF0000"/>
          <w:szCs w:val="24"/>
          <w:lang w:eastAsia="sk-SK"/>
        </w:rPr>
      </w:pPr>
    </w:p>
    <w:p w:rsidR="00732CD8" w:rsidRPr="00732CD8" w:rsidP="00732CD8">
      <w:pPr>
        <w:bidi w:val="0"/>
        <w:spacing w:after="0" w:line="240" w:lineRule="auto"/>
        <w:jc w:val="both"/>
        <w:rPr>
          <w:rFonts w:ascii="Times New Roman" w:hAnsi="Times New Roman"/>
          <w:b/>
          <w:color w:val="FF0000"/>
          <w:szCs w:val="24"/>
          <w:lang w:eastAsia="sk-SK"/>
        </w:rPr>
      </w:pPr>
    </w:p>
    <w:p w:rsidR="00732CD8" w:rsidRPr="00732CD8" w:rsidP="00732CD8">
      <w:pPr>
        <w:bidi w:val="0"/>
        <w:spacing w:after="0" w:line="240" w:lineRule="auto"/>
        <w:jc w:val="both"/>
        <w:rPr>
          <w:rFonts w:ascii="Times New Roman" w:hAnsi="Times New Roman"/>
          <w:b/>
          <w:color w:val="FF0000"/>
          <w:szCs w:val="24"/>
          <w:lang w:eastAsia="sk-SK"/>
        </w:rPr>
      </w:pPr>
    </w:p>
    <w:p w:rsidR="00732CD8" w:rsidRPr="00732CD8" w:rsidP="00732CD8">
      <w:pPr>
        <w:bidi w:val="0"/>
        <w:spacing w:after="0" w:line="240" w:lineRule="auto"/>
        <w:jc w:val="both"/>
        <w:rPr>
          <w:rFonts w:ascii="Times New Roman" w:hAnsi="Times New Roman"/>
          <w:b/>
          <w:color w:val="FF0000"/>
          <w:szCs w:val="24"/>
          <w:lang w:eastAsia="sk-SK"/>
        </w:rPr>
      </w:pPr>
    </w:p>
    <w:p w:rsidR="00732CD8" w:rsidRPr="00732CD8" w:rsidP="00732CD8">
      <w:pPr>
        <w:bidi w:val="0"/>
        <w:spacing w:after="0" w:line="240" w:lineRule="auto"/>
        <w:jc w:val="both"/>
        <w:rPr>
          <w:rFonts w:ascii="Times New Roman" w:hAnsi="Times New Roman"/>
          <w:b/>
          <w:color w:val="FF0000"/>
          <w:szCs w:val="24"/>
          <w:lang w:eastAsia="sk-SK"/>
        </w:rPr>
      </w:pPr>
    </w:p>
    <w:p w:rsidR="00732CD8" w:rsidRPr="00732CD8" w:rsidP="00732CD8">
      <w:pPr>
        <w:bidi w:val="0"/>
        <w:spacing w:after="0" w:line="240" w:lineRule="auto"/>
        <w:rPr>
          <w:rFonts w:ascii="Times New Roman" w:hAnsi="Times New Roman"/>
          <w:color w:val="FF0000"/>
          <w:szCs w:val="24"/>
          <w:lang w:eastAsia="sk-SK"/>
        </w:rPr>
      </w:pPr>
    </w:p>
    <w:p w:rsidR="00732CD8" w:rsidRPr="00732CD8" w:rsidP="00732CD8">
      <w:pPr>
        <w:bidi w:val="0"/>
        <w:spacing w:after="0" w:line="240" w:lineRule="auto"/>
        <w:rPr>
          <w:rFonts w:ascii="Times New Roman" w:hAnsi="Times New Roman"/>
          <w:color w:val="FF0000"/>
          <w:szCs w:val="24"/>
          <w:lang w:eastAsia="sk-SK"/>
        </w:rPr>
      </w:pPr>
    </w:p>
    <w:p w:rsidR="00732CD8" w:rsidRPr="00732CD8" w:rsidP="00732CD8">
      <w:pPr>
        <w:bidi w:val="0"/>
        <w:spacing w:after="0" w:line="240" w:lineRule="auto"/>
        <w:rPr>
          <w:rFonts w:ascii="Times New Roman" w:hAnsi="Times New Roman"/>
          <w:color w:val="FF0000"/>
          <w:szCs w:val="24"/>
          <w:lang w:eastAsia="sk-SK"/>
        </w:rPr>
      </w:pPr>
    </w:p>
    <w:p w:rsidR="00732CD8" w:rsidRPr="00732CD8" w:rsidP="00732CD8">
      <w:pPr>
        <w:bidi w:val="0"/>
        <w:spacing w:after="0" w:line="240" w:lineRule="auto"/>
        <w:rPr>
          <w:rFonts w:ascii="Times New Roman" w:hAnsi="Times New Roman"/>
          <w:color w:val="FF0000"/>
          <w:szCs w:val="24"/>
          <w:lang w:eastAsia="sk-SK"/>
        </w:rPr>
      </w:pPr>
    </w:p>
    <w:p w:rsidR="00732CD8" w:rsidRPr="00732CD8" w:rsidP="00732CD8">
      <w:pPr>
        <w:bidi w:val="0"/>
        <w:spacing w:after="0" w:line="240" w:lineRule="auto"/>
        <w:rPr>
          <w:rFonts w:ascii="Times New Roman" w:hAnsi="Times New Roman"/>
          <w:color w:val="FF0000"/>
          <w:szCs w:val="24"/>
          <w:lang w:eastAsia="sk-SK"/>
        </w:rPr>
      </w:pPr>
    </w:p>
    <w:p w:rsidR="00732CD8" w:rsidRPr="00732CD8" w:rsidP="00732CD8">
      <w:pPr>
        <w:bidi w:val="0"/>
        <w:spacing w:after="0" w:line="240" w:lineRule="auto"/>
        <w:rPr>
          <w:rFonts w:ascii="Times New Roman" w:hAnsi="Times New Roman"/>
          <w:color w:val="FF0000"/>
          <w:szCs w:val="24"/>
          <w:lang w:eastAsia="sk-SK"/>
        </w:rPr>
      </w:pPr>
    </w:p>
    <w:p w:rsidR="00732CD8" w:rsidRPr="00732CD8" w:rsidP="00732CD8">
      <w:pPr>
        <w:bidi w:val="0"/>
        <w:spacing w:after="0" w:line="240" w:lineRule="auto"/>
        <w:rPr>
          <w:rFonts w:ascii="Times New Roman" w:hAnsi="Times New Roman"/>
          <w:szCs w:val="24"/>
          <w:lang w:eastAsia="sk-SK"/>
        </w:rPr>
      </w:pPr>
    </w:p>
    <w:p w:rsidR="00732CD8" w:rsidRPr="00732CD8" w:rsidP="00732CD8">
      <w:pPr>
        <w:bidi w:val="0"/>
        <w:rPr>
          <w:rFonts w:ascii="Times New Roman" w:hAnsi="Times New Roman"/>
        </w:rPr>
      </w:pPr>
    </w:p>
    <w:p w:rsidR="00732CD8" w:rsidRPr="00732CD8" w:rsidP="00732CD8">
      <w:pPr>
        <w:bidi w:val="0"/>
        <w:rPr>
          <w:rFonts w:ascii="Times New Roman" w:hAnsi="Times New Roman"/>
        </w:rPr>
      </w:pPr>
    </w:p>
    <w:p w:rsidR="002845B7">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031" w:rsidP="00732CD8">
      <w:pPr>
        <w:bidi w:val="0"/>
        <w:spacing w:after="0" w:line="240" w:lineRule="auto"/>
        <w:rPr>
          <w:rFonts w:ascii="Times New Roman" w:hAnsi="Times New Roman"/>
        </w:rPr>
      </w:pPr>
      <w:r>
        <w:rPr>
          <w:rFonts w:ascii="Times New Roman" w:hAnsi="Times New Roman"/>
        </w:rPr>
        <w:separator/>
      </w:r>
    </w:p>
  </w:footnote>
  <w:footnote w:type="continuationSeparator" w:id="1">
    <w:p w:rsidR="00A95031" w:rsidP="00732CD8">
      <w:pPr>
        <w:bidi w:val="0"/>
        <w:spacing w:after="0" w:line="240" w:lineRule="auto"/>
        <w:rPr>
          <w:rFonts w:ascii="Times New Roman" w:hAnsi="Times New Roman"/>
        </w:rPr>
      </w:pPr>
      <w:r>
        <w:rPr>
          <w:rFonts w:ascii="Times New Roman" w:hAnsi="Times New Roman"/>
        </w:rPr>
        <w:continuationSeparator/>
      </w:r>
    </w:p>
  </w:footnote>
  <w:footnote w:id="2">
    <w:p w:rsidP="00732CD8">
      <w:pPr>
        <w:pStyle w:val="FootnoteText"/>
        <w:tabs>
          <w:tab w:val="left" w:pos="142"/>
        </w:tabs>
        <w:bidi w:val="0"/>
        <w:ind w:left="142" w:hanging="142"/>
      </w:pPr>
      <w:r w:rsidR="00732CD8">
        <w:rPr>
          <w:rStyle w:val="FootnoteReference"/>
        </w:rPr>
        <w:footnoteRef/>
      </w:r>
      <w:r w:rsidR="00732CD8">
        <w:t xml:space="preserve"> Zhoda v počte podaných žiadostí a v počte vydaných súhlasov na použitie ITP v roku 2011 bola potvrdená Krajským súdom Bratislava.</w:t>
      </w:r>
    </w:p>
  </w:footnote>
  <w:footnote w:id="3">
    <w:p w:rsidP="00732CD8">
      <w:pPr>
        <w:pStyle w:val="FootnoteText"/>
        <w:bidi w:val="0"/>
      </w:pPr>
      <w:r w:rsidR="00732CD8">
        <w:rPr>
          <w:rStyle w:val="FootnoteReference"/>
        </w:rPr>
        <w:footnoteRef/>
      </w:r>
      <w:r w:rsidR="00732CD8">
        <w:t xml:space="preserve"> Sú stále aktuálne alebo im plynie 30 – dňová lehota na ich vyhodnotenie po ukončení.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6E2AD3C8"/>
    <w:lvl w:ilvl="0">
      <w:start w:val="1"/>
      <w:numFmt w:val="decimal"/>
      <w:pStyle w:val="ListNumber3"/>
      <w:lvlText w:val="%1."/>
      <w:lvlJc w:val="left"/>
      <w:pPr>
        <w:tabs>
          <w:tab w:val="num" w:pos="926"/>
        </w:tabs>
        <w:ind w:left="926" w:hanging="360"/>
      </w:pPr>
      <w:rPr>
        <w:rFonts w:cs="Times New Roman"/>
        <w:rtl w:val="0"/>
        <w:cs w:val="0"/>
      </w:rPr>
    </w:lvl>
  </w:abstractNum>
  <w:abstractNum w:abstractNumId="1">
    <w:nsid w:val="FFFFFF89"/>
    <w:multiLevelType w:val="singleLevel"/>
    <w:tmpl w:val="F7FC1E5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316D73"/>
    <w:multiLevelType w:val="multilevel"/>
    <w:tmpl w:val="0A28FE14"/>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2DB07AE"/>
    <w:multiLevelType w:val="multilevel"/>
    <w:tmpl w:val="C86C6712"/>
    <w:lvl w:ilvl="0">
      <w:start w:val="1"/>
      <w:numFmt w:val="decimal"/>
      <w:pStyle w:val="Heading2"/>
      <w:lvlText w:val="%1."/>
      <w:lvlJc w:val="left"/>
      <w:pPr>
        <w:tabs>
          <w:tab w:val="num" w:pos="1361"/>
        </w:tabs>
        <w:ind w:left="1361" w:hanging="624"/>
      </w:pPr>
      <w:rPr>
        <w:rFonts w:cs="Times New Roman"/>
        <w:rtl w:val="0"/>
        <w:cs w:val="0"/>
      </w:rPr>
    </w:lvl>
    <w:lvl w:ilvl="1">
      <w:start w:val="1"/>
      <w:numFmt w:val="none"/>
      <w:lvlText w:val="%1.%2"/>
      <w:lvlJc w:val="left"/>
      <w:pPr>
        <w:tabs>
          <w:tab w:val="num" w:pos="1361"/>
        </w:tabs>
        <w:ind w:left="1361" w:hanging="624"/>
      </w:pPr>
      <w:rPr>
        <w:rFonts w:cs="Times New Roman"/>
        <w:rtl w:val="0"/>
        <w:cs w:val="0"/>
      </w:rPr>
    </w:lvl>
    <w:lvl w:ilvl="2">
      <w:start w:val="1"/>
      <w:numFmt w:val="decimal"/>
      <w:pStyle w:val="Heading3"/>
      <w:lvlText w:val="%1.%2%3"/>
      <w:lvlJc w:val="left"/>
      <w:pPr>
        <w:tabs>
          <w:tab w:val="num" w:pos="1457"/>
        </w:tabs>
        <w:ind w:left="1361" w:hanging="624"/>
      </w:pPr>
      <w:rPr>
        <w:rFonts w:cs="Times New Roman"/>
        <w:rtl w:val="0"/>
        <w:cs w:val="0"/>
      </w:rPr>
    </w:lvl>
    <w:lvl w:ilvl="3">
      <w:start w:val="1"/>
      <w:numFmt w:val="none"/>
      <w:lvlText w:val="%1.%2%3%4"/>
      <w:lvlJc w:val="left"/>
      <w:pPr>
        <w:tabs>
          <w:tab w:val="num" w:pos="1361"/>
        </w:tabs>
        <w:ind w:left="1361" w:hanging="624"/>
      </w:pPr>
      <w:rPr>
        <w:rFonts w:cs="Times New Roman"/>
        <w:rtl w:val="0"/>
        <w:cs w:val="0"/>
      </w:rPr>
    </w:lvl>
    <w:lvl w:ilvl="4">
      <w:start w:val="1"/>
      <w:numFmt w:val="none"/>
      <w:lvlText w:val="%1.%2%3%4%5"/>
      <w:lvlJc w:val="left"/>
      <w:pPr>
        <w:tabs>
          <w:tab w:val="num" w:pos="1817"/>
        </w:tabs>
        <w:ind w:left="1361" w:hanging="624"/>
      </w:pPr>
      <w:rPr>
        <w:rFonts w:cs="Times New Roman"/>
        <w:rtl w:val="0"/>
        <w:cs w:val="0"/>
      </w:rPr>
    </w:lvl>
    <w:lvl w:ilvl="5">
      <w:start w:val="1"/>
      <w:numFmt w:val="none"/>
      <w:lvlText w:val="%1.%2%3%4%5"/>
      <w:lvlJc w:val="left"/>
      <w:pPr>
        <w:tabs>
          <w:tab w:val="num" w:pos="1817"/>
        </w:tabs>
        <w:ind w:left="1361" w:hanging="624"/>
      </w:pPr>
      <w:rPr>
        <w:rFonts w:cs="Times New Roman"/>
        <w:rtl w:val="0"/>
        <w:cs w:val="0"/>
      </w:rPr>
    </w:lvl>
    <w:lvl w:ilvl="6">
      <w:start w:val="1"/>
      <w:numFmt w:val="none"/>
      <w:suff w:val="nothing"/>
      <w:lvlText w:val="%1.%2%3%4%5%6%7"/>
      <w:lvlJc w:val="left"/>
      <w:pPr>
        <w:ind w:left="1361" w:hanging="624"/>
      </w:pPr>
      <w:rPr>
        <w:rFonts w:cs="Times New Roman"/>
        <w:rtl w:val="0"/>
        <w:cs w:val="0"/>
      </w:rPr>
    </w:lvl>
    <w:lvl w:ilvl="7">
      <w:start w:val="1"/>
      <w:numFmt w:val="none"/>
      <w:lvlText w:val="%3%4%5%6%7%1.%2%8"/>
      <w:lvlJc w:val="left"/>
      <w:pPr>
        <w:tabs>
          <w:tab w:val="num" w:pos="2177"/>
        </w:tabs>
        <w:ind w:left="1361" w:hanging="624"/>
      </w:pPr>
      <w:rPr>
        <w:rFonts w:cs="Times New Roman"/>
        <w:rtl w:val="0"/>
        <w:cs w:val="0"/>
      </w:rPr>
    </w:lvl>
    <w:lvl w:ilvl="8">
      <w:start w:val="1"/>
      <w:numFmt w:val="none"/>
      <w:lvlText w:val="%1.%2%3%4%5%6%7%8%9"/>
      <w:lvlJc w:val="left"/>
      <w:pPr>
        <w:tabs>
          <w:tab w:val="num" w:pos="2177"/>
        </w:tabs>
        <w:ind w:left="1361" w:hanging="624"/>
      </w:pPr>
      <w:rPr>
        <w:rFonts w:cs="Times New Roman"/>
        <w:rtl w:val="0"/>
        <w:cs w:val="0"/>
      </w:rPr>
    </w:lvl>
  </w:abstractNum>
  <w:abstractNum w:abstractNumId="4">
    <w:nsid w:val="15DA03A2"/>
    <w:multiLevelType w:val="hybridMultilevel"/>
    <w:tmpl w:val="617A1318"/>
    <w:lvl w:ilvl="0">
      <w:start w:val="1"/>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1E7823BF"/>
    <w:multiLevelType w:val="hybridMultilevel"/>
    <w:tmpl w:val="D9D07E16"/>
    <w:lvl w:ilvl="0">
      <w:start w:val="2"/>
      <w:numFmt w:val="lowerLetter"/>
      <w:lvlText w:val="%1)"/>
      <w:lvlJc w:val="left"/>
      <w:pPr>
        <w:tabs>
          <w:tab w:val="num" w:pos="1068"/>
        </w:tabs>
        <w:ind w:left="1068" w:hanging="360"/>
      </w:pPr>
      <w:rPr>
        <w:rFonts w:cs="Times New Roman"/>
        <w:strike w:val="0"/>
        <w:dstrike w:val="0"/>
        <w:u w:val="none"/>
        <w:effect w:val="none"/>
        <w:rtl w:val="0"/>
        <w:cs w:val="0"/>
      </w:rPr>
    </w:lvl>
    <w:lvl w:ilvl="1">
      <w:start w:val="4"/>
      <w:numFmt w:val="decimal"/>
      <w:lvlText w:val="%2."/>
      <w:lvlJc w:val="left"/>
      <w:pPr>
        <w:tabs>
          <w:tab w:val="num" w:pos="1788"/>
        </w:tabs>
        <w:ind w:left="1788" w:hanging="360"/>
      </w:pPr>
      <w:rPr>
        <w:rFonts w:cs="Times New Roman"/>
        <w:b w:val="0"/>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6">
    <w:nsid w:val="2903238F"/>
    <w:multiLevelType w:val="singleLevel"/>
    <w:tmpl w:val="4E4E9D8C"/>
    <w:lvl w:ilvl="0">
      <w:start w:val="1"/>
      <w:numFmt w:val="decimal"/>
      <w:pStyle w:val="Zoznamslo"/>
      <w:lvlText w:val="%1."/>
      <w:lvlJc w:val="left"/>
      <w:pPr>
        <w:tabs>
          <w:tab w:val="num" w:pos="737"/>
        </w:tabs>
        <w:ind w:left="737" w:hanging="368"/>
      </w:pPr>
      <w:rPr>
        <w:rFonts w:cs="Times New Roman"/>
        <w:rtl w:val="0"/>
        <w:cs w:val="0"/>
      </w:rPr>
    </w:lvl>
  </w:abstractNum>
  <w:abstractNum w:abstractNumId="7">
    <w:nsid w:val="2DBF2AB9"/>
    <w:multiLevelType w:val="singleLevel"/>
    <w:tmpl w:val="72D25400"/>
    <w:lvl w:ilvl="0">
      <w:start w:val="1"/>
      <w:numFmt w:val="bullet"/>
      <w:pStyle w:val="Zoznamznaka1"/>
      <w:lvlText w:val=""/>
      <w:lvlJc w:val="left"/>
      <w:pPr>
        <w:tabs>
          <w:tab w:val="num" w:pos="737"/>
        </w:tabs>
        <w:ind w:left="737" w:hanging="368"/>
      </w:pPr>
      <w:rPr>
        <w:rFonts w:ascii="Wingdings" w:hAnsi="Wingdings" w:hint="default"/>
        <w:color w:val="auto"/>
      </w:rPr>
    </w:lvl>
  </w:abstractNum>
  <w:abstractNum w:abstractNumId="8">
    <w:nsid w:val="31507C75"/>
    <w:multiLevelType w:val="singleLevel"/>
    <w:tmpl w:val="A2ECD7B0"/>
    <w:lvl w:ilvl="0">
      <w:start w:val="1"/>
      <w:numFmt w:val="lowerLetter"/>
      <w:pStyle w:val="Zoznampsmeno"/>
      <w:lvlText w:val="%1)"/>
      <w:lvlJc w:val="left"/>
      <w:pPr>
        <w:tabs>
          <w:tab w:val="num" w:pos="369"/>
        </w:tabs>
        <w:ind w:left="369" w:hanging="369"/>
      </w:pPr>
      <w:rPr>
        <w:rFonts w:cs="Times New Roman"/>
        <w:rtl w:val="0"/>
        <w:cs w:val="0"/>
      </w:rPr>
    </w:lvl>
  </w:abstractNum>
  <w:abstractNum w:abstractNumId="9">
    <w:nsid w:val="549479CB"/>
    <w:multiLevelType w:val="hybridMultilevel"/>
    <w:tmpl w:val="975044E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9E43B23"/>
    <w:multiLevelType w:val="singleLevel"/>
    <w:tmpl w:val="BC4C4DDA"/>
    <w:lvl w:ilvl="0">
      <w:start w:val="1"/>
      <w:numFmt w:val="bullet"/>
      <w:pStyle w:val="Rozhovor-odpove"/>
      <w:lvlText w:val=""/>
      <w:lvlJc w:val="left"/>
      <w:pPr>
        <w:tabs>
          <w:tab w:val="num" w:pos="360"/>
        </w:tabs>
        <w:ind w:left="357" w:hanging="357"/>
      </w:pPr>
      <w:rPr>
        <w:rFonts w:ascii="Symbol" w:hAnsi="Symbol" w:hint="default"/>
      </w:rPr>
    </w:lvl>
  </w:abstractNum>
  <w:abstractNum w:abstractNumId="11">
    <w:nsid w:val="5E9959C9"/>
    <w:multiLevelType w:val="singleLevel"/>
    <w:tmpl w:val="041B000F"/>
    <w:lvl w:ilvl="0">
      <w:start w:val="1"/>
      <w:numFmt w:val="decimal"/>
      <w:lvlText w:val="%1."/>
      <w:lvlJc w:val="left"/>
      <w:pPr>
        <w:tabs>
          <w:tab w:val="num" w:pos="720"/>
        </w:tabs>
        <w:ind w:left="720" w:hanging="360"/>
      </w:pPr>
      <w:rPr>
        <w:rFonts w:cs="Times New Roman"/>
        <w:rtl w:val="0"/>
        <w:cs w:val="0"/>
      </w:rPr>
    </w:lvl>
  </w:abstractNum>
  <w:abstractNum w:abstractNumId="12">
    <w:nsid w:val="67057844"/>
    <w:multiLevelType w:val="singleLevel"/>
    <w:tmpl w:val="19566858"/>
    <w:lvl w:ilvl="0">
      <w:start w:val="1"/>
      <w:numFmt w:val="bullet"/>
      <w:pStyle w:val="Zoznamznaka"/>
      <w:lvlText w:val=""/>
      <w:lvlJc w:val="left"/>
      <w:pPr>
        <w:tabs>
          <w:tab w:val="num" w:pos="369"/>
        </w:tabs>
        <w:ind w:left="369" w:hanging="369"/>
      </w:pPr>
      <w:rPr>
        <w:rFonts w:ascii="Symbol" w:hAnsi="Symbol" w:hint="default"/>
      </w:rPr>
    </w:lvl>
  </w:abstractNum>
  <w:abstractNum w:abstractNumId="13">
    <w:nsid w:val="692D325B"/>
    <w:multiLevelType w:val="singleLevel"/>
    <w:tmpl w:val="DEC48768"/>
    <w:lvl w:ilvl="0">
      <w:start w:val="1"/>
      <w:numFmt w:val="bullet"/>
      <w:pStyle w:val="BodyText"/>
      <w:lvlText w:val=""/>
      <w:lvlJc w:val="left"/>
      <w:pPr>
        <w:tabs>
          <w:tab w:val="num" w:pos="737"/>
        </w:tabs>
        <w:ind w:left="737" w:hanging="368"/>
      </w:pPr>
      <w:rPr>
        <w:rFonts w:ascii="Wingdings" w:hAnsi="Wingdings" w:hint="default"/>
        <w:color w:val="auto"/>
      </w:rPr>
    </w:lvl>
  </w:abstractNum>
  <w:abstractNum w:abstractNumId="14">
    <w:nsid w:val="6BEC15AB"/>
    <w:multiLevelType w:val="singleLevel"/>
    <w:tmpl w:val="FE827656"/>
    <w:lvl w:ilvl="0">
      <w:start w:val="1"/>
      <w:numFmt w:val="bullet"/>
      <w:pStyle w:val="Rozhovor-otzka"/>
      <w:lvlText w:val=""/>
      <w:lvlJc w:val="left"/>
      <w:pPr>
        <w:tabs>
          <w:tab w:val="num" w:pos="360"/>
        </w:tabs>
        <w:ind w:left="357" w:hanging="357"/>
      </w:pPr>
      <w:rPr>
        <w:rFonts w:ascii="Symbol" w:hAnsi="Symbol" w:hint="default"/>
      </w:rPr>
    </w:lvl>
  </w:abstractNum>
  <w:abstractNum w:abstractNumId="15">
    <w:nsid w:val="74CC16F5"/>
    <w:multiLevelType w:val="singleLevel"/>
    <w:tmpl w:val="AA56586A"/>
    <w:lvl w:ilvl="0">
      <w:start w:val="1"/>
      <w:numFmt w:val="decimal"/>
      <w:pStyle w:val="vytlaok"/>
      <w:lvlText w:val="výtlačok č. %1 -"/>
      <w:lvlJc w:val="left"/>
      <w:pPr>
        <w:tabs>
          <w:tab w:val="num" w:pos="2448"/>
        </w:tabs>
        <w:ind w:firstLine="288"/>
      </w:pPr>
      <w:rPr>
        <w:rFonts w:cs="Times New Roman"/>
        <w:rtl w:val="0"/>
        <w:cs w:val="0"/>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lvlOverride w:ilvl="0">
      <w:startOverride w:val="1"/>
    </w:lvlOverride>
  </w:num>
  <w:num w:numId="6">
    <w:abstractNumId w:val="6"/>
    <w:lvlOverride w:ilvl="0">
      <w:startOverride w:val="1"/>
    </w:lvlOverride>
  </w:num>
  <w:num w:numId="7">
    <w:abstractNumId w:val="8"/>
    <w:lvlOverride w:ilvl="0">
      <w:startOverride w:val="1"/>
    </w:lvlOverride>
  </w:num>
  <w:num w:numId="8">
    <w:abstractNumId w:val="12"/>
  </w:num>
  <w:num w:numId="9">
    <w:abstractNumId w:val="7"/>
  </w:num>
  <w:num w:numId="10">
    <w:abstractNumId w:val="14"/>
  </w:num>
  <w:num w:numId="11">
    <w:abstractNumId w:val="10"/>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732CD8"/>
    <w:rsid w:val="00023797"/>
    <w:rsid w:val="00063994"/>
    <w:rsid w:val="00094499"/>
    <w:rsid w:val="002423A7"/>
    <w:rsid w:val="002845B7"/>
    <w:rsid w:val="003060CC"/>
    <w:rsid w:val="00315088"/>
    <w:rsid w:val="00355836"/>
    <w:rsid w:val="004152FC"/>
    <w:rsid w:val="004C7867"/>
    <w:rsid w:val="00532362"/>
    <w:rsid w:val="00610357"/>
    <w:rsid w:val="00732CD8"/>
    <w:rsid w:val="0083279F"/>
    <w:rsid w:val="008A7FB1"/>
    <w:rsid w:val="008B15D2"/>
    <w:rsid w:val="008C7211"/>
    <w:rsid w:val="00993935"/>
    <w:rsid w:val="00A2199E"/>
    <w:rsid w:val="00A95031"/>
    <w:rsid w:val="00B153CE"/>
    <w:rsid w:val="00C2661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120" w:line="276" w:lineRule="auto"/>
      <w:ind w:left="0" w:right="0"/>
      <w:jc w:val="left"/>
      <w:textAlignment w:val="auto"/>
    </w:pPr>
    <w:rPr>
      <w:rFonts w:cs="Times New Roman"/>
      <w:sz w:val="24"/>
      <w:szCs w:val="22"/>
      <w:rtl w:val="0"/>
      <w:cs w:val="0"/>
      <w:lang w:val="sk-SK" w:eastAsia="en-US" w:bidi="ar-SA"/>
    </w:rPr>
  </w:style>
  <w:style w:type="paragraph" w:styleId="Heading1">
    <w:name w:val="heading 1"/>
    <w:basedOn w:val="Normal"/>
    <w:next w:val="Normal"/>
    <w:link w:val="Nadpis1Char"/>
    <w:uiPriority w:val="9"/>
    <w:qFormat/>
    <w:rsid w:val="00732CD8"/>
    <w:pPr>
      <w:keepNext/>
      <w:spacing w:before="80" w:after="40" w:line="240" w:lineRule="auto"/>
      <w:jc w:val="center"/>
      <w:outlineLvl w:val="0"/>
    </w:pPr>
    <w:rPr>
      <w:rFonts w:ascii="Arial" w:hAnsi="Arial"/>
      <w:b/>
      <w:sz w:val="36"/>
      <w:szCs w:val="20"/>
      <w:lang w:eastAsia="sk-SK"/>
    </w:rPr>
  </w:style>
  <w:style w:type="paragraph" w:styleId="Heading2">
    <w:name w:val="heading 2"/>
    <w:basedOn w:val="Normal"/>
    <w:next w:val="Normal"/>
    <w:link w:val="Nadpis2Char"/>
    <w:uiPriority w:val="9"/>
    <w:semiHidden/>
    <w:unhideWhenUsed/>
    <w:qFormat/>
    <w:rsid w:val="00732CD8"/>
    <w:pPr>
      <w:keepNext/>
      <w:numPr>
        <w:numId w:val="3"/>
      </w:numPr>
      <w:tabs>
        <w:tab w:val="num" w:pos="1361"/>
      </w:tabs>
      <w:spacing w:before="240" w:after="240" w:line="240" w:lineRule="auto"/>
      <w:ind w:left="1361" w:hanging="624"/>
      <w:jc w:val="left"/>
      <w:outlineLvl w:val="1"/>
    </w:pPr>
    <w:rPr>
      <w:rFonts w:ascii="Arial" w:hAnsi="Arial"/>
      <w:b/>
      <w:i/>
      <w:szCs w:val="20"/>
      <w:lang w:eastAsia="sk-SK"/>
    </w:rPr>
  </w:style>
  <w:style w:type="paragraph" w:styleId="Heading3">
    <w:name w:val="heading 3"/>
    <w:basedOn w:val="Normal"/>
    <w:next w:val="Normal"/>
    <w:link w:val="Nadpis3Char"/>
    <w:uiPriority w:val="9"/>
    <w:semiHidden/>
    <w:unhideWhenUsed/>
    <w:qFormat/>
    <w:rsid w:val="00732CD8"/>
    <w:pPr>
      <w:keepNext/>
      <w:numPr>
        <w:ilvl w:val="2"/>
        <w:numId w:val="3"/>
      </w:numPr>
      <w:tabs>
        <w:tab w:val="num" w:pos="1457"/>
      </w:tabs>
      <w:spacing w:before="80" w:after="40" w:line="240" w:lineRule="auto"/>
      <w:ind w:left="1361" w:hanging="624"/>
      <w:jc w:val="left"/>
      <w:outlineLvl w:val="2"/>
    </w:pPr>
    <w:rPr>
      <w:rFonts w:ascii="Arial" w:hAnsi="Arial"/>
      <w:b/>
      <w:i/>
      <w:szCs w:val="20"/>
      <w:lang w:eastAsia="sk-SK"/>
    </w:rPr>
  </w:style>
  <w:style w:type="paragraph" w:styleId="Heading4">
    <w:name w:val="heading 4"/>
    <w:basedOn w:val="Normal"/>
    <w:next w:val="Normal"/>
    <w:link w:val="Nadpis4Char"/>
    <w:uiPriority w:val="9"/>
    <w:semiHidden/>
    <w:unhideWhenUsed/>
    <w:qFormat/>
    <w:rsid w:val="00732CD8"/>
    <w:pPr>
      <w:keepNext/>
      <w:spacing w:before="40" w:after="40" w:line="240" w:lineRule="auto"/>
      <w:jc w:val="left"/>
      <w:outlineLvl w:val="3"/>
    </w:pPr>
    <w:rPr>
      <w:rFonts w:ascii="Arial" w:hAnsi="Arial"/>
      <w:b/>
      <w:szCs w:val="20"/>
      <w:lang w:eastAsia="sk-SK"/>
    </w:rPr>
  </w:style>
  <w:style w:type="paragraph" w:styleId="Heading5">
    <w:name w:val="heading 5"/>
    <w:basedOn w:val="Normal"/>
    <w:next w:val="Normal"/>
    <w:link w:val="Nadpis5Char"/>
    <w:uiPriority w:val="9"/>
    <w:semiHidden/>
    <w:unhideWhenUsed/>
    <w:qFormat/>
    <w:rsid w:val="00732CD8"/>
    <w:pPr>
      <w:keepNext/>
      <w:spacing w:before="40" w:after="40" w:line="240" w:lineRule="auto"/>
      <w:jc w:val="left"/>
      <w:outlineLvl w:val="4"/>
    </w:pPr>
    <w:rPr>
      <w:rFonts w:ascii="Arial" w:hAnsi="Arial"/>
      <w:b/>
      <w:color w:val="000000"/>
      <w:sz w:val="26"/>
      <w:szCs w:val="20"/>
      <w:lang w:eastAsia="sk-SK"/>
    </w:rPr>
  </w:style>
  <w:style w:type="paragraph" w:styleId="Heading6">
    <w:name w:val="heading 6"/>
    <w:basedOn w:val="Normal"/>
    <w:next w:val="Normal"/>
    <w:link w:val="Nadpis6Char"/>
    <w:uiPriority w:val="9"/>
    <w:semiHidden/>
    <w:unhideWhenUsed/>
    <w:qFormat/>
    <w:rsid w:val="00732CD8"/>
    <w:pPr>
      <w:keepNext/>
      <w:spacing w:before="40" w:after="40" w:line="240" w:lineRule="auto"/>
      <w:jc w:val="left"/>
      <w:outlineLvl w:val="5"/>
    </w:pPr>
    <w:rPr>
      <w:rFonts w:ascii="Arial" w:hAnsi="Arial"/>
      <w:b/>
      <w:sz w:val="26"/>
      <w:szCs w:val="20"/>
      <w:lang w:eastAsia="sk-SK"/>
    </w:rPr>
  </w:style>
  <w:style w:type="paragraph" w:styleId="Heading7">
    <w:name w:val="heading 7"/>
    <w:basedOn w:val="Normal"/>
    <w:next w:val="Normal"/>
    <w:link w:val="Nadpis7Char"/>
    <w:uiPriority w:val="9"/>
    <w:semiHidden/>
    <w:unhideWhenUsed/>
    <w:qFormat/>
    <w:rsid w:val="00732CD8"/>
    <w:pPr>
      <w:keepNext/>
      <w:spacing w:before="40" w:after="40" w:line="240" w:lineRule="auto"/>
      <w:jc w:val="left"/>
      <w:outlineLvl w:val="6"/>
    </w:pPr>
    <w:rPr>
      <w:rFonts w:ascii="Arial" w:hAnsi="Arial"/>
      <w:b/>
      <w:color w:val="000000"/>
      <w:szCs w:val="20"/>
      <w:lang w:eastAsia="sk-SK"/>
    </w:rPr>
  </w:style>
  <w:style w:type="paragraph" w:styleId="Heading8">
    <w:name w:val="heading 8"/>
    <w:basedOn w:val="Normal"/>
    <w:next w:val="Normal"/>
    <w:link w:val="Nadpis8Char"/>
    <w:uiPriority w:val="9"/>
    <w:semiHidden/>
    <w:unhideWhenUsed/>
    <w:qFormat/>
    <w:rsid w:val="00732CD8"/>
    <w:pPr>
      <w:keepNext/>
      <w:spacing w:before="40" w:after="40" w:line="240" w:lineRule="auto"/>
      <w:jc w:val="left"/>
      <w:outlineLvl w:val="7"/>
    </w:pPr>
    <w:rPr>
      <w:rFonts w:ascii="Arial" w:hAnsi="Arial"/>
      <w:b/>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32CD8"/>
    <w:rPr>
      <w:rFonts w:ascii="Arial" w:hAnsi="Arial" w:cs="Times New Roman"/>
      <w:b/>
      <w:sz w:val="20"/>
      <w:szCs w:val="20"/>
      <w:rtl w:val="0"/>
      <w:cs w:val="0"/>
      <w:lang w:val="x-none" w:eastAsia="sk-SK"/>
    </w:rPr>
  </w:style>
  <w:style w:type="character" w:customStyle="1" w:styleId="Nadpis2Char">
    <w:name w:val="Nadpis 2 Char"/>
    <w:basedOn w:val="DefaultParagraphFont"/>
    <w:link w:val="Heading2"/>
    <w:uiPriority w:val="9"/>
    <w:semiHidden/>
    <w:locked/>
    <w:rsid w:val="00732CD8"/>
    <w:rPr>
      <w:rFonts w:ascii="Arial" w:hAnsi="Arial" w:cs="Times New Roman"/>
      <w:b/>
      <w:i/>
      <w:sz w:val="20"/>
      <w:szCs w:val="20"/>
      <w:rtl w:val="0"/>
      <w:cs w:val="0"/>
      <w:lang w:val="x-none" w:eastAsia="sk-SK"/>
    </w:rPr>
  </w:style>
  <w:style w:type="character" w:customStyle="1" w:styleId="Nadpis3Char">
    <w:name w:val="Nadpis 3 Char"/>
    <w:basedOn w:val="DefaultParagraphFont"/>
    <w:link w:val="Heading3"/>
    <w:uiPriority w:val="9"/>
    <w:semiHidden/>
    <w:locked/>
    <w:rsid w:val="00732CD8"/>
    <w:rPr>
      <w:rFonts w:ascii="Arial" w:hAnsi="Arial" w:cs="Times New Roman"/>
      <w:b/>
      <w:i/>
      <w:sz w:val="20"/>
      <w:szCs w:val="20"/>
      <w:rtl w:val="0"/>
      <w:cs w:val="0"/>
      <w:lang w:val="x-none" w:eastAsia="sk-SK"/>
    </w:rPr>
  </w:style>
  <w:style w:type="character" w:customStyle="1" w:styleId="Nadpis4Char">
    <w:name w:val="Nadpis 4 Char"/>
    <w:basedOn w:val="DefaultParagraphFont"/>
    <w:link w:val="Heading4"/>
    <w:uiPriority w:val="9"/>
    <w:semiHidden/>
    <w:locked/>
    <w:rsid w:val="00732CD8"/>
    <w:rPr>
      <w:rFonts w:ascii="Arial" w:hAnsi="Arial" w:cs="Times New Roman"/>
      <w:b/>
      <w:sz w:val="20"/>
      <w:szCs w:val="20"/>
      <w:rtl w:val="0"/>
      <w:cs w:val="0"/>
      <w:lang w:val="x-none" w:eastAsia="sk-SK"/>
    </w:rPr>
  </w:style>
  <w:style w:type="character" w:customStyle="1" w:styleId="Nadpis5Char">
    <w:name w:val="Nadpis 5 Char"/>
    <w:basedOn w:val="DefaultParagraphFont"/>
    <w:link w:val="Heading5"/>
    <w:uiPriority w:val="9"/>
    <w:semiHidden/>
    <w:locked/>
    <w:rsid w:val="00732CD8"/>
    <w:rPr>
      <w:rFonts w:ascii="Arial" w:hAnsi="Arial" w:cs="Times New Roman"/>
      <w:b/>
      <w:color w:val="000000"/>
      <w:sz w:val="20"/>
      <w:szCs w:val="20"/>
      <w:rtl w:val="0"/>
      <w:cs w:val="0"/>
      <w:lang w:val="x-none" w:eastAsia="sk-SK"/>
    </w:rPr>
  </w:style>
  <w:style w:type="character" w:customStyle="1" w:styleId="Nadpis6Char">
    <w:name w:val="Nadpis 6 Char"/>
    <w:basedOn w:val="DefaultParagraphFont"/>
    <w:link w:val="Heading6"/>
    <w:uiPriority w:val="9"/>
    <w:semiHidden/>
    <w:locked/>
    <w:rsid w:val="00732CD8"/>
    <w:rPr>
      <w:rFonts w:ascii="Arial" w:hAnsi="Arial" w:cs="Times New Roman"/>
      <w:b/>
      <w:sz w:val="20"/>
      <w:szCs w:val="20"/>
      <w:rtl w:val="0"/>
      <w:cs w:val="0"/>
      <w:lang w:val="x-none" w:eastAsia="sk-SK"/>
    </w:rPr>
  </w:style>
  <w:style w:type="character" w:customStyle="1" w:styleId="Nadpis7Char">
    <w:name w:val="Nadpis 7 Char"/>
    <w:basedOn w:val="DefaultParagraphFont"/>
    <w:link w:val="Heading7"/>
    <w:uiPriority w:val="9"/>
    <w:semiHidden/>
    <w:locked/>
    <w:rsid w:val="00732CD8"/>
    <w:rPr>
      <w:rFonts w:ascii="Arial" w:hAnsi="Arial" w:cs="Times New Roman"/>
      <w:b/>
      <w:color w:val="000000"/>
      <w:sz w:val="20"/>
      <w:szCs w:val="20"/>
      <w:rtl w:val="0"/>
      <w:cs w:val="0"/>
      <w:lang w:val="x-none" w:eastAsia="sk-SK"/>
    </w:rPr>
  </w:style>
  <w:style w:type="character" w:customStyle="1" w:styleId="Nadpis8Char">
    <w:name w:val="Nadpis 8 Char"/>
    <w:basedOn w:val="DefaultParagraphFont"/>
    <w:link w:val="Heading8"/>
    <w:uiPriority w:val="9"/>
    <w:semiHidden/>
    <w:locked/>
    <w:rsid w:val="00732CD8"/>
    <w:rPr>
      <w:rFonts w:ascii="Arial" w:hAnsi="Arial" w:cs="Times New Roman"/>
      <w:b/>
      <w:sz w:val="20"/>
      <w:szCs w:val="20"/>
      <w:rtl w:val="0"/>
      <w:cs w:val="0"/>
      <w:lang w:val="x-none" w:eastAsia="sk-SK"/>
    </w:rPr>
  </w:style>
  <w:style w:type="paragraph" w:styleId="FootnoteText">
    <w:name w:val="footnote text"/>
    <w:basedOn w:val="Normal"/>
    <w:link w:val="TextpoznmkypodiarouChar"/>
    <w:uiPriority w:val="99"/>
    <w:semiHidden/>
    <w:unhideWhenUsed/>
    <w:rsid w:val="00732CD8"/>
    <w:pPr>
      <w:tabs>
        <w:tab w:val="left" w:pos="284"/>
      </w:tabs>
      <w:spacing w:before="40" w:after="40" w:line="240" w:lineRule="auto"/>
      <w:ind w:left="284" w:hanging="284"/>
      <w:jc w:val="left"/>
    </w:pPr>
    <w:rPr>
      <w:rFonts w:ascii="Arial" w:hAnsi="Arial"/>
      <w:sz w:val="20"/>
      <w:szCs w:val="20"/>
      <w:lang w:eastAsia="sk-SK"/>
    </w:rPr>
  </w:style>
  <w:style w:type="character" w:customStyle="1" w:styleId="TextpoznmkypodiarouChar">
    <w:name w:val="Text poznámky pod čiarou Char"/>
    <w:basedOn w:val="DefaultParagraphFont"/>
    <w:link w:val="FootnoteText"/>
    <w:uiPriority w:val="99"/>
    <w:semiHidden/>
    <w:locked/>
    <w:rsid w:val="00732CD8"/>
    <w:rPr>
      <w:rFonts w:ascii="Arial" w:hAnsi="Arial" w:cs="Times New Roman"/>
      <w:sz w:val="20"/>
      <w:szCs w:val="20"/>
      <w:rtl w:val="0"/>
      <w:cs w:val="0"/>
      <w:lang w:val="x-none" w:eastAsia="sk-SK"/>
    </w:rPr>
  </w:style>
  <w:style w:type="paragraph" w:styleId="Header">
    <w:name w:val="header"/>
    <w:basedOn w:val="Normal"/>
    <w:link w:val="HlavikaChar"/>
    <w:uiPriority w:val="99"/>
    <w:semiHidden/>
    <w:unhideWhenUsed/>
    <w:rsid w:val="00732CD8"/>
    <w:pPr>
      <w:tabs>
        <w:tab w:val="center" w:pos="4536"/>
        <w:tab w:val="right" w:pos="9072"/>
      </w:tabs>
      <w:spacing w:before="40" w:after="40" w:line="240" w:lineRule="auto"/>
      <w:jc w:val="left"/>
    </w:pPr>
    <w:rPr>
      <w:rFonts w:ascii="Arial" w:hAnsi="Arial"/>
      <w:szCs w:val="20"/>
      <w:lang w:eastAsia="sk-SK"/>
    </w:rPr>
  </w:style>
  <w:style w:type="character" w:customStyle="1" w:styleId="HlavikaChar">
    <w:name w:val="Hlavička Char"/>
    <w:basedOn w:val="DefaultParagraphFont"/>
    <w:link w:val="Header"/>
    <w:uiPriority w:val="99"/>
    <w:semiHidden/>
    <w:locked/>
    <w:rsid w:val="00732CD8"/>
    <w:rPr>
      <w:rFonts w:ascii="Arial" w:hAnsi="Arial" w:cs="Times New Roman"/>
      <w:sz w:val="20"/>
      <w:szCs w:val="20"/>
      <w:rtl w:val="0"/>
      <w:cs w:val="0"/>
      <w:lang w:val="x-none" w:eastAsia="sk-SK"/>
    </w:rPr>
  </w:style>
  <w:style w:type="paragraph" w:styleId="Footer">
    <w:name w:val="footer"/>
    <w:basedOn w:val="Normal"/>
    <w:link w:val="PtaChar"/>
    <w:uiPriority w:val="99"/>
    <w:semiHidden/>
    <w:unhideWhenUsed/>
    <w:rsid w:val="00732CD8"/>
    <w:pPr>
      <w:tabs>
        <w:tab w:val="center" w:pos="4536"/>
        <w:tab w:val="right" w:pos="9072"/>
      </w:tabs>
      <w:spacing w:before="40" w:after="40" w:line="240" w:lineRule="auto"/>
      <w:jc w:val="left"/>
    </w:pPr>
    <w:rPr>
      <w:rFonts w:ascii="Arial" w:hAnsi="Arial"/>
      <w:szCs w:val="20"/>
      <w:lang w:eastAsia="sk-SK"/>
    </w:rPr>
  </w:style>
  <w:style w:type="character" w:customStyle="1" w:styleId="PtaChar">
    <w:name w:val="Päta Char"/>
    <w:basedOn w:val="DefaultParagraphFont"/>
    <w:link w:val="Footer"/>
    <w:uiPriority w:val="99"/>
    <w:semiHidden/>
    <w:locked/>
    <w:rsid w:val="00732CD8"/>
    <w:rPr>
      <w:rFonts w:ascii="Arial" w:hAnsi="Arial" w:cs="Times New Roman"/>
      <w:sz w:val="20"/>
      <w:szCs w:val="20"/>
      <w:rtl w:val="0"/>
      <w:cs w:val="0"/>
      <w:lang w:val="x-none" w:eastAsia="sk-SK"/>
    </w:rPr>
  </w:style>
  <w:style w:type="paragraph" w:styleId="ListBullet">
    <w:name w:val="List Bullet"/>
    <w:basedOn w:val="Normal"/>
    <w:uiPriority w:val="99"/>
    <w:semiHidden/>
    <w:unhideWhenUsed/>
    <w:rsid w:val="00732CD8"/>
    <w:pPr>
      <w:tabs>
        <w:tab w:val="num" w:pos="360"/>
      </w:tabs>
      <w:spacing w:before="40" w:after="40" w:line="240" w:lineRule="auto"/>
      <w:ind w:left="360" w:hanging="360"/>
      <w:jc w:val="left"/>
    </w:pPr>
    <w:rPr>
      <w:rFonts w:ascii="Arial" w:hAnsi="Arial"/>
      <w:szCs w:val="20"/>
      <w:lang w:eastAsia="sk-SK"/>
    </w:rPr>
  </w:style>
  <w:style w:type="paragraph" w:styleId="ListNumber3">
    <w:name w:val="List Number 3"/>
    <w:basedOn w:val="Normal"/>
    <w:uiPriority w:val="99"/>
    <w:semiHidden/>
    <w:unhideWhenUsed/>
    <w:rsid w:val="00732CD8"/>
    <w:pPr>
      <w:tabs>
        <w:tab w:val="num" w:pos="907"/>
      </w:tabs>
      <w:spacing w:after="0" w:line="240" w:lineRule="auto"/>
      <w:ind w:left="907" w:hanging="227"/>
      <w:jc w:val="left"/>
    </w:pPr>
    <w:rPr>
      <w:rFonts w:ascii="Arial" w:hAnsi="Arial" w:cs="Arial"/>
      <w:szCs w:val="24"/>
      <w:lang w:eastAsia="sk-SK"/>
    </w:rPr>
  </w:style>
  <w:style w:type="paragraph" w:styleId="Title">
    <w:name w:val="Title"/>
    <w:basedOn w:val="Normal"/>
    <w:link w:val="NzovChar"/>
    <w:uiPriority w:val="10"/>
    <w:qFormat/>
    <w:rsid w:val="00732CD8"/>
    <w:pPr>
      <w:spacing w:before="40" w:after="40" w:line="240" w:lineRule="auto"/>
      <w:jc w:val="center"/>
    </w:pPr>
    <w:rPr>
      <w:rFonts w:ascii="Arial" w:hAnsi="Arial"/>
      <w:b/>
      <w:sz w:val="28"/>
      <w:szCs w:val="20"/>
      <w:lang w:eastAsia="sk-SK"/>
    </w:rPr>
  </w:style>
  <w:style w:type="character" w:customStyle="1" w:styleId="NzovChar">
    <w:name w:val="Názov Char"/>
    <w:basedOn w:val="DefaultParagraphFont"/>
    <w:link w:val="Title"/>
    <w:uiPriority w:val="10"/>
    <w:locked/>
    <w:rsid w:val="00732CD8"/>
    <w:rPr>
      <w:rFonts w:ascii="Arial" w:hAnsi="Arial" w:cs="Times New Roman"/>
      <w:b/>
      <w:sz w:val="20"/>
      <w:szCs w:val="20"/>
      <w:rtl w:val="0"/>
      <w:cs w:val="0"/>
      <w:lang w:val="x-none" w:eastAsia="sk-SK"/>
    </w:rPr>
  </w:style>
  <w:style w:type="paragraph" w:styleId="BodyText">
    <w:name w:val="Body Text"/>
    <w:basedOn w:val="Normal"/>
    <w:link w:val="ZkladntextChar"/>
    <w:uiPriority w:val="99"/>
    <w:semiHidden/>
    <w:unhideWhenUsed/>
    <w:rsid w:val="00732CD8"/>
    <w:pPr>
      <w:widowControl w:val="0"/>
      <w:numPr>
        <w:numId w:val="4"/>
      </w:numPr>
      <w:shd w:val="clear" w:color="auto" w:fill="FFFFFF"/>
      <w:tabs>
        <w:tab w:val="num" w:pos="737"/>
      </w:tabs>
      <w:snapToGrid w:val="0"/>
      <w:spacing w:after="0" w:line="240" w:lineRule="auto"/>
      <w:jc w:val="left"/>
    </w:pPr>
    <w:rPr>
      <w:b/>
      <w:color w:val="000000"/>
      <w:szCs w:val="20"/>
      <w:lang w:eastAsia="sk-SK"/>
    </w:rPr>
  </w:style>
  <w:style w:type="character" w:customStyle="1" w:styleId="ZkladntextChar">
    <w:name w:val="Základný text Char"/>
    <w:basedOn w:val="DefaultParagraphFont"/>
    <w:link w:val="BodyText"/>
    <w:uiPriority w:val="99"/>
    <w:semiHidden/>
    <w:locked/>
    <w:rsid w:val="00732CD8"/>
    <w:rPr>
      <w:rFonts w:cs="Times New Roman"/>
      <w:b/>
      <w:color w:val="000000"/>
      <w:sz w:val="20"/>
      <w:szCs w:val="20"/>
      <w:shd w:val="clear" w:color="auto" w:fill="FFFFFF"/>
      <w:rtl w:val="0"/>
      <w:cs w:val="0"/>
      <w:lang w:val="x-none" w:eastAsia="sk-SK"/>
    </w:rPr>
  </w:style>
  <w:style w:type="paragraph" w:styleId="BodyTextIndent">
    <w:name w:val="Body Text Indent"/>
    <w:basedOn w:val="Normal"/>
    <w:link w:val="ZarkazkladnhotextuChar"/>
    <w:uiPriority w:val="99"/>
    <w:semiHidden/>
    <w:unhideWhenUsed/>
    <w:rsid w:val="00732CD8"/>
    <w:pPr>
      <w:spacing w:line="240" w:lineRule="auto"/>
      <w:ind w:left="283"/>
      <w:jc w:val="left"/>
    </w:pPr>
    <w:rPr>
      <w:szCs w:val="24"/>
      <w:lang w:eastAsia="sk-SK"/>
    </w:rPr>
  </w:style>
  <w:style w:type="character" w:customStyle="1" w:styleId="ZarkazkladnhotextuChar">
    <w:name w:val="Zarážka základného textu Char"/>
    <w:basedOn w:val="DefaultParagraphFont"/>
    <w:link w:val="BodyTextIndent"/>
    <w:uiPriority w:val="99"/>
    <w:semiHidden/>
    <w:locked/>
    <w:rsid w:val="00732CD8"/>
    <w:rPr>
      <w:rFonts w:eastAsia="Times New Roman" w:cs="Times New Roman"/>
      <w:sz w:val="24"/>
      <w:szCs w:val="24"/>
      <w:rtl w:val="0"/>
      <w:cs w:val="0"/>
      <w:lang w:val="x-none" w:eastAsia="sk-SK"/>
    </w:rPr>
  </w:style>
  <w:style w:type="paragraph" w:styleId="Subtitle">
    <w:name w:val="Subtitle"/>
    <w:basedOn w:val="Normal"/>
    <w:link w:val="PodtitulChar"/>
    <w:uiPriority w:val="11"/>
    <w:qFormat/>
    <w:rsid w:val="00732CD8"/>
    <w:pPr>
      <w:spacing w:before="40" w:after="40" w:line="240" w:lineRule="auto"/>
      <w:jc w:val="left"/>
    </w:pPr>
    <w:rPr>
      <w:rFonts w:ascii="Arial" w:hAnsi="Arial"/>
      <w:b/>
      <w:szCs w:val="20"/>
      <w:lang w:eastAsia="sk-SK"/>
    </w:rPr>
  </w:style>
  <w:style w:type="character" w:customStyle="1" w:styleId="PodtitulChar">
    <w:name w:val="Podtitul Char"/>
    <w:basedOn w:val="DefaultParagraphFont"/>
    <w:link w:val="Subtitle"/>
    <w:uiPriority w:val="11"/>
    <w:locked/>
    <w:rsid w:val="00732CD8"/>
    <w:rPr>
      <w:rFonts w:ascii="Arial" w:hAnsi="Arial" w:cs="Times New Roman"/>
      <w:b/>
      <w:sz w:val="20"/>
      <w:szCs w:val="20"/>
      <w:rtl w:val="0"/>
      <w:cs w:val="0"/>
      <w:lang w:val="x-none" w:eastAsia="sk-SK"/>
    </w:rPr>
  </w:style>
  <w:style w:type="paragraph" w:styleId="BodyText2">
    <w:name w:val="Body Text 2"/>
    <w:basedOn w:val="Normal"/>
    <w:link w:val="Zkladntext2Char"/>
    <w:uiPriority w:val="99"/>
    <w:semiHidden/>
    <w:unhideWhenUsed/>
    <w:rsid w:val="00732CD8"/>
    <w:pPr>
      <w:spacing w:before="40" w:after="40" w:line="240" w:lineRule="auto"/>
      <w:jc w:val="left"/>
    </w:pPr>
    <w:rPr>
      <w:rFonts w:ascii="Arial" w:hAnsi="Arial"/>
      <w:sz w:val="26"/>
      <w:szCs w:val="20"/>
      <w:lang w:eastAsia="sk-SK"/>
    </w:rPr>
  </w:style>
  <w:style w:type="character" w:customStyle="1" w:styleId="Zkladntext2Char">
    <w:name w:val="Základný text 2 Char"/>
    <w:basedOn w:val="DefaultParagraphFont"/>
    <w:link w:val="BodyText2"/>
    <w:uiPriority w:val="99"/>
    <w:semiHidden/>
    <w:locked/>
    <w:rsid w:val="00732CD8"/>
    <w:rPr>
      <w:rFonts w:ascii="Arial" w:hAnsi="Arial" w:cs="Times New Roman"/>
      <w:sz w:val="20"/>
      <w:szCs w:val="20"/>
      <w:rtl w:val="0"/>
      <w:cs w:val="0"/>
      <w:lang w:val="x-none" w:eastAsia="sk-SK"/>
    </w:rPr>
  </w:style>
  <w:style w:type="paragraph" w:styleId="BodyText3">
    <w:name w:val="Body Text 3"/>
    <w:basedOn w:val="Normal"/>
    <w:link w:val="Zkladntext3Char"/>
    <w:uiPriority w:val="99"/>
    <w:semiHidden/>
    <w:unhideWhenUsed/>
    <w:rsid w:val="00732CD8"/>
    <w:pPr>
      <w:spacing w:before="40" w:after="40" w:line="240" w:lineRule="auto"/>
      <w:jc w:val="left"/>
    </w:pPr>
    <w:rPr>
      <w:rFonts w:ascii="Arial" w:hAnsi="Arial"/>
      <w:sz w:val="20"/>
      <w:szCs w:val="20"/>
      <w:lang w:eastAsia="sk-SK"/>
    </w:rPr>
  </w:style>
  <w:style w:type="character" w:customStyle="1" w:styleId="Zkladntext3Char">
    <w:name w:val="Základný text 3 Char"/>
    <w:basedOn w:val="DefaultParagraphFont"/>
    <w:link w:val="BodyText3"/>
    <w:uiPriority w:val="99"/>
    <w:semiHidden/>
    <w:locked/>
    <w:rsid w:val="00732CD8"/>
    <w:rPr>
      <w:rFonts w:ascii="Arial" w:hAnsi="Arial" w:cs="Times New Roman"/>
      <w:sz w:val="20"/>
      <w:szCs w:val="20"/>
      <w:rtl w:val="0"/>
      <w:cs w:val="0"/>
      <w:lang w:val="x-none" w:eastAsia="sk-SK"/>
    </w:rPr>
  </w:style>
  <w:style w:type="paragraph" w:styleId="BodyTextIndent2">
    <w:name w:val="Body Text Indent 2"/>
    <w:basedOn w:val="Normal"/>
    <w:link w:val="Zarkazkladnhotextu2Char"/>
    <w:uiPriority w:val="99"/>
    <w:semiHidden/>
    <w:unhideWhenUsed/>
    <w:rsid w:val="00732CD8"/>
    <w:pPr>
      <w:spacing w:before="40" w:after="40" w:line="240" w:lineRule="auto"/>
      <w:ind w:firstLine="708"/>
      <w:jc w:val="left"/>
    </w:pPr>
    <w:rPr>
      <w:rFonts w:ascii="Arial" w:hAnsi="Arial"/>
      <w:szCs w:val="20"/>
      <w:lang w:eastAsia="sk-SK"/>
    </w:rPr>
  </w:style>
  <w:style w:type="character" w:customStyle="1" w:styleId="Zarkazkladnhotextu2Char">
    <w:name w:val="Zarážka základného textu 2 Char"/>
    <w:basedOn w:val="DefaultParagraphFont"/>
    <w:link w:val="BodyTextIndent2"/>
    <w:uiPriority w:val="99"/>
    <w:semiHidden/>
    <w:locked/>
    <w:rsid w:val="00732CD8"/>
    <w:rPr>
      <w:rFonts w:ascii="Arial" w:hAnsi="Arial" w:cs="Times New Roman"/>
      <w:sz w:val="20"/>
      <w:szCs w:val="20"/>
      <w:rtl w:val="0"/>
      <w:cs w:val="0"/>
      <w:lang w:val="x-none" w:eastAsia="sk-SK"/>
    </w:rPr>
  </w:style>
  <w:style w:type="paragraph" w:styleId="PlainText">
    <w:name w:val="Plain Text"/>
    <w:basedOn w:val="Normal"/>
    <w:link w:val="ObyajntextChar"/>
    <w:uiPriority w:val="99"/>
    <w:semiHidden/>
    <w:unhideWhenUsed/>
    <w:rsid w:val="00732CD8"/>
    <w:pPr>
      <w:spacing w:after="0" w:line="240" w:lineRule="auto"/>
      <w:jc w:val="left"/>
    </w:pPr>
    <w:rPr>
      <w:rFonts w:ascii="Courier New" w:hAnsi="Courier New" w:cs="Courier New"/>
      <w:sz w:val="20"/>
      <w:szCs w:val="20"/>
      <w:lang w:eastAsia="cs-CZ"/>
    </w:rPr>
  </w:style>
  <w:style w:type="character" w:customStyle="1" w:styleId="ObyajntextChar">
    <w:name w:val="Obyčajný text Char"/>
    <w:basedOn w:val="DefaultParagraphFont"/>
    <w:link w:val="PlainText"/>
    <w:uiPriority w:val="99"/>
    <w:semiHidden/>
    <w:locked/>
    <w:rsid w:val="00732CD8"/>
    <w:rPr>
      <w:rFonts w:ascii="Courier New" w:hAnsi="Courier New" w:cs="Courier New"/>
      <w:sz w:val="20"/>
      <w:szCs w:val="20"/>
      <w:rtl w:val="0"/>
      <w:cs w:val="0"/>
      <w:lang w:val="x-none" w:eastAsia="cs-CZ"/>
    </w:rPr>
  </w:style>
  <w:style w:type="paragraph" w:styleId="BalloonText">
    <w:name w:val="Balloon Text"/>
    <w:basedOn w:val="Normal"/>
    <w:link w:val="TextbublinyChar"/>
    <w:uiPriority w:val="99"/>
    <w:semiHidden/>
    <w:unhideWhenUsed/>
    <w:rsid w:val="00732CD8"/>
    <w:pPr>
      <w:spacing w:after="0" w:line="240" w:lineRule="auto"/>
      <w:jc w:val="left"/>
    </w:pPr>
    <w:rPr>
      <w:rFonts w:ascii="Tahoma" w:hAnsi="Tahoma" w:cs="Tahoma"/>
      <w:sz w:val="16"/>
      <w:szCs w:val="16"/>
      <w:lang w:eastAsia="sk-SK"/>
    </w:rPr>
  </w:style>
  <w:style w:type="character" w:customStyle="1" w:styleId="TextbublinyChar">
    <w:name w:val="Text bubliny Char"/>
    <w:basedOn w:val="DefaultParagraphFont"/>
    <w:link w:val="BalloonText"/>
    <w:uiPriority w:val="99"/>
    <w:semiHidden/>
    <w:locked/>
    <w:rsid w:val="00732CD8"/>
    <w:rPr>
      <w:rFonts w:ascii="Tahoma" w:hAnsi="Tahoma" w:cs="Tahoma"/>
      <w:sz w:val="16"/>
      <w:szCs w:val="16"/>
      <w:rtl w:val="0"/>
      <w:cs w:val="0"/>
      <w:lang w:val="x-none" w:eastAsia="sk-SK"/>
    </w:rPr>
  </w:style>
  <w:style w:type="paragraph" w:customStyle="1" w:styleId="Normlny-podiarknut">
    <w:name w:val="Normálny - podčiarknutý"/>
    <w:rsid w:val="00732CD8"/>
    <w:pPr>
      <w:framePr w:wrap="auto"/>
      <w:widowControl/>
      <w:autoSpaceDE/>
      <w:autoSpaceDN/>
      <w:adjustRightInd/>
      <w:spacing w:before="40" w:after="40"/>
      <w:ind w:left="0" w:right="0"/>
      <w:jc w:val="left"/>
      <w:textAlignment w:val="auto"/>
    </w:pPr>
    <w:rPr>
      <w:rFonts w:ascii="Arial" w:hAnsi="Arial" w:cs="Times New Roman"/>
      <w:sz w:val="24"/>
      <w:szCs w:val="20"/>
      <w:u w:val="single"/>
      <w:rtl w:val="0"/>
      <w:cs w:val="0"/>
      <w:lang w:val="sk-SK" w:eastAsia="sk-SK" w:bidi="ar-SA"/>
    </w:rPr>
  </w:style>
  <w:style w:type="paragraph" w:customStyle="1" w:styleId="Podnadpis">
    <w:name w:val="Podnadpis"/>
    <w:next w:val="Normal"/>
    <w:rsid w:val="00732CD8"/>
    <w:pPr>
      <w:framePr w:wrap="auto"/>
      <w:widowControl/>
      <w:autoSpaceDE/>
      <w:autoSpaceDN/>
      <w:adjustRightInd/>
      <w:spacing w:before="80" w:after="40"/>
      <w:ind w:left="0" w:right="0" w:firstLine="709"/>
      <w:jc w:val="left"/>
      <w:textAlignment w:val="auto"/>
    </w:pPr>
    <w:rPr>
      <w:rFonts w:ascii="Arial" w:hAnsi="Arial" w:cs="Times New Roman"/>
      <w:b/>
      <w:i/>
      <w:sz w:val="24"/>
      <w:szCs w:val="20"/>
      <w:rtl w:val="0"/>
      <w:cs w:val="0"/>
      <w:lang w:val="sk-SK" w:eastAsia="sk-SK" w:bidi="ar-SA"/>
    </w:rPr>
  </w:style>
  <w:style w:type="paragraph" w:customStyle="1" w:styleId="Normlny-odrka">
    <w:name w:val="Normálny - odrážka"/>
    <w:rsid w:val="00732CD8"/>
    <w:pPr>
      <w:framePr w:wrap="auto"/>
      <w:widowControl/>
      <w:autoSpaceDE/>
      <w:autoSpaceDN/>
      <w:adjustRightInd/>
      <w:spacing w:before="40" w:after="40"/>
      <w:ind w:left="0" w:right="0" w:firstLine="709"/>
      <w:jc w:val="left"/>
      <w:textAlignment w:val="auto"/>
    </w:pPr>
    <w:rPr>
      <w:rFonts w:ascii="Arial" w:hAnsi="Arial" w:cs="Times New Roman"/>
      <w:sz w:val="24"/>
      <w:szCs w:val="20"/>
      <w:rtl w:val="0"/>
      <w:cs w:val="0"/>
      <w:lang w:val="sk-SK" w:eastAsia="sk-SK" w:bidi="ar-SA"/>
    </w:rPr>
  </w:style>
  <w:style w:type="paragraph" w:customStyle="1" w:styleId="vytlaok">
    <w:name w:val="vytlačok č."/>
    <w:rsid w:val="00732CD8"/>
    <w:pPr>
      <w:framePr w:wrap="auto"/>
      <w:widowControl/>
      <w:numPr>
        <w:numId w:val="5"/>
      </w:numPr>
      <w:tabs>
        <w:tab w:val="num" w:pos="1418"/>
        <w:tab w:val="left" w:pos="5103"/>
      </w:tabs>
      <w:autoSpaceDE/>
      <w:autoSpaceDN/>
      <w:adjustRightInd/>
      <w:ind w:left="0" w:right="0"/>
      <w:jc w:val="left"/>
      <w:textAlignment w:val="auto"/>
    </w:pPr>
    <w:rPr>
      <w:rFonts w:ascii="Arial" w:hAnsi="Arial" w:cs="Times New Roman"/>
      <w:sz w:val="22"/>
      <w:szCs w:val="20"/>
      <w:rtl w:val="0"/>
      <w:cs w:val="0"/>
      <w:lang w:val="sk-SK" w:eastAsia="sk-SK" w:bidi="ar-SA"/>
    </w:rPr>
  </w:style>
  <w:style w:type="paragraph" w:customStyle="1" w:styleId="Zoznamslo">
    <w:name w:val="Zoznam číslo"/>
    <w:rsid w:val="00732CD8"/>
    <w:pPr>
      <w:framePr w:wrap="auto"/>
      <w:widowControl/>
      <w:numPr>
        <w:numId w:val="6"/>
      </w:numPr>
      <w:tabs>
        <w:tab w:val="num" w:pos="737"/>
      </w:tabs>
      <w:autoSpaceDE/>
      <w:autoSpaceDN/>
      <w:adjustRightInd/>
      <w:spacing w:before="40" w:after="40"/>
      <w:ind w:left="738" w:right="0" w:hanging="369"/>
      <w:jc w:val="left"/>
      <w:textAlignment w:val="auto"/>
    </w:pPr>
    <w:rPr>
      <w:rFonts w:ascii="Arial" w:hAnsi="Arial" w:cs="Times New Roman"/>
      <w:sz w:val="24"/>
      <w:szCs w:val="20"/>
      <w:rtl w:val="0"/>
      <w:cs w:val="0"/>
      <w:lang w:val="sk-SK" w:eastAsia="sk-SK" w:bidi="ar-SA"/>
    </w:rPr>
  </w:style>
  <w:style w:type="paragraph" w:customStyle="1" w:styleId="Zoznampsmeno">
    <w:name w:val="Zoznam písmeno"/>
    <w:rsid w:val="00732CD8"/>
    <w:pPr>
      <w:framePr w:wrap="auto"/>
      <w:widowControl/>
      <w:numPr>
        <w:numId w:val="7"/>
      </w:numPr>
      <w:tabs>
        <w:tab w:val="num" w:pos="369"/>
      </w:tabs>
      <w:autoSpaceDE/>
      <w:autoSpaceDN/>
      <w:adjustRightInd/>
      <w:spacing w:before="40" w:after="40"/>
      <w:ind w:left="369" w:right="0" w:hanging="369"/>
      <w:jc w:val="left"/>
      <w:textAlignment w:val="auto"/>
    </w:pPr>
    <w:rPr>
      <w:rFonts w:ascii="Arial" w:hAnsi="Arial" w:cs="Times New Roman"/>
      <w:sz w:val="24"/>
      <w:szCs w:val="20"/>
      <w:rtl w:val="0"/>
      <w:cs w:val="0"/>
      <w:lang w:val="sk-SK" w:eastAsia="sk-SK" w:bidi="ar-SA"/>
    </w:rPr>
  </w:style>
  <w:style w:type="paragraph" w:customStyle="1" w:styleId="Zoznamznaka">
    <w:name w:val="Zoznam značka"/>
    <w:rsid w:val="00732CD8"/>
    <w:pPr>
      <w:framePr w:wrap="auto"/>
      <w:widowControl/>
      <w:numPr>
        <w:numId w:val="8"/>
      </w:numPr>
      <w:tabs>
        <w:tab w:val="num" w:pos="369"/>
      </w:tabs>
      <w:autoSpaceDE/>
      <w:autoSpaceDN/>
      <w:adjustRightInd/>
      <w:spacing w:before="40" w:after="40"/>
      <w:ind w:left="369" w:right="0" w:hanging="369"/>
      <w:jc w:val="left"/>
      <w:textAlignment w:val="auto"/>
    </w:pPr>
    <w:rPr>
      <w:rFonts w:ascii="Arial" w:hAnsi="Arial" w:cs="Times New Roman"/>
      <w:sz w:val="24"/>
      <w:szCs w:val="20"/>
      <w:rtl w:val="0"/>
      <w:cs w:val="0"/>
      <w:lang w:val="sk-SK" w:eastAsia="sk-SK" w:bidi="ar-SA"/>
    </w:rPr>
  </w:style>
  <w:style w:type="paragraph" w:customStyle="1" w:styleId="Zoznamznaka1">
    <w:name w:val="Zoznam značka 1"/>
    <w:rsid w:val="00732CD8"/>
    <w:pPr>
      <w:framePr w:wrap="auto"/>
      <w:widowControl/>
      <w:numPr>
        <w:numId w:val="9"/>
      </w:numPr>
      <w:tabs>
        <w:tab w:val="num" w:pos="737"/>
      </w:tabs>
      <w:autoSpaceDE/>
      <w:autoSpaceDN/>
      <w:adjustRightInd/>
      <w:spacing w:before="40" w:after="40"/>
      <w:ind w:left="738" w:right="0" w:hanging="369"/>
      <w:jc w:val="left"/>
      <w:textAlignment w:val="auto"/>
    </w:pPr>
    <w:rPr>
      <w:rFonts w:ascii="Arial" w:hAnsi="Arial" w:cs="Times New Roman"/>
      <w:sz w:val="24"/>
      <w:szCs w:val="20"/>
      <w:rtl w:val="0"/>
      <w:cs w:val="0"/>
      <w:lang w:val="sk-SK" w:eastAsia="sk-SK" w:bidi="ar-SA"/>
    </w:rPr>
  </w:style>
  <w:style w:type="paragraph" w:customStyle="1" w:styleId="NoStyle">
    <w:name w:val="NoStyle"/>
    <w:rsid w:val="00732CD8"/>
    <w:pPr>
      <w:framePr w:wrap="auto"/>
      <w:widowControl/>
      <w:autoSpaceDE/>
      <w:autoSpaceDN/>
      <w:adjustRightInd/>
      <w:ind w:left="0" w:right="0"/>
      <w:jc w:val="left"/>
      <w:textAlignment w:val="auto"/>
    </w:pPr>
    <w:rPr>
      <w:rFonts w:ascii="Arial" w:hAnsi="Arial" w:cs="Times New Roman"/>
      <w:sz w:val="24"/>
      <w:szCs w:val="20"/>
      <w:rtl w:val="0"/>
      <w:cs w:val="0"/>
      <w:lang w:val="sk-SK" w:eastAsia="sk-SK" w:bidi="ar-SA"/>
    </w:rPr>
  </w:style>
  <w:style w:type="paragraph" w:customStyle="1" w:styleId="Podnadpis2">
    <w:name w:val="Podnadpis 2"/>
    <w:next w:val="Normal"/>
    <w:rsid w:val="00732CD8"/>
    <w:pPr>
      <w:framePr w:wrap="auto"/>
      <w:widowControl/>
      <w:autoSpaceDE/>
      <w:autoSpaceDN/>
      <w:adjustRightInd/>
      <w:spacing w:before="80" w:after="40"/>
      <w:ind w:left="0" w:right="0"/>
      <w:jc w:val="left"/>
      <w:textAlignment w:val="auto"/>
    </w:pPr>
    <w:rPr>
      <w:rFonts w:ascii="Arial" w:hAnsi="Arial" w:cs="Times New Roman"/>
      <w:b/>
      <w:i/>
      <w:sz w:val="24"/>
      <w:szCs w:val="20"/>
      <w:rtl w:val="0"/>
      <w:cs w:val="0"/>
      <w:lang w:val="sk-SK" w:eastAsia="sk-SK" w:bidi="ar-SA"/>
    </w:rPr>
  </w:style>
  <w:style w:type="paragraph" w:customStyle="1" w:styleId="Rozhovor-odpove">
    <w:name w:val="Rozhovor-odpoveď"/>
    <w:next w:val="Rozhovor-otzka"/>
    <w:rsid w:val="00732CD8"/>
    <w:pPr>
      <w:framePr w:wrap="auto"/>
      <w:widowControl/>
      <w:numPr>
        <w:numId w:val="11"/>
      </w:numPr>
      <w:tabs>
        <w:tab w:val="num" w:pos="360"/>
      </w:tabs>
      <w:autoSpaceDE/>
      <w:autoSpaceDN/>
      <w:adjustRightInd/>
      <w:spacing w:after="240"/>
      <w:ind w:left="357" w:right="0" w:hanging="357"/>
      <w:jc w:val="left"/>
      <w:textAlignment w:val="auto"/>
    </w:pPr>
    <w:rPr>
      <w:rFonts w:ascii="Arial" w:hAnsi="Arial" w:cs="Times New Roman"/>
      <w:sz w:val="24"/>
      <w:szCs w:val="20"/>
      <w:rtl w:val="0"/>
      <w:cs w:val="0"/>
      <w:lang w:val="sk-SK" w:eastAsia="sk-SK" w:bidi="ar-SA"/>
    </w:rPr>
  </w:style>
  <w:style w:type="paragraph" w:customStyle="1" w:styleId="Rozhovor-otzka">
    <w:name w:val="Rozhovor-otázka"/>
    <w:next w:val="Rozhovor-odpove"/>
    <w:rsid w:val="00732CD8"/>
    <w:pPr>
      <w:framePr w:wrap="auto"/>
      <w:widowControl/>
      <w:numPr>
        <w:numId w:val="10"/>
      </w:numPr>
      <w:tabs>
        <w:tab w:val="num" w:pos="360"/>
      </w:tabs>
      <w:autoSpaceDE/>
      <w:autoSpaceDN/>
      <w:adjustRightInd/>
      <w:spacing w:before="40"/>
      <w:ind w:left="357" w:right="0" w:hanging="357"/>
      <w:jc w:val="left"/>
      <w:textAlignment w:val="auto"/>
    </w:pPr>
    <w:rPr>
      <w:rFonts w:ascii="Arial" w:hAnsi="Arial" w:cs="Times New Roman"/>
      <w:noProof/>
      <w:sz w:val="24"/>
      <w:szCs w:val="20"/>
      <w:rtl w:val="0"/>
      <w:cs w:val="0"/>
      <w:lang w:val="sk-SK" w:eastAsia="sk-SK" w:bidi="ar-SA"/>
    </w:rPr>
  </w:style>
  <w:style w:type="paragraph" w:customStyle="1" w:styleId="Zoznamznaka2">
    <w:name w:val="Zoznam značka 2"/>
    <w:rsid w:val="00732CD8"/>
    <w:pPr>
      <w:framePr w:wrap="auto"/>
      <w:widowControl/>
      <w:tabs>
        <w:tab w:val="num" w:pos="737"/>
      </w:tabs>
      <w:autoSpaceDE/>
      <w:autoSpaceDN/>
      <w:adjustRightInd/>
      <w:ind w:left="737" w:right="0" w:hanging="368"/>
      <w:jc w:val="left"/>
      <w:textAlignment w:val="auto"/>
    </w:pPr>
    <w:rPr>
      <w:rFonts w:ascii="Arial" w:hAnsi="Arial" w:cs="Times New Roman"/>
      <w:i/>
      <w:noProof/>
      <w:sz w:val="24"/>
      <w:szCs w:val="20"/>
      <w:rtl w:val="0"/>
      <w:cs w:val="0"/>
      <w:lang w:val="sk-SK" w:eastAsia="sk-SK" w:bidi="ar-SA"/>
    </w:rPr>
  </w:style>
  <w:style w:type="paragraph" w:customStyle="1" w:styleId="Zkladntext1">
    <w:name w:val="Základní text1"/>
    <w:rsid w:val="00732CD8"/>
    <w:pPr>
      <w:framePr w:wrap="auto"/>
      <w:widowControl/>
      <w:autoSpaceDE/>
      <w:autoSpaceDN/>
      <w:adjustRightInd/>
      <w:snapToGrid w:val="0"/>
      <w:ind w:left="0" w:right="0"/>
      <w:jc w:val="left"/>
      <w:textAlignment w:val="auto"/>
    </w:pPr>
    <w:rPr>
      <w:rFonts w:ascii="Arial" w:hAnsi="Arial" w:cs="Times New Roman"/>
      <w:color w:val="000000"/>
      <w:sz w:val="24"/>
      <w:szCs w:val="20"/>
      <w:rtl w:val="0"/>
      <w:cs w:val="0"/>
      <w:lang w:val="sk-SK" w:eastAsia="sk-SK" w:bidi="ar-SA"/>
    </w:rPr>
  </w:style>
  <w:style w:type="paragraph" w:customStyle="1" w:styleId="Pravtabuka">
    <w:name w:val="Pravá tabuľka"/>
    <w:rsid w:val="00732CD8"/>
    <w:pPr>
      <w:framePr w:wrap="auto"/>
      <w:widowControl/>
      <w:autoSpaceDE/>
      <w:autoSpaceDN/>
      <w:adjustRightInd/>
      <w:ind w:left="0" w:right="0"/>
      <w:jc w:val="left"/>
      <w:textAlignment w:val="auto"/>
    </w:pPr>
    <w:rPr>
      <w:rFonts w:ascii="Arial" w:hAnsi="Arial" w:cs="Arial"/>
      <w:color w:val="000000"/>
      <w:sz w:val="24"/>
      <w:szCs w:val="24"/>
      <w:rtl w:val="0"/>
      <w:cs w:val="0"/>
      <w:lang w:val="sk-SK" w:eastAsia="sk-SK" w:bidi="ar-SA"/>
    </w:rPr>
  </w:style>
  <w:style w:type="paragraph" w:customStyle="1" w:styleId="Zkladntext">
    <w:name w:val="Základní text"/>
    <w:rsid w:val="00732CD8"/>
    <w:pPr>
      <w:framePr w:wrap="auto"/>
      <w:widowControl/>
      <w:autoSpaceDE/>
      <w:autoSpaceDN/>
      <w:adjustRightInd/>
      <w:snapToGrid w:val="0"/>
      <w:ind w:left="0" w:right="0"/>
      <w:jc w:val="left"/>
      <w:textAlignment w:val="auto"/>
    </w:pPr>
    <w:rPr>
      <w:rFonts w:ascii="Arial" w:hAnsi="Arial" w:cs="Times New Roman"/>
      <w:color w:val="000000"/>
      <w:sz w:val="24"/>
      <w:szCs w:val="20"/>
      <w:rtl w:val="0"/>
      <w:cs w:val="0"/>
      <w:lang w:val="sk-SK" w:eastAsia="sk-SK" w:bidi="ar-SA"/>
    </w:rPr>
  </w:style>
  <w:style w:type="paragraph" w:customStyle="1" w:styleId="CharChar">
    <w:name w:val="Char Char"/>
    <w:basedOn w:val="Normal"/>
    <w:rsid w:val="00732CD8"/>
    <w:pPr>
      <w:spacing w:after="160" w:line="240" w:lineRule="exact"/>
      <w:jc w:val="left"/>
    </w:pPr>
    <w:rPr>
      <w:rFonts w:ascii="Tahoma" w:hAnsi="Tahoma" w:cs="Tahoma"/>
      <w:sz w:val="20"/>
      <w:szCs w:val="20"/>
      <w:lang w:val="en-US"/>
    </w:rPr>
  </w:style>
  <w:style w:type="character" w:styleId="FootnoteReference">
    <w:name w:val="footnote reference"/>
    <w:basedOn w:val="DefaultParagraphFont"/>
    <w:uiPriority w:val="99"/>
    <w:semiHidden/>
    <w:unhideWhenUsed/>
    <w:rsid w:val="00732CD8"/>
    <w:rPr>
      <w:rFonts w:ascii="Times New Roman" w:hAnsi="Times New Roman" w:cs="Times New Roman"/>
      <w:vertAlign w:val="superscript"/>
      <w:rtl w:val="0"/>
      <w:cs w:val="0"/>
    </w:rPr>
  </w:style>
  <w:style w:type="character" w:customStyle="1" w:styleId="PlainTextChar">
    <w:name w:val="Plain Text Char"/>
    <w:basedOn w:val="DefaultParagraphFont"/>
    <w:locked/>
    <w:rsid w:val="00732CD8"/>
    <w:rPr>
      <w:rFonts w:ascii="Courier New" w:hAnsi="Courier New" w:cs="Courier New"/>
      <w:rtl w:val="0"/>
      <w:cs w:val="0"/>
      <w:lang w:val="sk-SK" w:eastAsia="cs-CZ" w:bidi="ar-SA"/>
    </w:rPr>
  </w:style>
  <w:style w:type="table" w:styleId="TableGrid">
    <w:name w:val="Table Grid"/>
    <w:basedOn w:val="TableNormal"/>
    <w:uiPriority w:val="59"/>
    <w:rsid w:val="00732CD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70393-7A47-43A9-9961-3A82A57B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20</Pages>
  <Words>5809</Words>
  <Characters>33113</Characters>
  <Application>Microsoft Office Word</Application>
  <DocSecurity>0</DocSecurity>
  <Lines>0</Lines>
  <Paragraphs>0</Paragraphs>
  <ScaleCrop>false</ScaleCrop>
  <Company>Kancelaria NR SR</Company>
  <LinksUpToDate>false</LinksUpToDate>
  <CharactersWithSpaces>38845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Mazuráková, Vladislava</dc:creator>
  <cp:lastModifiedBy>Mazuráková, Vladislava</cp:lastModifiedBy>
  <cp:revision>3</cp:revision>
  <cp:lastPrinted>2012-05-23T08:02:00Z</cp:lastPrinted>
  <dcterms:created xsi:type="dcterms:W3CDTF">2012-06-12T14:47:00Z</dcterms:created>
  <dcterms:modified xsi:type="dcterms:W3CDTF">2012-06-14T06:37:00Z</dcterms:modified>
</cp:coreProperties>
</file>