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42EF5" w:rsidRPr="00666306" w:rsidP="00F42EF5">
      <w:pPr>
        <w:autoSpaceDE w:val="0"/>
        <w:autoSpaceDN w:val="0"/>
        <w:bidi w:val="0"/>
        <w:adjustRightInd w:val="0"/>
        <w:spacing w:after="0" w:line="240" w:lineRule="auto"/>
        <w:jc w:val="center"/>
        <w:rPr>
          <w:rFonts w:ascii="Times New Roman" w:hAnsi="Times New Roman"/>
          <w:b/>
          <w:bCs/>
          <w:sz w:val="24"/>
          <w:szCs w:val="24"/>
        </w:rPr>
      </w:pPr>
    </w:p>
    <w:p w:rsidR="00F42EF5" w:rsidP="00F42EF5">
      <w:pPr>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ZMENA DOHODY O ZALOŽENÍ EURÓPSKEJ BANKY PRE OBNOVU A ROZVOJ, KTORÁ UMOŽNÍ VYUŽÍVANIE ŠPECIÁLNYCH FONDOV V PRIJÍMAJÚCICH KRAJINÁCH A V POTENCIÁLNYCH PRIJÍMAJÚCICH KRAJINÁCH</w:t>
      </w:r>
      <w:r w:rsidR="007B12E8">
        <w:rPr>
          <w:rFonts w:ascii="Times New Roman" w:hAnsi="Times New Roman"/>
          <w:b/>
          <w:bCs/>
          <w:sz w:val="24"/>
          <w:szCs w:val="24"/>
        </w:rPr>
        <w:t xml:space="preserve"> (REZOLÚCIA Č. 138)</w:t>
      </w:r>
    </w:p>
    <w:p w:rsidR="00F42EF5" w:rsidP="00F42EF5">
      <w:pPr>
        <w:autoSpaceDE w:val="0"/>
        <w:autoSpaceDN w:val="0"/>
        <w:bidi w:val="0"/>
        <w:adjustRightInd w:val="0"/>
        <w:spacing w:after="0" w:line="240" w:lineRule="auto"/>
        <w:jc w:val="center"/>
        <w:rPr>
          <w:rFonts w:ascii="Times New Roman" w:hAnsi="Times New Roman"/>
          <w:b/>
          <w:bCs/>
          <w:sz w:val="24"/>
          <w:szCs w:val="24"/>
        </w:rPr>
      </w:pPr>
    </w:p>
    <w:p w:rsidR="00F42EF5" w:rsidP="00F42EF5">
      <w:pPr>
        <w:autoSpaceDE w:val="0"/>
        <w:autoSpaceDN w:val="0"/>
        <w:bidi w:val="0"/>
        <w:adjustRightInd w:val="0"/>
        <w:spacing w:after="0" w:line="240" w:lineRule="auto"/>
        <w:jc w:val="center"/>
        <w:rPr>
          <w:rFonts w:ascii="Times New Roman" w:hAnsi="Times New Roman"/>
          <w:b/>
          <w:bCs/>
          <w:sz w:val="24"/>
          <w:szCs w:val="24"/>
        </w:rPr>
      </w:pPr>
    </w:p>
    <w:p w:rsidR="00F42EF5" w:rsidP="00F42EF5">
      <w:pPr>
        <w:autoSpaceDE w:val="0"/>
        <w:autoSpaceDN w:val="0"/>
        <w:bidi w:val="0"/>
        <w:adjustRightInd w:val="0"/>
        <w:spacing w:after="0" w:line="240" w:lineRule="auto"/>
        <w:rPr>
          <w:rFonts w:ascii="Times New Roman" w:hAnsi="Times New Roman"/>
          <w:b/>
          <w:bCs/>
          <w:sz w:val="24"/>
          <w:szCs w:val="24"/>
        </w:rPr>
      </w:pPr>
    </w:p>
    <w:p w:rsidR="00F42EF5" w:rsidP="00F42EF5">
      <w:pPr>
        <w:autoSpaceDE w:val="0"/>
        <w:autoSpaceDN w:val="0"/>
        <w:bidi w:val="0"/>
        <w:adjustRightInd w:val="0"/>
        <w:spacing w:after="0" w:line="240" w:lineRule="auto"/>
        <w:rPr>
          <w:rFonts w:ascii="Times New Roman" w:hAnsi="Times New Roman"/>
          <w:bCs/>
          <w:sz w:val="24"/>
          <w:szCs w:val="24"/>
        </w:rPr>
      </w:pPr>
      <w:r>
        <w:rPr>
          <w:rFonts w:ascii="Times New Roman" w:hAnsi="Times New Roman"/>
          <w:bCs/>
          <w:sz w:val="24"/>
          <w:szCs w:val="24"/>
        </w:rPr>
        <w:t>RADA GUVERNÉROV</w:t>
      </w:r>
    </w:p>
    <w:p w:rsidR="00F42EF5" w:rsidP="00F42EF5">
      <w:pPr>
        <w:autoSpaceDE w:val="0"/>
        <w:autoSpaceDN w:val="0"/>
        <w:bidi w:val="0"/>
        <w:adjustRightInd w:val="0"/>
        <w:spacing w:after="0" w:line="240" w:lineRule="auto"/>
        <w:rPr>
          <w:rFonts w:ascii="Times New Roman" w:hAnsi="Times New Roman"/>
          <w:bCs/>
          <w:sz w:val="24"/>
          <w:szCs w:val="24"/>
        </w:rPr>
      </w:pPr>
    </w:p>
    <w:p w:rsidR="00F42EF5" w:rsidP="00F42EF5">
      <w:pPr>
        <w:autoSpaceDE w:val="0"/>
        <w:autoSpaceDN w:val="0"/>
        <w:bidi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Berúc do úvahy, že prijatím </w:t>
      </w:r>
      <w:r w:rsidR="00D429A1">
        <w:rPr>
          <w:rFonts w:ascii="Times New Roman" w:hAnsi="Times New Roman"/>
          <w:bCs/>
          <w:sz w:val="24"/>
          <w:szCs w:val="24"/>
        </w:rPr>
        <w:t>rezolúcie</w:t>
      </w:r>
      <w:r>
        <w:rPr>
          <w:rFonts w:ascii="Times New Roman" w:hAnsi="Times New Roman"/>
          <w:bCs/>
          <w:sz w:val="24"/>
          <w:szCs w:val="24"/>
        </w:rPr>
        <w:t xml:space="preserve"> č. 137 Rada guvernérov schváli zmenu článku 1 Dohody o založení Európskej banky pre obnovu a rozvoj (ďalej len „dohoda“</w:t>
      </w:r>
      <w:r w:rsidR="00D35C21">
        <w:rPr>
          <w:rFonts w:ascii="Times New Roman" w:hAnsi="Times New Roman"/>
          <w:bCs/>
          <w:sz w:val="24"/>
          <w:szCs w:val="24"/>
        </w:rPr>
        <w:t>), ktorou bude banka oprávnená vykonávať svoje  ciele v krajinách južného a východného Stredozemia;</w:t>
      </w:r>
    </w:p>
    <w:p w:rsidR="00D35C21" w:rsidP="00F42EF5">
      <w:pPr>
        <w:autoSpaceDE w:val="0"/>
        <w:autoSpaceDN w:val="0"/>
        <w:bidi w:val="0"/>
        <w:adjustRightInd w:val="0"/>
        <w:spacing w:after="0" w:line="240" w:lineRule="auto"/>
        <w:jc w:val="both"/>
        <w:rPr>
          <w:rFonts w:ascii="Times New Roman" w:hAnsi="Times New Roman"/>
          <w:bCs/>
          <w:sz w:val="24"/>
          <w:szCs w:val="24"/>
        </w:rPr>
      </w:pPr>
    </w:p>
    <w:p w:rsidR="00D35C21" w:rsidRPr="00D35C21" w:rsidP="00F42EF5">
      <w:pPr>
        <w:autoSpaceDE w:val="0"/>
        <w:autoSpaceDN w:val="0"/>
        <w:bidi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Odvolajúc sa na </w:t>
      </w:r>
      <w:r w:rsidR="00D429A1">
        <w:rPr>
          <w:rFonts w:ascii="Times New Roman" w:hAnsi="Times New Roman"/>
          <w:bCs/>
          <w:sz w:val="24"/>
          <w:szCs w:val="24"/>
        </w:rPr>
        <w:t>rezolúciu</w:t>
      </w:r>
      <w:r>
        <w:rPr>
          <w:rFonts w:ascii="Times New Roman" w:hAnsi="Times New Roman"/>
          <w:bCs/>
          <w:sz w:val="24"/>
          <w:szCs w:val="24"/>
        </w:rPr>
        <w:t xml:space="preserve"> č. 134 </w:t>
      </w:r>
      <w:r>
        <w:rPr>
          <w:rFonts w:ascii="Times New Roman" w:hAnsi="Times New Roman"/>
          <w:bCs/>
          <w:i/>
          <w:sz w:val="24"/>
          <w:szCs w:val="24"/>
        </w:rPr>
        <w:t>Možné geografické rozšírenie rozsahu pôsobenia banky</w:t>
      </w:r>
      <w:r w:rsidR="00D429A1">
        <w:rPr>
          <w:rFonts w:ascii="Times New Roman" w:hAnsi="Times New Roman"/>
          <w:bCs/>
          <w:sz w:val="24"/>
          <w:szCs w:val="24"/>
        </w:rPr>
        <w:t xml:space="preserve"> prijatú 21. mája 2011, ktorou</w:t>
      </w:r>
      <w:r>
        <w:rPr>
          <w:rFonts w:ascii="Times New Roman" w:hAnsi="Times New Roman"/>
          <w:bCs/>
          <w:sz w:val="24"/>
          <w:szCs w:val="24"/>
        </w:rPr>
        <w:t xml:space="preserve"> Rada guvernérov požiadala Radu riaditeľov pripraviť odporúčania pre Radu guvernérov týkajúcich sa, </w:t>
      </w:r>
      <w:r>
        <w:rPr>
          <w:rFonts w:ascii="Times New Roman" w:hAnsi="Times New Roman"/>
          <w:bCs/>
          <w:i/>
          <w:sz w:val="24"/>
          <w:szCs w:val="24"/>
        </w:rPr>
        <w:t xml:space="preserve">okrem iného, </w:t>
      </w:r>
      <w:r>
        <w:rPr>
          <w:rFonts w:ascii="Times New Roman" w:hAnsi="Times New Roman"/>
          <w:bCs/>
          <w:sz w:val="24"/>
          <w:szCs w:val="24"/>
        </w:rPr>
        <w:t xml:space="preserve">možných ďalších krokov, ktoré umožnia banke čo najskôr začať vykonávať operácie v perspektívnych prijímajúcich krajinách rozšíreného regiónu; </w:t>
      </w:r>
    </w:p>
    <w:p w:rsidR="00D35C21" w:rsidP="00F42EF5">
      <w:pPr>
        <w:autoSpaceDE w:val="0"/>
        <w:autoSpaceDN w:val="0"/>
        <w:bidi w:val="0"/>
        <w:adjustRightInd w:val="0"/>
        <w:spacing w:after="0" w:line="240" w:lineRule="auto"/>
        <w:jc w:val="both"/>
        <w:rPr>
          <w:rFonts w:ascii="Times New Roman" w:hAnsi="Times New Roman"/>
          <w:bCs/>
          <w:sz w:val="24"/>
          <w:szCs w:val="24"/>
        </w:rPr>
      </w:pPr>
    </w:p>
    <w:p w:rsidR="00DD51C0" w:rsidP="00DD51C0">
      <w:pPr>
        <w:autoSpaceDE w:val="0"/>
        <w:autoSpaceDN w:val="0"/>
        <w:bidi w:val="0"/>
        <w:adjustRightInd w:val="0"/>
        <w:spacing w:after="0" w:line="240" w:lineRule="auto"/>
        <w:jc w:val="both"/>
        <w:rPr>
          <w:rFonts w:ascii="Times New Roman" w:hAnsi="Times New Roman"/>
          <w:bCs/>
          <w:sz w:val="24"/>
          <w:szCs w:val="24"/>
        </w:rPr>
      </w:pPr>
      <w:r>
        <w:rPr>
          <w:rFonts w:ascii="Times New Roman" w:hAnsi="Times New Roman"/>
          <w:bCs/>
          <w:sz w:val="24"/>
          <w:szCs w:val="24"/>
        </w:rPr>
        <w:t>Posúdiac a súhlasiac so správou Rady riaditeľov pre Radu guvernérov o </w:t>
      </w:r>
      <w:r>
        <w:rPr>
          <w:rFonts w:ascii="Times New Roman" w:hAnsi="Times New Roman"/>
          <w:bCs/>
          <w:i/>
          <w:sz w:val="24"/>
          <w:szCs w:val="24"/>
        </w:rPr>
        <w:t>Geografickom rozšírení rozsahu pôsobenia banky o južné a východné Stredozemie</w:t>
      </w:r>
      <w:r>
        <w:rPr>
          <w:rFonts w:ascii="Times New Roman" w:hAnsi="Times New Roman"/>
          <w:bCs/>
          <w:sz w:val="24"/>
          <w:szCs w:val="24"/>
        </w:rPr>
        <w:t xml:space="preserve"> a jej odporúčaniami, </w:t>
      </w:r>
      <w:r>
        <w:rPr>
          <w:rFonts w:ascii="Times New Roman" w:hAnsi="Times New Roman"/>
          <w:bCs/>
          <w:i/>
          <w:sz w:val="24"/>
          <w:szCs w:val="24"/>
        </w:rPr>
        <w:t xml:space="preserve">okrem iného, </w:t>
      </w:r>
      <w:r>
        <w:rPr>
          <w:rFonts w:ascii="Times New Roman" w:hAnsi="Times New Roman"/>
          <w:bCs/>
          <w:sz w:val="24"/>
          <w:szCs w:val="24"/>
        </w:rPr>
        <w:t>že Rada guvernérov schváli zmenu článku 18 dohody, ktorá umožní banke využívanie špeciálnych fondov v prijímajúcich krajinách a v potenciálnych prijímajúcich krajinách;</w:t>
      </w:r>
    </w:p>
    <w:p w:rsidR="00DD51C0" w:rsidP="00DD51C0">
      <w:pPr>
        <w:autoSpaceDE w:val="0"/>
        <w:autoSpaceDN w:val="0"/>
        <w:bidi w:val="0"/>
        <w:adjustRightInd w:val="0"/>
        <w:spacing w:after="0" w:line="240" w:lineRule="auto"/>
        <w:jc w:val="both"/>
        <w:rPr>
          <w:rFonts w:ascii="Times New Roman" w:hAnsi="Times New Roman"/>
          <w:bCs/>
          <w:sz w:val="24"/>
          <w:szCs w:val="24"/>
        </w:rPr>
      </w:pPr>
    </w:p>
    <w:p w:rsidR="00DD51C0" w:rsidP="00DD51C0">
      <w:pPr>
        <w:autoSpaceDE w:val="0"/>
        <w:autoSpaceDN w:val="0"/>
        <w:bidi w:val="0"/>
        <w:adjustRightInd w:val="0"/>
        <w:spacing w:after="0" w:line="240" w:lineRule="auto"/>
        <w:jc w:val="both"/>
        <w:rPr>
          <w:rFonts w:ascii="Times New Roman" w:hAnsi="Times New Roman"/>
          <w:bCs/>
          <w:sz w:val="24"/>
          <w:szCs w:val="24"/>
        </w:rPr>
      </w:pPr>
      <w:r>
        <w:rPr>
          <w:rFonts w:ascii="Times New Roman" w:hAnsi="Times New Roman"/>
          <w:bCs/>
          <w:sz w:val="24"/>
          <w:szCs w:val="24"/>
        </w:rPr>
        <w:t>TÝMTO ROZHODLA, ŽE:</w:t>
      </w:r>
    </w:p>
    <w:p w:rsidR="00DD51C0" w:rsidP="00DD51C0">
      <w:pPr>
        <w:autoSpaceDE w:val="0"/>
        <w:autoSpaceDN w:val="0"/>
        <w:bidi w:val="0"/>
        <w:adjustRightInd w:val="0"/>
        <w:spacing w:after="0" w:line="240" w:lineRule="auto"/>
        <w:jc w:val="both"/>
        <w:rPr>
          <w:rFonts w:ascii="Times New Roman" w:hAnsi="Times New Roman"/>
          <w:bCs/>
          <w:sz w:val="24"/>
          <w:szCs w:val="24"/>
        </w:rPr>
      </w:pPr>
    </w:p>
    <w:p w:rsidR="00DD51C0" w:rsidRPr="00E74C4F" w:rsidP="00DD51C0">
      <w:pPr>
        <w:pStyle w:val="ListParagraph"/>
        <w:numPr>
          <w:numId w:val="2"/>
        </w:numPr>
        <w:autoSpaceDE w:val="0"/>
        <w:autoSpaceDN w:val="0"/>
        <w:bidi w:val="0"/>
        <w:adjustRightInd w:val="0"/>
        <w:spacing w:after="0"/>
        <w:ind w:hanging="720"/>
        <w:rPr>
          <w:rFonts w:ascii="Times New Roman" w:hAnsi="Times New Roman"/>
          <w:noProof/>
        </w:rPr>
      </w:pPr>
      <w:r w:rsidRPr="00E74C4F">
        <w:rPr>
          <w:rFonts w:ascii="Times New Roman" w:hAnsi="Times New Roman"/>
          <w:noProof/>
        </w:rPr>
        <w:t>Článok 1</w:t>
      </w:r>
      <w:r>
        <w:rPr>
          <w:rFonts w:ascii="Times New Roman" w:hAnsi="Times New Roman"/>
          <w:noProof/>
        </w:rPr>
        <w:t>8</w:t>
      </w:r>
      <w:r w:rsidRPr="00E74C4F">
        <w:rPr>
          <w:rFonts w:ascii="Times New Roman" w:hAnsi="Times New Roman"/>
          <w:noProof/>
        </w:rPr>
        <w:t xml:space="preserve"> </w:t>
      </w:r>
      <w:r>
        <w:rPr>
          <w:rFonts w:ascii="Times New Roman" w:hAnsi="Times New Roman"/>
          <w:noProof/>
        </w:rPr>
        <w:t>d</w:t>
      </w:r>
      <w:r w:rsidRPr="00E74C4F">
        <w:rPr>
          <w:rFonts w:ascii="Times New Roman" w:hAnsi="Times New Roman"/>
          <w:noProof/>
        </w:rPr>
        <w:t xml:space="preserve">ohody </w:t>
      </w:r>
      <w:r>
        <w:rPr>
          <w:rFonts w:ascii="Times New Roman" w:hAnsi="Times New Roman"/>
          <w:noProof/>
        </w:rPr>
        <w:t>sa nahrádza takto</w:t>
      </w:r>
      <w:r w:rsidRPr="00E74C4F">
        <w:rPr>
          <w:rFonts w:ascii="Times New Roman" w:hAnsi="Times New Roman"/>
          <w:noProof/>
        </w:rPr>
        <w:t xml:space="preserve">: </w:t>
      </w:r>
    </w:p>
    <w:p w:rsidR="00DD51C0" w:rsidRPr="00E74C4F" w:rsidP="00DD51C0">
      <w:pPr>
        <w:autoSpaceDE w:val="0"/>
        <w:autoSpaceDN w:val="0"/>
        <w:bidi w:val="0"/>
        <w:adjustRightInd w:val="0"/>
        <w:spacing w:after="0"/>
        <w:rPr>
          <w:rFonts w:ascii="Times New Roman" w:hAnsi="Times New Roman"/>
          <w:noProof/>
          <w:sz w:val="24"/>
          <w:szCs w:val="24"/>
        </w:rPr>
      </w:pPr>
    </w:p>
    <w:p w:rsidR="00DD51C0" w:rsidRPr="00DD51C0" w:rsidP="00DD51C0">
      <w:pPr>
        <w:autoSpaceDE w:val="0"/>
        <w:autoSpaceDN w:val="0"/>
        <w:bidi w:val="0"/>
        <w:adjustRightInd w:val="0"/>
        <w:spacing w:after="0"/>
        <w:jc w:val="center"/>
        <w:rPr>
          <w:rFonts w:ascii="Times New Roman" w:hAnsi="Times New Roman"/>
          <w:noProof/>
          <w:sz w:val="24"/>
          <w:szCs w:val="24"/>
        </w:rPr>
      </w:pPr>
      <w:r>
        <w:rPr>
          <w:rFonts w:ascii="Times New Roman" w:hAnsi="Times New Roman"/>
          <w:noProof/>
          <w:sz w:val="24"/>
          <w:szCs w:val="24"/>
        </w:rPr>
        <w:t>„</w:t>
      </w:r>
      <w:r w:rsidRPr="00DD51C0">
        <w:rPr>
          <w:rFonts w:ascii="Times New Roman" w:hAnsi="Times New Roman"/>
          <w:noProof/>
          <w:sz w:val="24"/>
          <w:szCs w:val="24"/>
        </w:rPr>
        <w:t>Článok 18: ŠPECIÁLNE FONDY</w:t>
      </w:r>
    </w:p>
    <w:p w:rsidR="00DD51C0" w:rsidRPr="00DD51C0" w:rsidP="00DD51C0">
      <w:pPr>
        <w:autoSpaceDE w:val="0"/>
        <w:autoSpaceDN w:val="0"/>
        <w:bidi w:val="0"/>
        <w:adjustRightInd w:val="0"/>
        <w:jc w:val="center"/>
        <w:rPr>
          <w:rFonts w:ascii="Times New Roman" w:hAnsi="Times New Roman"/>
          <w:noProof/>
          <w:sz w:val="24"/>
          <w:szCs w:val="24"/>
        </w:rPr>
      </w:pPr>
    </w:p>
    <w:p w:rsidR="00DD51C0" w:rsidRPr="00DD51C0" w:rsidP="00DD51C0">
      <w:pPr>
        <w:pStyle w:val="ListParagraph"/>
        <w:numPr>
          <w:numId w:val="5"/>
        </w:numPr>
        <w:autoSpaceDE w:val="0"/>
        <w:autoSpaceDN w:val="0"/>
        <w:bidi w:val="0"/>
        <w:adjustRightInd w:val="0"/>
        <w:spacing w:before="0" w:after="0"/>
        <w:ind w:left="993" w:hanging="284"/>
        <w:rPr>
          <w:rFonts w:ascii="Times New Roman" w:hAnsi="Times New Roman"/>
          <w:noProof/>
        </w:rPr>
      </w:pPr>
      <w:r w:rsidRPr="00DD51C0">
        <w:rPr>
          <w:rFonts w:ascii="Times New Roman" w:hAnsi="Times New Roman"/>
          <w:b/>
          <w:noProof/>
        </w:rPr>
        <w:t>(i)</w:t>
      </w:r>
      <w:r w:rsidRPr="00DD51C0">
        <w:rPr>
          <w:rFonts w:ascii="Times New Roman" w:hAnsi="Times New Roman"/>
          <w:noProof/>
        </w:rPr>
        <w:t xml:space="preserve"> Banka môže prijať správu špeciálnych fondov, ktoré slúžia účelu banky a ktoré patria do pôsobnosti banky </w:t>
      </w:r>
      <w:r w:rsidRPr="00DD51C0">
        <w:rPr>
          <w:rFonts w:ascii="Times New Roman" w:hAnsi="Times New Roman"/>
          <w:b/>
          <w:noProof/>
        </w:rPr>
        <w:t>v jej prijímajúcich krajinách a v potenciálnych prijímajúcich krajinách.</w:t>
      </w:r>
      <w:r w:rsidRPr="00DD51C0">
        <w:rPr>
          <w:rFonts w:ascii="Times New Roman" w:hAnsi="Times New Roman"/>
          <w:noProof/>
        </w:rPr>
        <w:t xml:space="preserve"> Plné náklady na správu akéhokoľvek špeciálneho fondu sa účtujú na ťarchu tohto špeciálneho fondu.</w:t>
      </w:r>
    </w:p>
    <w:p w:rsidR="00DD51C0" w:rsidRPr="00DD51C0" w:rsidP="00DD51C0">
      <w:pPr>
        <w:pStyle w:val="ListParagraph"/>
        <w:autoSpaceDE w:val="0"/>
        <w:autoSpaceDN w:val="0"/>
        <w:bidi w:val="0"/>
        <w:adjustRightInd w:val="0"/>
        <w:spacing w:before="0" w:after="0"/>
        <w:ind w:left="993" w:hanging="284"/>
        <w:rPr>
          <w:rFonts w:ascii="Times New Roman" w:hAnsi="Times New Roman"/>
          <w:noProof/>
        </w:rPr>
      </w:pPr>
    </w:p>
    <w:p w:rsidR="00DD51C0" w:rsidRPr="00DD51C0" w:rsidP="00DD51C0">
      <w:pPr>
        <w:autoSpaceDE w:val="0"/>
        <w:autoSpaceDN w:val="0"/>
        <w:bidi w:val="0"/>
        <w:adjustRightInd w:val="0"/>
        <w:spacing w:after="0"/>
        <w:ind w:left="993"/>
        <w:jc w:val="both"/>
        <w:rPr>
          <w:rFonts w:ascii="Times New Roman" w:hAnsi="Times New Roman"/>
          <w:b/>
          <w:noProof/>
          <w:sz w:val="24"/>
          <w:szCs w:val="24"/>
        </w:rPr>
      </w:pPr>
      <w:r w:rsidRPr="00DD51C0">
        <w:rPr>
          <w:rFonts w:ascii="Times New Roman" w:hAnsi="Times New Roman"/>
          <w:b/>
          <w:noProof/>
          <w:sz w:val="24"/>
          <w:szCs w:val="24"/>
        </w:rPr>
        <w:t>(ii) Na účely pododseku (i) môže Rada guvernérov na žiadosť člena, ktorý nie je prijímajúcou krajinou, rozhodnúť, že tento člen je spôsobilý ako potenciálna prijímajúca krajina na také vymedzené časové obdobie a za takých podmienok, ktoré sa považujú za vhodné. Toto rozhodnutie sa prijme na základe súhlasu najmenej dvoch tretín guvernérov, ktorí predstavujú najmenej tri štvrtiny celkového počtu hlasov členov.</w:t>
      </w:r>
    </w:p>
    <w:p w:rsidR="00DD51C0" w:rsidRPr="00DD51C0" w:rsidP="00DD51C0">
      <w:pPr>
        <w:autoSpaceDE w:val="0"/>
        <w:autoSpaceDN w:val="0"/>
        <w:bidi w:val="0"/>
        <w:adjustRightInd w:val="0"/>
        <w:spacing w:after="0"/>
        <w:ind w:left="993"/>
        <w:jc w:val="both"/>
        <w:rPr>
          <w:rFonts w:ascii="Times New Roman" w:hAnsi="Times New Roman"/>
          <w:i/>
          <w:noProof/>
          <w:sz w:val="24"/>
          <w:szCs w:val="24"/>
        </w:rPr>
      </w:pPr>
    </w:p>
    <w:p w:rsidR="00DD51C0" w:rsidRPr="00DD51C0" w:rsidP="00DD51C0">
      <w:pPr>
        <w:autoSpaceDE w:val="0"/>
        <w:autoSpaceDN w:val="0"/>
        <w:bidi w:val="0"/>
        <w:adjustRightInd w:val="0"/>
        <w:spacing w:after="0"/>
        <w:ind w:left="993"/>
        <w:jc w:val="both"/>
        <w:rPr>
          <w:rFonts w:ascii="Times New Roman" w:hAnsi="Times New Roman"/>
          <w:b/>
          <w:noProof/>
          <w:sz w:val="24"/>
          <w:szCs w:val="24"/>
        </w:rPr>
      </w:pPr>
      <w:r w:rsidRPr="00DD51C0">
        <w:rPr>
          <w:rFonts w:ascii="Times New Roman" w:hAnsi="Times New Roman"/>
          <w:b/>
          <w:noProof/>
          <w:sz w:val="24"/>
          <w:szCs w:val="24"/>
        </w:rPr>
        <w:t>(iii) Rozhodnutie, na základe ktorého sa umožňuje členovi stať sa potenciálnou prijímajúcou krajinou, sa môže vydať len vtedy, ak je tento člen schopný splniť požiadavky na to, aby sa stal prijímajúcou krajinou. Tieto požiadavky sú stanovené v článku 1 tejto dohody v platnom znení v čase tohto rozhodnutia alebo v znení, ktoré bude platné po nadobudnutí platnosti zmeny a doplnenia, ktoré už schválila Rada guvernérov v čase tohto rozhodnutia.</w:t>
      </w:r>
    </w:p>
    <w:p w:rsidR="00DD51C0" w:rsidRPr="00DD51C0" w:rsidP="00DD51C0">
      <w:pPr>
        <w:autoSpaceDE w:val="0"/>
        <w:autoSpaceDN w:val="0"/>
        <w:bidi w:val="0"/>
        <w:adjustRightInd w:val="0"/>
        <w:spacing w:after="0"/>
        <w:ind w:left="993"/>
        <w:jc w:val="both"/>
        <w:rPr>
          <w:rFonts w:ascii="Times New Roman" w:hAnsi="Times New Roman"/>
          <w:i/>
          <w:noProof/>
          <w:sz w:val="24"/>
          <w:szCs w:val="24"/>
        </w:rPr>
      </w:pPr>
    </w:p>
    <w:p w:rsidR="00DD51C0" w:rsidRPr="00DD51C0" w:rsidP="00DD51C0">
      <w:pPr>
        <w:autoSpaceDE w:val="0"/>
        <w:autoSpaceDN w:val="0"/>
        <w:bidi w:val="0"/>
        <w:adjustRightInd w:val="0"/>
        <w:spacing w:after="0"/>
        <w:ind w:left="993"/>
        <w:jc w:val="both"/>
        <w:rPr>
          <w:rFonts w:ascii="Times New Roman" w:hAnsi="Times New Roman"/>
          <w:b/>
          <w:noProof/>
          <w:sz w:val="24"/>
          <w:szCs w:val="24"/>
        </w:rPr>
      </w:pPr>
      <w:r w:rsidRPr="00DD51C0">
        <w:rPr>
          <w:rFonts w:ascii="Times New Roman" w:hAnsi="Times New Roman"/>
          <w:b/>
          <w:noProof/>
          <w:sz w:val="24"/>
          <w:szCs w:val="24"/>
        </w:rPr>
        <w:t>(iv) Ak sa potenciálna prijímajúca krajina na konci obdobia stanoveného v pododseku (ii) nestane prijímajúcou krajinou, banka okamžite ukončí akékoľvek osobitné činnosti v danej krajine okrem činností, ktoré súvisia s riadnou realizáciou, zachovaním a ochranou aktív špeciálneho fondu a s úhradou záväzkov, ktoré vznikli v spojení s nimi.</w:t>
      </w:r>
    </w:p>
    <w:p w:rsidR="00DD51C0" w:rsidRPr="00DD51C0" w:rsidP="00DD51C0">
      <w:pPr>
        <w:autoSpaceDE w:val="0"/>
        <w:autoSpaceDN w:val="0"/>
        <w:bidi w:val="0"/>
        <w:adjustRightInd w:val="0"/>
        <w:spacing w:after="0"/>
        <w:ind w:left="851"/>
        <w:rPr>
          <w:rFonts w:ascii="Times New Roman" w:hAnsi="Times New Roman"/>
          <w:i/>
          <w:noProof/>
          <w:sz w:val="24"/>
          <w:szCs w:val="24"/>
        </w:rPr>
      </w:pPr>
    </w:p>
    <w:p w:rsidR="00DD51C0" w:rsidRPr="00DD51C0" w:rsidP="00DD51C0">
      <w:pPr>
        <w:pStyle w:val="ListParagraph"/>
        <w:numPr>
          <w:numId w:val="5"/>
        </w:numPr>
        <w:autoSpaceDE w:val="0"/>
        <w:autoSpaceDN w:val="0"/>
        <w:bidi w:val="0"/>
        <w:adjustRightInd w:val="0"/>
        <w:spacing w:before="0" w:after="0"/>
        <w:rPr>
          <w:rFonts w:ascii="Times New Roman" w:hAnsi="Times New Roman"/>
          <w:noProof/>
        </w:rPr>
      </w:pPr>
      <w:r w:rsidRPr="00DD51C0">
        <w:rPr>
          <w:rFonts w:ascii="Times New Roman" w:hAnsi="Times New Roman"/>
          <w:noProof/>
        </w:rPr>
        <w:t xml:space="preserve">Špeciálne fondy, ktoré banka prijala, sa môžu využívať </w:t>
      </w:r>
      <w:r w:rsidRPr="00DD51C0">
        <w:rPr>
          <w:rFonts w:ascii="Times New Roman" w:hAnsi="Times New Roman"/>
          <w:b/>
          <w:noProof/>
        </w:rPr>
        <w:t>v jej prijímajúcich krajinách a potenciálnych prijímajúcich krajinách</w:t>
      </w:r>
      <w:r w:rsidRPr="00DD51C0">
        <w:rPr>
          <w:rFonts w:ascii="Times New Roman" w:hAnsi="Times New Roman"/>
          <w:noProof/>
        </w:rPr>
        <w:t xml:space="preserve"> akýmkoľvek spôsobom a za akýchkoľvek podmienok, ktoré sú zlučiteľné s účelom a úlohami banky, s ostatnými príslušnými ustanoveniami tejto dohody a s dohodou alebo dohodami, ktoré sa vzťahujú na tieto fondy.</w:t>
      </w:r>
    </w:p>
    <w:p w:rsidR="00DD51C0" w:rsidRPr="00DD51C0" w:rsidP="00DD51C0">
      <w:pPr>
        <w:pStyle w:val="ListParagraph"/>
        <w:autoSpaceDE w:val="0"/>
        <w:autoSpaceDN w:val="0"/>
        <w:bidi w:val="0"/>
        <w:adjustRightInd w:val="0"/>
        <w:spacing w:before="0" w:after="0"/>
        <w:ind w:left="927"/>
        <w:rPr>
          <w:rFonts w:ascii="Times New Roman" w:hAnsi="Times New Roman"/>
          <w:noProof/>
        </w:rPr>
      </w:pPr>
    </w:p>
    <w:p w:rsidR="00DD51C0" w:rsidP="00DD51C0">
      <w:pPr>
        <w:pStyle w:val="ListParagraph"/>
        <w:numPr>
          <w:numId w:val="5"/>
        </w:numPr>
        <w:autoSpaceDE w:val="0"/>
        <w:autoSpaceDN w:val="0"/>
        <w:bidi w:val="0"/>
        <w:adjustRightInd w:val="0"/>
        <w:spacing w:before="0" w:after="0"/>
        <w:rPr>
          <w:rFonts w:ascii="Times New Roman" w:hAnsi="Times New Roman"/>
          <w:noProof/>
        </w:rPr>
      </w:pPr>
      <w:r w:rsidRPr="00DD51C0">
        <w:rPr>
          <w:rFonts w:ascii="Times New Roman" w:hAnsi="Times New Roman"/>
          <w:noProof/>
        </w:rPr>
        <w:t>Banka prijme takéto ustanovenia a pravidlá, ktoré sa môžu požadovať na zriadenie, správu a využívanie každého špeciálneho fondu. Tieto ustanovenia a pravidlá musia byť zlučiteľné s ustanoveniami tejto dohody, okrem tých ustanovení, ktoré sa výslovne vzťahujú len na riadne činnosti banky.</w:t>
      </w:r>
      <w:r>
        <w:rPr>
          <w:rFonts w:ascii="Times New Roman" w:hAnsi="Times New Roman"/>
          <w:noProof/>
        </w:rPr>
        <w:t>“</w:t>
      </w:r>
    </w:p>
    <w:p w:rsidR="00A17250" w:rsidP="00A17250">
      <w:pPr>
        <w:pStyle w:val="ListParagraph"/>
        <w:bidi w:val="0"/>
        <w:rPr>
          <w:rFonts w:ascii="Times New Roman" w:hAnsi="Times New Roman"/>
          <w:noProof/>
        </w:rPr>
      </w:pPr>
    </w:p>
    <w:p w:rsidR="00A17250" w:rsidRPr="004004A6" w:rsidP="00883E17">
      <w:pPr>
        <w:pStyle w:val="NoSpacing"/>
        <w:numPr>
          <w:numId w:val="2"/>
        </w:numPr>
        <w:bidi w:val="0"/>
        <w:ind w:left="0" w:firstLine="0"/>
        <w:rPr>
          <w:rFonts w:ascii="Times New Roman" w:hAnsi="Times New Roman"/>
          <w:noProof/>
        </w:rPr>
      </w:pPr>
      <w:r w:rsidR="00CB08FD">
        <w:rPr>
          <w:rFonts w:ascii="Times New Roman" w:hAnsi="Times New Roman"/>
          <w:noProof/>
        </w:rPr>
        <w:t xml:space="preserve">Prijatie uvedenej zmeny členmi banky sa vyžaduje </w:t>
      </w:r>
      <w:r w:rsidRPr="004004A6">
        <w:rPr>
          <w:rFonts w:ascii="Times New Roman" w:hAnsi="Times New Roman"/>
          <w:noProof/>
        </w:rPr>
        <w:t>(a) vykonaním a uložením listiny v banke, ktorou príslušný člen prijal uveden</w:t>
      </w:r>
      <w:r>
        <w:rPr>
          <w:rFonts w:ascii="Times New Roman" w:hAnsi="Times New Roman"/>
          <w:noProof/>
        </w:rPr>
        <w:t>ú</w:t>
      </w:r>
      <w:r w:rsidRPr="004004A6">
        <w:rPr>
          <w:rFonts w:ascii="Times New Roman" w:hAnsi="Times New Roman"/>
          <w:noProof/>
        </w:rPr>
        <w:t xml:space="preserve"> zmen</w:t>
      </w:r>
      <w:r>
        <w:rPr>
          <w:rFonts w:ascii="Times New Roman" w:hAnsi="Times New Roman"/>
          <w:noProof/>
        </w:rPr>
        <w:t>u</w:t>
      </w:r>
      <w:r w:rsidRPr="004004A6">
        <w:rPr>
          <w:rFonts w:ascii="Times New Roman" w:hAnsi="Times New Roman"/>
          <w:noProof/>
        </w:rPr>
        <w:t xml:space="preserve"> v súlade s jeho právnym poriadkom a (b) predložením potvrdenia v takej forme a obsahu, ktoré vyhovuje banke, že zmena bola prijatá a listina o prijatí bola potvrdená a uložená v súlade s právnym poriadkom tohto člena.</w:t>
      </w:r>
    </w:p>
    <w:p w:rsidR="00A17250" w:rsidRPr="004004A6" w:rsidP="00A17250">
      <w:pPr>
        <w:pStyle w:val="NoSpacing"/>
        <w:bidi w:val="0"/>
        <w:rPr>
          <w:rFonts w:ascii="Times New Roman" w:hAnsi="Times New Roman"/>
          <w:noProof/>
        </w:rPr>
      </w:pPr>
    </w:p>
    <w:p w:rsidR="00A17250" w:rsidRPr="004004A6" w:rsidP="00883E17">
      <w:pPr>
        <w:autoSpaceDE w:val="0"/>
        <w:autoSpaceDN w:val="0"/>
        <w:bidi w:val="0"/>
        <w:adjustRightInd w:val="0"/>
        <w:spacing w:after="0" w:line="240" w:lineRule="auto"/>
        <w:jc w:val="both"/>
        <w:rPr>
          <w:rFonts w:ascii="Times New Roman" w:hAnsi="Times New Roman"/>
          <w:sz w:val="24"/>
          <w:szCs w:val="24"/>
        </w:rPr>
      </w:pPr>
      <w:r w:rsidRPr="004004A6">
        <w:rPr>
          <w:rFonts w:ascii="Times New Roman" w:hAnsi="Times New Roman"/>
          <w:sz w:val="24"/>
          <w:szCs w:val="24"/>
        </w:rPr>
        <w:t xml:space="preserve">3. </w:t>
      </w:r>
      <w:r>
        <w:rPr>
          <w:rFonts w:ascii="Times New Roman" w:hAnsi="Times New Roman"/>
          <w:sz w:val="24"/>
          <w:szCs w:val="24"/>
        </w:rPr>
        <w:t xml:space="preserve">     </w:t>
      </w:r>
      <w:r w:rsidRPr="004004A6">
        <w:rPr>
          <w:rFonts w:ascii="Times New Roman" w:hAnsi="Times New Roman"/>
          <w:sz w:val="24"/>
          <w:szCs w:val="24"/>
        </w:rPr>
        <w:t>Uveden</w:t>
      </w:r>
      <w:r>
        <w:rPr>
          <w:rFonts w:ascii="Times New Roman" w:hAnsi="Times New Roman"/>
          <w:sz w:val="24"/>
          <w:szCs w:val="24"/>
        </w:rPr>
        <w:t>á</w:t>
      </w:r>
      <w:r w:rsidRPr="004004A6">
        <w:rPr>
          <w:rFonts w:ascii="Times New Roman" w:hAnsi="Times New Roman"/>
          <w:sz w:val="24"/>
          <w:szCs w:val="24"/>
        </w:rPr>
        <w:t xml:space="preserve"> zmen</w:t>
      </w:r>
      <w:r>
        <w:rPr>
          <w:rFonts w:ascii="Times New Roman" w:hAnsi="Times New Roman"/>
          <w:sz w:val="24"/>
          <w:szCs w:val="24"/>
        </w:rPr>
        <w:t>a</w:t>
      </w:r>
      <w:r w:rsidRPr="004004A6">
        <w:rPr>
          <w:rFonts w:ascii="Times New Roman" w:hAnsi="Times New Roman"/>
          <w:sz w:val="24"/>
          <w:szCs w:val="24"/>
        </w:rPr>
        <w:t xml:space="preserve"> </w:t>
      </w:r>
      <w:r>
        <w:rPr>
          <w:rFonts w:ascii="Times New Roman" w:hAnsi="Times New Roman"/>
          <w:sz w:val="24"/>
          <w:szCs w:val="24"/>
        </w:rPr>
        <w:t xml:space="preserve">nadobudne </w:t>
      </w:r>
      <w:r w:rsidR="00010272">
        <w:rPr>
          <w:rFonts w:ascii="Times New Roman" w:hAnsi="Times New Roman"/>
          <w:sz w:val="24"/>
          <w:szCs w:val="24"/>
        </w:rPr>
        <w:t>platnosť</w:t>
      </w:r>
      <w:r>
        <w:rPr>
          <w:rFonts w:ascii="Times New Roman" w:hAnsi="Times New Roman"/>
          <w:sz w:val="24"/>
          <w:szCs w:val="24"/>
        </w:rPr>
        <w:t xml:space="preserve"> sedem dní po dátume oficiálneho oznámenia EBOR po splnení požiadaviek na prijatie uvedenej zmeny v súlade s článkom 56 dohody. </w:t>
      </w:r>
    </w:p>
    <w:p w:rsidR="00A17250" w:rsidP="00A17250">
      <w:pPr>
        <w:autoSpaceDE w:val="0"/>
        <w:autoSpaceDN w:val="0"/>
        <w:bidi w:val="0"/>
        <w:adjustRightInd w:val="0"/>
        <w:spacing w:after="0" w:line="240" w:lineRule="auto"/>
        <w:ind w:left="709" w:hanging="709"/>
        <w:jc w:val="both"/>
        <w:rPr>
          <w:rFonts w:ascii="Times New Roman" w:hAnsi="Times New Roman"/>
          <w:sz w:val="24"/>
          <w:szCs w:val="24"/>
          <w:lang w:val="en-GB"/>
        </w:rPr>
      </w:pPr>
    </w:p>
    <w:p w:rsidR="00A17250" w:rsidP="00A17250">
      <w:pPr>
        <w:autoSpaceDE w:val="0"/>
        <w:autoSpaceDN w:val="0"/>
        <w:bidi w:val="0"/>
        <w:adjustRightInd w:val="0"/>
        <w:spacing w:after="0" w:line="240" w:lineRule="auto"/>
        <w:jc w:val="both"/>
        <w:rPr>
          <w:rFonts w:ascii="Times New Roman" w:hAnsi="Times New Roman"/>
          <w:sz w:val="24"/>
          <w:szCs w:val="24"/>
          <w:lang w:val="en-GB"/>
        </w:rPr>
      </w:pPr>
    </w:p>
    <w:p w:rsidR="00A17250" w:rsidP="00A17250">
      <w:pPr>
        <w:autoSpaceDE w:val="0"/>
        <w:autoSpaceDN w:val="0"/>
        <w:bidi w:val="0"/>
        <w:adjustRightInd w:val="0"/>
        <w:spacing w:after="0" w:line="240" w:lineRule="auto"/>
        <w:jc w:val="both"/>
        <w:rPr>
          <w:rFonts w:ascii="Times New Roman" w:hAnsi="Times New Roman"/>
          <w:sz w:val="24"/>
          <w:szCs w:val="24"/>
          <w:lang w:val="en-GB"/>
        </w:rPr>
      </w:pPr>
    </w:p>
    <w:p w:rsidR="00A17250" w:rsidP="00A17250">
      <w:pPr>
        <w:autoSpaceDE w:val="0"/>
        <w:autoSpaceDN w:val="0"/>
        <w:bidi w:val="0"/>
        <w:adjustRightInd w:val="0"/>
        <w:spacing w:after="0" w:line="240" w:lineRule="auto"/>
        <w:jc w:val="both"/>
        <w:rPr>
          <w:rFonts w:ascii="Times New Roman" w:hAnsi="Times New Roman"/>
          <w:sz w:val="24"/>
          <w:szCs w:val="24"/>
          <w:lang w:val="en-GB"/>
        </w:rPr>
      </w:pPr>
    </w:p>
    <w:p w:rsidR="00A17250" w:rsidRPr="00666306" w:rsidP="00A17250">
      <w:pPr>
        <w:autoSpaceDE w:val="0"/>
        <w:autoSpaceDN w:val="0"/>
        <w:bidi w:val="0"/>
        <w:adjustRightInd w:val="0"/>
        <w:spacing w:after="0" w:line="240" w:lineRule="auto"/>
        <w:jc w:val="both"/>
        <w:rPr>
          <w:rFonts w:ascii="Times New Roman" w:hAnsi="Times New Roman"/>
          <w:sz w:val="24"/>
          <w:szCs w:val="24"/>
          <w:lang w:val="en-GB"/>
        </w:rPr>
      </w:pPr>
    </w:p>
    <w:p w:rsidR="00A17250" w:rsidRPr="00DD51C0" w:rsidP="00A17250">
      <w:pPr>
        <w:autoSpaceDE w:val="0"/>
        <w:autoSpaceDN w:val="0"/>
        <w:bidi w:val="0"/>
        <w:adjustRightInd w:val="0"/>
        <w:spacing w:after="0"/>
        <w:jc w:val="right"/>
        <w:rPr>
          <w:noProof/>
        </w:rPr>
      </w:pPr>
      <w:r w:rsidRPr="004004A6">
        <w:rPr>
          <w:rFonts w:ascii="Times New Roman" w:hAnsi="Times New Roman"/>
          <w:sz w:val="24"/>
          <w:szCs w:val="24"/>
        </w:rPr>
        <w:t>Prijaté 30. septembra 2011</w:t>
      </w:r>
    </w:p>
    <w:p w:rsidR="00DD51C0" w:rsidRPr="00DD51C0" w:rsidP="00DD51C0">
      <w:pPr>
        <w:pStyle w:val="ListParagraph"/>
        <w:bidi w:val="0"/>
        <w:rPr>
          <w:rFonts w:ascii="Times New Roman" w:hAnsi="Times New Roman"/>
          <w:noProof/>
        </w:rPr>
      </w:pPr>
    </w:p>
    <w:p w:rsidR="00DD51C0" w:rsidRPr="00DD51C0" w:rsidP="00DD51C0">
      <w:pPr>
        <w:pStyle w:val="ListParagraph"/>
        <w:autoSpaceDE w:val="0"/>
        <w:autoSpaceDN w:val="0"/>
        <w:bidi w:val="0"/>
        <w:adjustRightInd w:val="0"/>
        <w:spacing w:before="0" w:after="0"/>
        <w:ind w:left="927"/>
        <w:rPr>
          <w:rFonts w:ascii="Times New Roman" w:hAnsi="Times New Roman"/>
          <w:noProof/>
        </w:rPr>
      </w:pPr>
    </w:p>
    <w:p w:rsidR="00F42EF5" w:rsidP="00F42EF5">
      <w:pPr>
        <w:autoSpaceDE w:val="0"/>
        <w:autoSpaceDN w:val="0"/>
        <w:bidi w:val="0"/>
        <w:adjustRightInd w:val="0"/>
        <w:spacing w:after="0" w:line="240" w:lineRule="auto"/>
        <w:jc w:val="both"/>
        <w:rPr>
          <w:rFonts w:ascii="Times New Roman" w:hAnsi="Times New Roman"/>
          <w:sz w:val="24"/>
          <w:szCs w:val="24"/>
          <w:lang w:val="en-GB"/>
        </w:rPr>
      </w:pPr>
    </w:p>
    <w:p w:rsidR="00F42EF5" w:rsidP="00F42EF5">
      <w:pPr>
        <w:autoSpaceDE w:val="0"/>
        <w:autoSpaceDN w:val="0"/>
        <w:bidi w:val="0"/>
        <w:adjustRightInd w:val="0"/>
        <w:spacing w:after="0" w:line="240" w:lineRule="auto"/>
        <w:jc w:val="both"/>
        <w:rPr>
          <w:rFonts w:ascii="Times New Roman" w:hAnsi="Times New Roman"/>
          <w:sz w:val="24"/>
          <w:szCs w:val="24"/>
          <w:lang w:val="en-GB"/>
        </w:rPr>
      </w:pPr>
    </w:p>
    <w:p w:rsidR="00F42EF5" w:rsidRPr="00666306" w:rsidP="00F42EF5">
      <w:pPr>
        <w:autoSpaceDE w:val="0"/>
        <w:autoSpaceDN w:val="0"/>
        <w:bidi w:val="0"/>
        <w:adjustRightInd w:val="0"/>
        <w:spacing w:after="0" w:line="240" w:lineRule="auto"/>
        <w:jc w:val="both"/>
        <w:rPr>
          <w:rFonts w:ascii="Times New Roman" w:hAnsi="Times New Roman"/>
          <w:sz w:val="24"/>
          <w:szCs w:val="24"/>
          <w:lang w:val="en-GB"/>
        </w:rPr>
      </w:pPr>
    </w:p>
    <w:p w:rsidR="00F42EF5" w:rsidP="00F42EF5">
      <w:pPr>
        <w:bidi w:val="0"/>
        <w:jc w:val="right"/>
        <w:rPr>
          <w:rFonts w:ascii="Times New Roman" w:hAnsi="Times New Roman"/>
          <w:sz w:val="24"/>
          <w:szCs w:val="24"/>
          <w:lang w:val="en-GB"/>
        </w:rPr>
      </w:pPr>
    </w:p>
    <w:p w:rsidR="00F42EF5" w:rsidP="00666306">
      <w:pPr>
        <w:autoSpaceDE w:val="0"/>
        <w:autoSpaceDN w:val="0"/>
        <w:bidi w:val="0"/>
        <w:adjustRightInd w:val="0"/>
        <w:spacing w:after="0" w:line="240" w:lineRule="auto"/>
        <w:jc w:val="center"/>
        <w:rPr>
          <w:rFonts w:ascii="Times New Roman" w:hAnsi="Times New Roman"/>
          <w:bCs/>
          <w:i/>
          <w:sz w:val="24"/>
          <w:szCs w:val="24"/>
        </w:rPr>
      </w:pPr>
    </w:p>
    <w:p w:rsidR="00121362" w:rsidP="00666306">
      <w:pPr>
        <w:autoSpaceDE w:val="0"/>
        <w:autoSpaceDN w:val="0"/>
        <w:bidi w:val="0"/>
        <w:adjustRightInd w:val="0"/>
        <w:spacing w:after="0" w:line="240" w:lineRule="auto"/>
        <w:jc w:val="center"/>
        <w:rPr>
          <w:rFonts w:ascii="Times New Roman" w:hAnsi="Times New Roman"/>
          <w:bCs/>
          <w:i/>
          <w:sz w:val="24"/>
          <w:szCs w:val="24"/>
        </w:rPr>
      </w:pPr>
    </w:p>
    <w:p w:rsidR="00F42EF5" w:rsidP="00666306">
      <w:pPr>
        <w:autoSpaceDE w:val="0"/>
        <w:autoSpaceDN w:val="0"/>
        <w:bidi w:val="0"/>
        <w:adjustRightInd w:val="0"/>
        <w:spacing w:after="0" w:line="240" w:lineRule="auto"/>
        <w:jc w:val="center"/>
        <w:rPr>
          <w:rFonts w:ascii="Times New Roman" w:hAnsi="Times New Roman"/>
          <w:bCs/>
          <w:i/>
          <w:sz w:val="24"/>
          <w:szCs w:val="24"/>
        </w:rPr>
      </w:pPr>
    </w:p>
    <w:p w:rsidR="00F42EF5" w:rsidP="00666306">
      <w:pPr>
        <w:autoSpaceDE w:val="0"/>
        <w:autoSpaceDN w:val="0"/>
        <w:bidi w:val="0"/>
        <w:adjustRightInd w:val="0"/>
        <w:spacing w:after="0" w:line="240" w:lineRule="auto"/>
        <w:jc w:val="center"/>
        <w:rPr>
          <w:rFonts w:ascii="Times New Roman" w:hAnsi="Times New Roman"/>
          <w:bCs/>
          <w:i/>
          <w:sz w:val="24"/>
          <w:szCs w:val="24"/>
        </w:rPr>
      </w:pPr>
    </w:p>
    <w:p w:rsidR="00F42EF5" w:rsidP="00666306">
      <w:pPr>
        <w:autoSpaceDE w:val="0"/>
        <w:autoSpaceDN w:val="0"/>
        <w:bidi w:val="0"/>
        <w:adjustRightInd w:val="0"/>
        <w:spacing w:after="0" w:line="240" w:lineRule="auto"/>
        <w:jc w:val="center"/>
        <w:rPr>
          <w:rFonts w:ascii="Times New Roman" w:hAnsi="Times New Roman"/>
          <w:bCs/>
          <w:i/>
          <w:sz w:val="24"/>
          <w:szCs w:val="24"/>
        </w:rPr>
      </w:pPr>
    </w:p>
    <w:p w:rsidR="00E922BA" w:rsidRPr="00666306" w:rsidP="00666306">
      <w:pPr>
        <w:bidi w:val="0"/>
        <w:jc w:val="right"/>
        <w:rPr>
          <w:rFonts w:ascii="Times New Roman" w:hAnsi="Times New Roman"/>
          <w:sz w:val="24"/>
          <w:szCs w:val="24"/>
          <w:lang w:val="en-GB"/>
        </w:rPr>
      </w:pPr>
    </w:p>
    <w:sectPr w:rsidSect="004004A6">
      <w:footerReference w:type="default" r:id="rId4"/>
      <w:headerReference w:type="firs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4004A6">
    <w:pPr>
      <w:pStyle w:val="Footer"/>
      <w:bidi w:val="0"/>
      <w:jc w:val="right"/>
      <w:rPr>
        <w:rFonts w:ascii="Times New Roman" w:hAnsi="Times New Roman"/>
      </w:rPr>
    </w:pPr>
    <w:r w:rsidRPr="004004A6">
      <w:rPr>
        <w:rFonts w:ascii="Times New Roman" w:hAnsi="Times New Roman"/>
      </w:rPr>
      <w:fldChar w:fldCharType="begin"/>
    </w:r>
    <w:r w:rsidRPr="004004A6">
      <w:rPr>
        <w:rFonts w:ascii="Times New Roman" w:hAnsi="Times New Roman"/>
      </w:rPr>
      <w:instrText>PAGE   \* MERGEFORMAT</w:instrText>
    </w:r>
    <w:r w:rsidRPr="004004A6">
      <w:rPr>
        <w:rFonts w:ascii="Times New Roman" w:hAnsi="Times New Roman"/>
      </w:rPr>
      <w:fldChar w:fldCharType="separate"/>
    </w:r>
    <w:r w:rsidR="00023B97">
      <w:rPr>
        <w:rFonts w:ascii="Times New Roman" w:hAnsi="Times New Roman"/>
        <w:noProof/>
      </w:rPr>
      <w:t>2</w:t>
    </w:r>
    <w:r w:rsidRPr="004004A6">
      <w:rPr>
        <w:rFonts w:ascii="Times New Roman" w:hAnsi="Times New Roman"/>
      </w:rPr>
      <w:fldChar w:fldCharType="end"/>
    </w:r>
  </w:p>
  <w:p w:rsidR="004004A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666306" w:rsidP="004004A6">
    <w:pPr>
      <w:pStyle w:val="Header"/>
      <w:bidi w:val="0"/>
      <w:jc w:val="right"/>
      <w:rPr>
        <w:rFonts w:ascii="Times New Roman" w:hAnsi="Times New Roman"/>
        <w:b/>
        <w:sz w:val="24"/>
        <w:szCs w:val="24"/>
      </w:rPr>
    </w:pPr>
    <w:r w:rsidR="0042515A">
      <w:rPr>
        <w:rFonts w:ascii="Times New Roman" w:hAnsi="Times New Roman"/>
        <w:b/>
        <w:sz w:val="24"/>
        <w:szCs w:val="24"/>
      </w:rPr>
      <w:t xml:space="preserve">Príloha č. </w:t>
    </w:r>
    <w:r w:rsidR="00F42EF5">
      <w:rPr>
        <w:rFonts w:ascii="Times New Roman" w:hAnsi="Times New Roman"/>
        <w:b/>
        <w:sz w:val="24"/>
        <w:szCs w:val="24"/>
      </w:rPr>
      <w:t>2</w:t>
    </w:r>
  </w:p>
  <w:p w:rsidR="004004A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5F44"/>
    <w:multiLevelType w:val="hybridMultilevel"/>
    <w:tmpl w:val="9B5CB66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1A69640C"/>
    <w:multiLevelType w:val="hybridMultilevel"/>
    <w:tmpl w:val="41ACC6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518214F"/>
    <w:multiLevelType w:val="hybridMultilevel"/>
    <w:tmpl w:val="2B8E56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EC22C76"/>
    <w:multiLevelType w:val="hybridMultilevel"/>
    <w:tmpl w:val="D584AD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5C111BD"/>
    <w:multiLevelType w:val="hybridMultilevel"/>
    <w:tmpl w:val="3834A9C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drawingGridHorizontalSpacing w:val="110"/>
  <w:displayHorizontalDrawingGridEvery w:val="2"/>
  <w:displayVerticalDrawingGridEvery w:val="2"/>
  <w:characterSpacingControl w:val="doNotCompress"/>
  <w:compat/>
  <w:rsids>
    <w:rsidRoot w:val="00666306"/>
    <w:rsid w:val="00010272"/>
    <w:rsid w:val="00023B97"/>
    <w:rsid w:val="00121362"/>
    <w:rsid w:val="0016678D"/>
    <w:rsid w:val="001F5FA0"/>
    <w:rsid w:val="00236B71"/>
    <w:rsid w:val="002B4B7B"/>
    <w:rsid w:val="004004A6"/>
    <w:rsid w:val="0042515A"/>
    <w:rsid w:val="00545466"/>
    <w:rsid w:val="00654F87"/>
    <w:rsid w:val="00666306"/>
    <w:rsid w:val="00672501"/>
    <w:rsid w:val="00714DB4"/>
    <w:rsid w:val="00731516"/>
    <w:rsid w:val="007B12E8"/>
    <w:rsid w:val="008624B8"/>
    <w:rsid w:val="00883E17"/>
    <w:rsid w:val="009A2166"/>
    <w:rsid w:val="00A1131D"/>
    <w:rsid w:val="00A17250"/>
    <w:rsid w:val="00A8025E"/>
    <w:rsid w:val="00AE6DAC"/>
    <w:rsid w:val="00B558A7"/>
    <w:rsid w:val="00B947B8"/>
    <w:rsid w:val="00CA0BB4"/>
    <w:rsid w:val="00CB08FD"/>
    <w:rsid w:val="00D3362A"/>
    <w:rsid w:val="00D35C21"/>
    <w:rsid w:val="00D429A1"/>
    <w:rsid w:val="00DD51C0"/>
    <w:rsid w:val="00E5443D"/>
    <w:rsid w:val="00E74C4F"/>
    <w:rsid w:val="00E922BA"/>
    <w:rsid w:val="00EA4575"/>
    <w:rsid w:val="00EC4EB1"/>
    <w:rsid w:val="00EF2F29"/>
    <w:rsid w:val="00F42EF5"/>
    <w:rsid w:val="00FB4488"/>
    <w:rsid w:val="00FC68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66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66306"/>
    <w:rPr>
      <w:rFonts w:cs="Times New Roman"/>
      <w:rtl w:val="0"/>
      <w:cs w:val="0"/>
    </w:rPr>
  </w:style>
  <w:style w:type="paragraph" w:styleId="Footer">
    <w:name w:val="footer"/>
    <w:basedOn w:val="Normal"/>
    <w:link w:val="PtaChar"/>
    <w:uiPriority w:val="99"/>
    <w:unhideWhenUsed/>
    <w:rsid w:val="0066630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66306"/>
    <w:rPr>
      <w:rFonts w:cs="Times New Roman"/>
      <w:rtl w:val="0"/>
      <w:cs w:val="0"/>
    </w:rPr>
  </w:style>
  <w:style w:type="paragraph" w:styleId="BalloonText">
    <w:name w:val="Balloon Text"/>
    <w:basedOn w:val="Normal"/>
    <w:link w:val="TextbublinyChar"/>
    <w:uiPriority w:val="99"/>
    <w:semiHidden/>
    <w:unhideWhenUsed/>
    <w:rsid w:val="0066630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66306"/>
    <w:rPr>
      <w:rFonts w:ascii="Tahoma" w:hAnsi="Tahoma" w:cs="Tahoma"/>
      <w:sz w:val="16"/>
      <w:szCs w:val="16"/>
      <w:rtl w:val="0"/>
      <w:cs w:val="0"/>
    </w:rPr>
  </w:style>
  <w:style w:type="paragraph" w:styleId="ListParagraph">
    <w:name w:val="List Paragraph"/>
    <w:basedOn w:val="Normal"/>
    <w:uiPriority w:val="34"/>
    <w:qFormat/>
    <w:rsid w:val="00E922BA"/>
    <w:pPr>
      <w:spacing w:before="120" w:after="120" w:line="240" w:lineRule="auto"/>
      <w:ind w:left="720"/>
      <w:contextualSpacing/>
      <w:jc w:val="both"/>
    </w:pPr>
    <w:rPr>
      <w:rFonts w:ascii="Times New Roman" w:hAnsi="Times New Roman"/>
      <w:sz w:val="24"/>
      <w:szCs w:val="24"/>
      <w:lang w:eastAsia="sk-SK"/>
    </w:rPr>
  </w:style>
  <w:style w:type="paragraph" w:styleId="NoSpacing">
    <w:name w:val="No Spacing"/>
    <w:uiPriority w:val="1"/>
    <w:qFormat/>
    <w:rsid w:val="00E922BA"/>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customStyle="1" w:styleId="hps">
    <w:name w:val="hps"/>
    <w:basedOn w:val="DefaultParagraphFont"/>
    <w:rsid w:val="00E922BA"/>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214</TotalTime>
  <Pages>2</Pages>
  <Words>590</Words>
  <Characters>3363</Characters>
  <Application>Microsoft Office Word</Application>
  <DocSecurity>0</DocSecurity>
  <Lines>0</Lines>
  <Paragraphs>0</Paragraphs>
  <ScaleCrop>false</ScaleCrop>
  <Company>MF SR</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ilukacova</dc:creator>
  <cp:lastModifiedBy>ilukacova</cp:lastModifiedBy>
  <cp:revision>12</cp:revision>
  <dcterms:created xsi:type="dcterms:W3CDTF">2012-03-22T10:38:00Z</dcterms:created>
  <dcterms:modified xsi:type="dcterms:W3CDTF">2012-04-23T00:52:00Z</dcterms:modified>
</cp:coreProperties>
</file>