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62CE" w:rsidRPr="00C13764" w:rsidP="00732076">
      <w:pPr>
        <w:pStyle w:val="NoSpacing"/>
        <w:bidi w:val="0"/>
        <w:jc w:val="center"/>
        <w:rPr>
          <w:rFonts w:ascii="Times New Roman" w:hAnsi="Times New Roman"/>
          <w:b/>
        </w:rPr>
      </w:pPr>
      <w:r w:rsidRPr="00C13764">
        <w:rPr>
          <w:rFonts w:ascii="Times New Roman" w:hAnsi="Times New Roman"/>
          <w:b/>
        </w:rPr>
        <w:t xml:space="preserve">Návrh na </w:t>
      </w:r>
      <w:r w:rsidRPr="00C13764" w:rsidR="002C4F9B">
        <w:rPr>
          <w:rFonts w:ascii="Times New Roman" w:hAnsi="Times New Roman"/>
          <w:b/>
        </w:rPr>
        <w:t>schválenie</w:t>
      </w:r>
      <w:r w:rsidRPr="00C13764">
        <w:rPr>
          <w:rFonts w:ascii="Times New Roman" w:hAnsi="Times New Roman"/>
          <w:b/>
        </w:rPr>
        <w:t xml:space="preserve"> </w:t>
      </w:r>
      <w:r w:rsidRPr="00C13764" w:rsidR="000024D0">
        <w:rPr>
          <w:rFonts w:ascii="Times New Roman" w:hAnsi="Times New Roman"/>
          <w:b/>
        </w:rPr>
        <w:t xml:space="preserve">zmien </w:t>
      </w:r>
      <w:r w:rsidRPr="00C13764" w:rsidR="002C4F9B">
        <w:rPr>
          <w:rFonts w:ascii="Times New Roman" w:hAnsi="Times New Roman"/>
          <w:b/>
        </w:rPr>
        <w:t>Dohod</w:t>
      </w:r>
      <w:r w:rsidRPr="00C13764" w:rsidR="000024D0">
        <w:rPr>
          <w:rFonts w:ascii="Times New Roman" w:hAnsi="Times New Roman"/>
          <w:b/>
        </w:rPr>
        <w:t>y</w:t>
      </w:r>
      <w:r w:rsidRPr="00C13764">
        <w:rPr>
          <w:rFonts w:ascii="Times New Roman" w:hAnsi="Times New Roman"/>
          <w:b/>
        </w:rPr>
        <w:t xml:space="preserve"> o založení Európskej banky pre obnovu a</w:t>
      </w:r>
      <w:r w:rsidRPr="00C13764" w:rsidR="00732076">
        <w:rPr>
          <w:rFonts w:ascii="Times New Roman" w:hAnsi="Times New Roman"/>
          <w:b/>
        </w:rPr>
        <w:t> </w:t>
      </w:r>
      <w:r w:rsidRPr="00C13764">
        <w:rPr>
          <w:rFonts w:ascii="Times New Roman" w:hAnsi="Times New Roman"/>
          <w:b/>
        </w:rPr>
        <w:t>rozvoj</w:t>
      </w:r>
    </w:p>
    <w:p w:rsidR="00732076" w:rsidRPr="00C13764" w:rsidP="00732076">
      <w:pPr>
        <w:pStyle w:val="NoSpacing"/>
        <w:bidi w:val="0"/>
        <w:jc w:val="center"/>
        <w:rPr>
          <w:rFonts w:ascii="Times New Roman" w:hAnsi="Times New Roman"/>
          <w:b/>
        </w:rPr>
      </w:pPr>
    </w:p>
    <w:p w:rsidR="008462CE" w:rsidRPr="00C13764" w:rsidP="008462CE">
      <w:pPr>
        <w:pStyle w:val="ListParagraph"/>
        <w:numPr>
          <w:numId w:val="4"/>
        </w:numPr>
        <w:autoSpaceDE w:val="0"/>
        <w:autoSpaceDN w:val="0"/>
        <w:bidi w:val="0"/>
        <w:adjustRightInd w:val="0"/>
        <w:ind w:left="567" w:hanging="567"/>
        <w:rPr>
          <w:rFonts w:ascii="Times New Roman" w:hAnsi="Times New Roman"/>
          <w:b/>
          <w:noProof/>
        </w:rPr>
      </w:pPr>
      <w:r w:rsidRPr="00C13764">
        <w:rPr>
          <w:rFonts w:ascii="Times New Roman" w:hAnsi="Times New Roman"/>
          <w:b/>
          <w:noProof/>
        </w:rPr>
        <w:t>Úvod</w:t>
      </w:r>
    </w:p>
    <w:p w:rsidR="008462CE" w:rsidRPr="00C13764" w:rsidP="008462CE">
      <w:pPr>
        <w:pStyle w:val="ListParagraph"/>
        <w:autoSpaceDE w:val="0"/>
        <w:autoSpaceDN w:val="0"/>
        <w:bidi w:val="0"/>
        <w:adjustRightInd w:val="0"/>
        <w:ind w:left="567"/>
        <w:rPr>
          <w:rFonts w:ascii="Times New Roman" w:hAnsi="Times New Roman"/>
          <w:b/>
          <w:noProof/>
          <w:sz w:val="16"/>
          <w:szCs w:val="16"/>
        </w:rPr>
      </w:pPr>
    </w:p>
    <w:p w:rsidR="002C4F9B" w:rsidRPr="00C13764" w:rsidP="002C4F9B">
      <w:pPr>
        <w:pStyle w:val="NoSpacing"/>
        <w:bidi w:val="0"/>
        <w:rPr>
          <w:rFonts w:ascii="Times New Roman" w:hAnsi="Times New Roman"/>
          <w:b/>
          <w:bCs/>
        </w:rPr>
      </w:pPr>
      <w:r w:rsidRPr="00C13764">
        <w:rPr>
          <w:rFonts w:ascii="Times New Roman" w:hAnsi="Times New Roman"/>
        </w:rPr>
        <w:t>Európska banka pre obnovu a rozvoj (ďalej len „EBOR” alebo „banka”) je medzinárodnou finančnou inštitúciou, ktorá vznikla na základe Dohody o založení Európskej banky pre obnovu a</w:t>
      </w:r>
      <w:r w:rsidRPr="00C13764" w:rsidR="00A17AF2">
        <w:rPr>
          <w:rFonts w:ascii="Times New Roman" w:hAnsi="Times New Roman"/>
        </w:rPr>
        <w:t> </w:t>
      </w:r>
      <w:r w:rsidRPr="00C13764">
        <w:rPr>
          <w:rFonts w:ascii="Times New Roman" w:hAnsi="Times New Roman"/>
        </w:rPr>
        <w:t>rozvoj</w:t>
      </w:r>
      <w:r w:rsidRPr="00C13764" w:rsidR="00A17AF2">
        <w:rPr>
          <w:rFonts w:ascii="Times New Roman" w:hAnsi="Times New Roman"/>
        </w:rPr>
        <w:t xml:space="preserve"> (ďalej len „Dohoda o založení banky“ alebo „DZB“)</w:t>
      </w:r>
      <w:r w:rsidRPr="00C13764">
        <w:rPr>
          <w:rFonts w:ascii="Times New Roman" w:hAnsi="Times New Roman"/>
        </w:rPr>
        <w:t xml:space="preserve"> podpísanej v Paríži 29. mája 1990 a vstúpil</w:t>
      </w:r>
      <w:r w:rsidRPr="00C13764" w:rsidR="00A17AF2">
        <w:rPr>
          <w:rFonts w:ascii="Times New Roman" w:hAnsi="Times New Roman"/>
        </w:rPr>
        <w:t>a</w:t>
      </w:r>
      <w:r w:rsidRPr="00C13764">
        <w:rPr>
          <w:rFonts w:ascii="Times New Roman" w:hAnsi="Times New Roman"/>
        </w:rPr>
        <w:t xml:space="preserve"> do platnosti 28. marca 1991. Dňa 15. októbra 2006 vstúpil do platnosti Dodatok k Dohode o založení Európskej banky pre obnovu a rozvoj v súvislosti s prijatím Mongolska medzi prijímateľské krajiny EBOR. Banka začala vykonávať svoju činnosť 15. apríla 1991.  Banka má okrem sídla v Londýne svoje kancelárie v mnohých krajinách pôsobnosti vrátane Slovenskej republiky, kde má svoju kanceláriu zriadenú v Bratislave.</w:t>
      </w:r>
    </w:p>
    <w:p w:rsidR="00C13764" w:rsidRPr="00C13764" w:rsidP="002C4F9B">
      <w:pPr>
        <w:pStyle w:val="NoSpacing"/>
        <w:bidi w:val="0"/>
        <w:rPr>
          <w:rFonts w:ascii="Times New Roman" w:hAnsi="Times New Roman"/>
        </w:rPr>
      </w:pPr>
    </w:p>
    <w:p w:rsidR="002C4F9B" w:rsidRPr="00C13764" w:rsidP="002C4F9B">
      <w:pPr>
        <w:pStyle w:val="NoSpacing"/>
        <w:bidi w:val="0"/>
        <w:rPr>
          <w:rFonts w:ascii="Times New Roman" w:hAnsi="Times New Roman"/>
        </w:rPr>
      </w:pPr>
      <w:r w:rsidRPr="00C13764">
        <w:rPr>
          <w:rFonts w:ascii="Times New Roman" w:hAnsi="Times New Roman"/>
        </w:rPr>
        <w:t>Akcionármi</w:t>
      </w:r>
      <w:r w:rsidRPr="00C13764" w:rsidR="00D164E8">
        <w:rPr>
          <w:rFonts w:ascii="Times New Roman" w:hAnsi="Times New Roman"/>
        </w:rPr>
        <w:t xml:space="preserve"> (členmi)</w:t>
      </w:r>
      <w:r w:rsidRPr="00C13764">
        <w:rPr>
          <w:rFonts w:ascii="Times New Roman" w:hAnsi="Times New Roman"/>
        </w:rPr>
        <w:t xml:space="preserve"> EBOR je  6</w:t>
      </w:r>
      <w:r w:rsidRPr="00C13764" w:rsidR="008F0682">
        <w:rPr>
          <w:rFonts w:ascii="Times New Roman" w:hAnsi="Times New Roman"/>
        </w:rPr>
        <w:t>3</w:t>
      </w:r>
      <w:r w:rsidRPr="00C13764">
        <w:rPr>
          <w:rFonts w:ascii="Times New Roman" w:hAnsi="Times New Roman"/>
        </w:rPr>
        <w:t xml:space="preserve"> krajín, samostatný vklad má </w:t>
      </w:r>
      <w:r w:rsidRPr="00C13764" w:rsidR="00FE33EB">
        <w:rPr>
          <w:rFonts w:ascii="Times New Roman" w:hAnsi="Times New Roman"/>
        </w:rPr>
        <w:t>Európska únia (ďalej len „EÚ“)</w:t>
      </w:r>
      <w:r w:rsidRPr="00C13764">
        <w:rPr>
          <w:rFonts w:ascii="Times New Roman" w:hAnsi="Times New Roman"/>
        </w:rPr>
        <w:t xml:space="preserve"> a Európska investičná banka.</w:t>
      </w:r>
    </w:p>
    <w:p w:rsidR="0065402F" w:rsidRPr="00C13764" w:rsidP="002C4F9B">
      <w:pPr>
        <w:pStyle w:val="NoSpacing"/>
        <w:bidi w:val="0"/>
        <w:rPr>
          <w:rFonts w:ascii="Times New Roman" w:hAnsi="Times New Roman"/>
        </w:rPr>
      </w:pPr>
    </w:p>
    <w:p w:rsidR="0065402F" w:rsidRPr="00C13764" w:rsidP="0065402F">
      <w:pPr>
        <w:pStyle w:val="NoSpacing"/>
        <w:bidi w:val="0"/>
        <w:rPr>
          <w:rFonts w:ascii="Times New Roman" w:hAnsi="Times New Roman"/>
        </w:rPr>
      </w:pPr>
      <w:r w:rsidRPr="00C13764">
        <w:rPr>
          <w:rFonts w:ascii="Times New Roman" w:hAnsi="Times New Roman"/>
        </w:rPr>
        <w:t>Poslaním EBOR je pomoc krajinám strednej a východnej Európy a bývalého Sovietskeho zväzu hlásiacich sa k demokracii a pluralizmu pri rozvíjaní trhovo orientovaných hospodárstiev. Konkrétne sa EBOR snaží napomôcť rozvoj súkromného sektora v rámci daného hospodárstva investičnými operáciami a mobilizáciou zahraničného a domáceho kapitálu. V súčasnosti EBOR formou poradenskej činnosti, poskytovaním pôžičiek, kapitálovým vstupom a garanciami sa angažuje v 29 krajinách od strednej a východnej Európy až po strednú Áziu (tzv. prijímateľské štáty</w:t>
      </w:r>
      <w:r w:rsidRPr="00C13764" w:rsidR="00273084">
        <w:rPr>
          <w:rFonts w:ascii="Times New Roman" w:hAnsi="Times New Roman"/>
        </w:rPr>
        <w:t>, angl. Countries of Operations</w:t>
      </w:r>
      <w:r w:rsidRPr="00C13764">
        <w:rPr>
          <w:rFonts w:ascii="Times New Roman" w:hAnsi="Times New Roman"/>
        </w:rPr>
        <w:t>).</w:t>
      </w:r>
      <w:r>
        <w:rPr>
          <w:rStyle w:val="FootnoteReference"/>
          <w:rFonts w:ascii="Times New Roman" w:hAnsi="Times New Roman"/>
          <w:shd w:val="clear" w:color="auto" w:fill="auto"/>
          <w:rtl w:val="0"/>
        </w:rPr>
        <w:footnoteReference w:id="2"/>
      </w:r>
    </w:p>
    <w:p w:rsidR="0065402F" w:rsidRPr="00C13764" w:rsidP="0065402F">
      <w:pPr>
        <w:pStyle w:val="NoSpacing"/>
        <w:bidi w:val="0"/>
        <w:rPr>
          <w:rFonts w:ascii="Times New Roman" w:hAnsi="Times New Roman"/>
          <w:noProof/>
        </w:rPr>
      </w:pPr>
    </w:p>
    <w:p w:rsidR="008462CE" w:rsidRPr="00C13764" w:rsidP="0065402F">
      <w:pPr>
        <w:pStyle w:val="NoSpacing"/>
        <w:bidi w:val="0"/>
        <w:rPr>
          <w:rFonts w:ascii="Times New Roman" w:hAnsi="Times New Roman"/>
          <w:noProof/>
        </w:rPr>
      </w:pPr>
      <w:r w:rsidRPr="00C13764" w:rsidR="0065402F">
        <w:rPr>
          <w:rFonts w:ascii="Times New Roman" w:hAnsi="Times New Roman"/>
          <w:noProof/>
        </w:rPr>
        <w:t>U</w:t>
      </w:r>
      <w:r w:rsidRPr="00C13764">
        <w:rPr>
          <w:rFonts w:ascii="Times New Roman" w:hAnsi="Times New Roman"/>
          <w:noProof/>
        </w:rPr>
        <w:t xml:space="preserve">dalosti v roku 2011 </w:t>
      </w:r>
      <w:r w:rsidRPr="00C13764" w:rsidR="0065402F">
        <w:rPr>
          <w:rFonts w:ascii="Times New Roman" w:hAnsi="Times New Roman"/>
          <w:noProof/>
        </w:rPr>
        <w:t>v krajinách Stredo</w:t>
      </w:r>
      <w:r w:rsidRPr="00C13764" w:rsidR="00094F21">
        <w:rPr>
          <w:rFonts w:ascii="Times New Roman" w:hAnsi="Times New Roman"/>
          <w:noProof/>
        </w:rPr>
        <w:t>zemia</w:t>
      </w:r>
      <w:r w:rsidRPr="00C13764">
        <w:rPr>
          <w:rFonts w:ascii="Times New Roman" w:hAnsi="Times New Roman"/>
          <w:noProof/>
        </w:rPr>
        <w:t xml:space="preserve"> si od EÚ vyžadujú rozsiahlu politickú reakciu. </w:t>
      </w:r>
      <w:r w:rsidRPr="00C13764" w:rsidR="00FE33EB">
        <w:rPr>
          <w:rFonts w:ascii="Times New Roman" w:hAnsi="Times New Roman"/>
          <w:noProof/>
        </w:rPr>
        <w:t>Európska k</w:t>
      </w:r>
      <w:r w:rsidRPr="00C13764">
        <w:rPr>
          <w:rFonts w:ascii="Times New Roman" w:hAnsi="Times New Roman"/>
          <w:noProof/>
        </w:rPr>
        <w:t>omisia a vysok</w:t>
      </w:r>
      <w:r w:rsidRPr="00C13764" w:rsidR="00FE33EB">
        <w:rPr>
          <w:rFonts w:ascii="Times New Roman" w:hAnsi="Times New Roman"/>
          <w:noProof/>
        </w:rPr>
        <w:t>á</w:t>
      </w:r>
      <w:r w:rsidRPr="00C13764">
        <w:rPr>
          <w:rFonts w:ascii="Times New Roman" w:hAnsi="Times New Roman"/>
          <w:noProof/>
        </w:rPr>
        <w:t xml:space="preserve"> predstaviteľ</w:t>
      </w:r>
      <w:r w:rsidRPr="00C13764" w:rsidR="00FE33EB">
        <w:rPr>
          <w:rFonts w:ascii="Times New Roman" w:hAnsi="Times New Roman"/>
          <w:noProof/>
        </w:rPr>
        <w:t xml:space="preserve">ka EÚ pre zahraničné veci a bezpečnostnú politiku </w:t>
      </w:r>
      <w:r w:rsidRPr="00C13764" w:rsidR="00FE33EB">
        <w:rPr>
          <w:rStyle w:val="st1"/>
          <w:rFonts w:ascii="Times New Roman" w:hAnsi="Times New Roman"/>
        </w:rPr>
        <w:t>Catherine Ashtonová</w:t>
      </w:r>
      <w:r w:rsidRPr="00C13764" w:rsidR="00FE33EB">
        <w:rPr>
          <w:rFonts w:ascii="Times New Roman" w:hAnsi="Times New Roman"/>
          <w:noProof/>
        </w:rPr>
        <w:t xml:space="preserve"> </w:t>
      </w:r>
      <w:r w:rsidRPr="00C13764">
        <w:rPr>
          <w:rFonts w:ascii="Times New Roman" w:hAnsi="Times New Roman"/>
          <w:noProof/>
        </w:rPr>
        <w:t xml:space="preserve"> predložili v</w:t>
      </w:r>
      <w:r w:rsidRPr="00C13764" w:rsidR="00FE33EB">
        <w:rPr>
          <w:rFonts w:ascii="Times New Roman" w:hAnsi="Times New Roman"/>
          <w:noProof/>
        </w:rPr>
        <w:t> </w:t>
      </w:r>
      <w:r w:rsidRPr="00C13764">
        <w:rPr>
          <w:rFonts w:ascii="Times New Roman" w:hAnsi="Times New Roman"/>
          <w:noProof/>
        </w:rPr>
        <w:t>marci</w:t>
      </w:r>
      <w:r w:rsidRPr="00C13764" w:rsidR="00FE33EB">
        <w:rPr>
          <w:rFonts w:ascii="Times New Roman" w:hAnsi="Times New Roman"/>
          <w:noProof/>
        </w:rPr>
        <w:t xml:space="preserve"> 2011</w:t>
      </w:r>
      <w:r w:rsidRPr="00C13764">
        <w:rPr>
          <w:rFonts w:ascii="Times New Roman" w:hAnsi="Times New Roman"/>
          <w:noProof/>
        </w:rPr>
        <w:t xml:space="preserve"> spoločné oznámenie</w:t>
      </w:r>
      <w:r w:rsidRPr="00C13764" w:rsidR="00D164E8">
        <w:rPr>
          <w:rFonts w:ascii="Times New Roman" w:hAnsi="Times New Roman"/>
          <w:noProof/>
        </w:rPr>
        <w:t>,</w:t>
      </w:r>
      <w:r>
        <w:rPr>
          <w:rStyle w:val="FootnoteReference"/>
          <w:rFonts w:ascii="Times New Roman" w:hAnsi="Times New Roman"/>
          <w:noProof/>
          <w:shd w:val="clear" w:color="auto" w:fill="auto"/>
          <w:rtl w:val="0"/>
        </w:rPr>
        <w:footnoteReference w:id="3"/>
      </w:r>
      <w:r w:rsidRPr="00C13764" w:rsidR="00D164E8">
        <w:rPr>
          <w:rFonts w:ascii="Times New Roman" w:hAnsi="Times New Roman"/>
          <w:noProof/>
        </w:rPr>
        <w:t xml:space="preserve"> </w:t>
      </w:r>
      <w:r w:rsidRPr="00C13764">
        <w:rPr>
          <w:rFonts w:ascii="Times New Roman" w:hAnsi="Times New Roman"/>
          <w:noProof/>
        </w:rPr>
        <w:t>v ktorom sa naznačila silná politická a hospodárska podpora Európskej únie tomuto regiónu vrátane možnosti rozšírenia mandátu EBOR, ktorý by sa vzťahoval aj na krajiny južného susedstva, a to v nadväznosti na jej skúsenosti získané v posledných 20 rokoch pri podpore prechodu k otvoreným, trhovo zameraným hospodárstvam. Európska rada v záveroch z 24. – 25. marca 2011 všeobecne schválila obsah tohto spoločného oznámenia. Európsky parlament vo svojom uznesení zo</w:t>
      </w:r>
      <w:r w:rsidRPr="00C13764" w:rsidR="00A17AF2">
        <w:rPr>
          <w:rFonts w:ascii="Times New Roman" w:hAnsi="Times New Roman"/>
          <w:noProof/>
        </w:rPr>
        <w:t xml:space="preserve"> </w:t>
      </w:r>
      <w:r w:rsidRPr="00C13764">
        <w:rPr>
          <w:rFonts w:ascii="Times New Roman" w:hAnsi="Times New Roman"/>
          <w:noProof/>
        </w:rPr>
        <w:t xml:space="preserve">7. apríla 2011 o revízii južnej dimenzie európskej susedskej politiky vyzval EBOR na zmenu svojich </w:t>
      </w:r>
      <w:r w:rsidRPr="00C13764" w:rsidR="00117905">
        <w:rPr>
          <w:rFonts w:ascii="Times New Roman" w:hAnsi="Times New Roman"/>
          <w:noProof/>
        </w:rPr>
        <w:t>predpisov</w:t>
      </w:r>
      <w:r w:rsidRPr="00C13764">
        <w:rPr>
          <w:rFonts w:ascii="Times New Roman" w:hAnsi="Times New Roman"/>
          <w:noProof/>
        </w:rPr>
        <w:t xml:space="preserve">, aby sa mohla zúčastňovať na procese finančnej pomoci. Vedúci predstavitelia </w:t>
      </w:r>
      <w:r w:rsidRPr="00C13764" w:rsidR="00117905">
        <w:rPr>
          <w:rFonts w:ascii="Times New Roman" w:hAnsi="Times New Roman"/>
          <w:noProof/>
        </w:rPr>
        <w:t xml:space="preserve">skupiny </w:t>
      </w:r>
      <w:r w:rsidRPr="00C13764">
        <w:rPr>
          <w:rFonts w:ascii="Times New Roman" w:hAnsi="Times New Roman"/>
          <w:noProof/>
        </w:rPr>
        <w:t xml:space="preserve">G8 na </w:t>
      </w:r>
      <w:r w:rsidRPr="00C13764" w:rsidR="00117905">
        <w:rPr>
          <w:rFonts w:ascii="Times New Roman" w:hAnsi="Times New Roman"/>
          <w:noProof/>
        </w:rPr>
        <w:t>sumite</w:t>
      </w:r>
      <w:r w:rsidRPr="00C13764">
        <w:rPr>
          <w:rFonts w:ascii="Times New Roman" w:hAnsi="Times New Roman"/>
          <w:noProof/>
        </w:rPr>
        <w:t xml:space="preserve"> </w:t>
      </w:r>
      <w:r w:rsidRPr="00C13764" w:rsidR="00117905">
        <w:rPr>
          <w:rFonts w:ascii="Times New Roman" w:hAnsi="Times New Roman"/>
          <w:noProof/>
        </w:rPr>
        <w:t>26. – 27. mája</w:t>
      </w:r>
      <w:r w:rsidRPr="00C13764">
        <w:rPr>
          <w:rFonts w:ascii="Times New Roman" w:hAnsi="Times New Roman"/>
          <w:noProof/>
        </w:rPr>
        <w:t xml:space="preserve"> 2011 v</w:t>
      </w:r>
      <w:r w:rsidRPr="00C13764" w:rsidR="00117905">
        <w:rPr>
          <w:rFonts w:ascii="Times New Roman" w:hAnsi="Times New Roman"/>
          <w:noProof/>
        </w:rPr>
        <w:t> </w:t>
      </w:r>
      <w:r w:rsidRPr="00C13764">
        <w:rPr>
          <w:rFonts w:ascii="Times New Roman" w:hAnsi="Times New Roman"/>
          <w:noProof/>
        </w:rPr>
        <w:t>Deauville</w:t>
      </w:r>
      <w:r w:rsidRPr="00C13764" w:rsidR="00117905">
        <w:rPr>
          <w:rFonts w:ascii="Times New Roman" w:hAnsi="Times New Roman"/>
          <w:noProof/>
        </w:rPr>
        <w:t xml:space="preserve"> (Francúzsko)</w:t>
      </w:r>
      <w:r w:rsidRPr="00C13764">
        <w:rPr>
          <w:rFonts w:ascii="Times New Roman" w:hAnsi="Times New Roman"/>
          <w:noProof/>
        </w:rPr>
        <w:t xml:space="preserve"> tiež vyzvali EBOR, aby rozšírila svoj geografický rozsah s cieľom priniesť svoje skúsenosti a podporovať prechod </w:t>
      </w:r>
      <w:r w:rsidRPr="00C13764" w:rsidR="00117905">
        <w:rPr>
          <w:rFonts w:ascii="Times New Roman" w:hAnsi="Times New Roman"/>
          <w:noProof/>
        </w:rPr>
        <w:t>krajín južného a východného Stredo</w:t>
      </w:r>
      <w:r w:rsidRPr="00C13764" w:rsidR="00094F21">
        <w:rPr>
          <w:rFonts w:ascii="Times New Roman" w:hAnsi="Times New Roman"/>
          <w:noProof/>
        </w:rPr>
        <w:t>zemia</w:t>
      </w:r>
      <w:r w:rsidRPr="00C13764">
        <w:rPr>
          <w:rFonts w:ascii="Times New Roman" w:hAnsi="Times New Roman"/>
          <w:noProof/>
        </w:rPr>
        <w:t xml:space="preserve">, aby prijali zásady demokracie viacerých strán, pluralizmu a trhového hospodárstva. </w:t>
      </w:r>
    </w:p>
    <w:p w:rsidR="00903579" w:rsidP="0065402F">
      <w:pPr>
        <w:pStyle w:val="NoSpacing"/>
        <w:bidi w:val="0"/>
        <w:rPr>
          <w:rFonts w:ascii="Times New Roman" w:hAnsi="Times New Roman"/>
          <w:noProof/>
        </w:rPr>
      </w:pPr>
    </w:p>
    <w:p w:rsidR="008D3F68" w:rsidRPr="00C13764" w:rsidP="0065402F">
      <w:pPr>
        <w:pStyle w:val="NoSpacing"/>
        <w:bidi w:val="0"/>
        <w:rPr>
          <w:rFonts w:ascii="Times New Roman" w:hAnsi="Times New Roman"/>
          <w:noProof/>
        </w:rPr>
      </w:pPr>
      <w:r w:rsidRPr="00C13764">
        <w:rPr>
          <w:rFonts w:ascii="Times New Roman" w:hAnsi="Times New Roman"/>
          <w:noProof/>
        </w:rPr>
        <w:t>V reakcii na rýchlo sa meniacu situáciu guvernéri EBOR vyzvali banku aby preskúmala možnosť regionálneho rozšírenia geografického rozsahu svojho mandátu. Na výročnom zasadnutí Rady guvernérov EBOR, ktoré sa konalo 20. – 21. mája 2011 v Astane (Kazachstan), guvernéri určili parametre týkajúce sa tejto práce.</w:t>
      </w:r>
    </w:p>
    <w:p w:rsidR="00EF506C" w:rsidRPr="00C13764" w:rsidP="0065402F">
      <w:pPr>
        <w:pStyle w:val="NoSpacing"/>
        <w:bidi w:val="0"/>
        <w:rPr>
          <w:rFonts w:ascii="Times New Roman" w:hAnsi="Times New Roman"/>
          <w:noProof/>
        </w:rPr>
      </w:pPr>
    </w:p>
    <w:p w:rsidR="00EF506C" w:rsidRPr="00C13764" w:rsidP="0065402F">
      <w:pPr>
        <w:pStyle w:val="NoSpacing"/>
        <w:bidi w:val="0"/>
        <w:rPr>
          <w:rFonts w:ascii="Times New Roman" w:hAnsi="Times New Roman"/>
          <w:noProof/>
        </w:rPr>
      </w:pPr>
      <w:r w:rsidRPr="00C13764">
        <w:rPr>
          <w:rFonts w:ascii="Times New Roman" w:hAnsi="Times New Roman"/>
          <w:noProof/>
        </w:rPr>
        <w:t>Úvahy o rozšírenie mandátu EBOR boli taktiež podporené žiadosťou Egypta a Maroka</w:t>
      </w:r>
      <w:r>
        <w:rPr>
          <w:rStyle w:val="FootnoteReference"/>
          <w:rFonts w:ascii="Times New Roman" w:hAnsi="Times New Roman"/>
          <w:noProof/>
          <w:shd w:val="clear" w:color="auto" w:fill="auto"/>
          <w:rtl w:val="0"/>
        </w:rPr>
        <w:footnoteReference w:id="4"/>
      </w:r>
      <w:r w:rsidRPr="00C13764">
        <w:rPr>
          <w:rFonts w:ascii="Times New Roman" w:hAnsi="Times New Roman"/>
          <w:noProof/>
        </w:rPr>
        <w:t xml:space="preserve"> (obe krajiny boli akcionármi EBOR a zakladajúcimi členmi EBOR) získať štatút prijímajúcej krajiny, na základe ktorého je banka oprávnená v danej krajine vykonávať svoje projekty (nevyhnutnou podmienkou pre získanie tohto štatútu je členstvo v EBOR).</w:t>
      </w:r>
    </w:p>
    <w:p w:rsidR="00EF506C" w:rsidRPr="00C13764" w:rsidP="0065402F">
      <w:pPr>
        <w:pStyle w:val="NoSpacing"/>
        <w:bidi w:val="0"/>
        <w:rPr>
          <w:rFonts w:ascii="Times New Roman" w:hAnsi="Times New Roman"/>
          <w:noProof/>
        </w:rPr>
      </w:pPr>
    </w:p>
    <w:p w:rsidR="00EF506C" w:rsidRPr="00C13764" w:rsidP="0065402F">
      <w:pPr>
        <w:pStyle w:val="NoSpacing"/>
        <w:bidi w:val="0"/>
        <w:rPr>
          <w:rFonts w:ascii="Times New Roman" w:hAnsi="Times New Roman"/>
          <w:noProof/>
        </w:rPr>
      </w:pPr>
      <w:r w:rsidRPr="00C13764">
        <w:rPr>
          <w:rFonts w:ascii="Times New Roman" w:hAnsi="Times New Roman"/>
          <w:noProof/>
        </w:rPr>
        <w:t>O štatút prijúmajúcej krajiny prejavili záujem aj ďalšie dve krajiny (nečlenské</w:t>
      </w:r>
      <w:r w:rsidRPr="00C13764" w:rsidR="008D3F68">
        <w:rPr>
          <w:rFonts w:ascii="Times New Roman" w:hAnsi="Times New Roman"/>
          <w:noProof/>
        </w:rPr>
        <w:t xml:space="preserve"> krajiny EBOR) a to Tunisko a Jordánsko. Ich prijatie bolo predmetom hlasovania Rady guvernérov EBOR a ich členstvo bolo schválené s </w:t>
      </w:r>
      <w:r w:rsidR="00F16BCA">
        <w:rPr>
          <w:rFonts w:ascii="Times New Roman" w:hAnsi="Times New Roman"/>
          <w:noProof/>
        </w:rPr>
        <w:t>platnosťou</w:t>
      </w:r>
      <w:r w:rsidRPr="00C13764" w:rsidR="008D3F68">
        <w:rPr>
          <w:rFonts w:ascii="Times New Roman" w:hAnsi="Times New Roman"/>
          <w:noProof/>
        </w:rPr>
        <w:t xml:space="preserve"> o</w:t>
      </w:r>
      <w:r w:rsidR="000350E8">
        <w:rPr>
          <w:rFonts w:ascii="Times New Roman" w:hAnsi="Times New Roman"/>
          <w:noProof/>
        </w:rPr>
        <w:t>d 29. decembra</w:t>
      </w:r>
      <w:r w:rsidRPr="00C13764" w:rsidR="008D3F68">
        <w:rPr>
          <w:rFonts w:ascii="Times New Roman" w:hAnsi="Times New Roman"/>
          <w:noProof/>
        </w:rPr>
        <w:t xml:space="preserve"> 2011.</w:t>
      </w:r>
    </w:p>
    <w:p w:rsidR="008D3F68" w:rsidRPr="00C13764" w:rsidP="0065402F">
      <w:pPr>
        <w:pStyle w:val="NoSpacing"/>
        <w:bidi w:val="0"/>
        <w:rPr>
          <w:rFonts w:ascii="Times New Roman" w:hAnsi="Times New Roman"/>
          <w:noProof/>
        </w:rPr>
      </w:pPr>
    </w:p>
    <w:p w:rsidR="008462CE" w:rsidRPr="00C13764" w:rsidP="008462CE">
      <w:pPr>
        <w:bidi w:val="0"/>
        <w:rPr>
          <w:rFonts w:ascii="Times New Roman" w:hAnsi="Times New Roman"/>
          <w:noProof/>
        </w:rPr>
      </w:pPr>
      <w:r w:rsidRPr="00C13764" w:rsidR="008D3F68">
        <w:rPr>
          <w:rFonts w:ascii="Times New Roman" w:hAnsi="Times New Roman"/>
          <w:noProof/>
        </w:rPr>
        <w:t xml:space="preserve">V nadväznosti na rozšírenie geografického mandátu banky </w:t>
      </w:r>
      <w:r w:rsidRPr="00C13764">
        <w:rPr>
          <w:rFonts w:ascii="Times New Roman" w:hAnsi="Times New Roman"/>
          <w:noProof/>
        </w:rPr>
        <w:t xml:space="preserve">Rada </w:t>
      </w:r>
      <w:r w:rsidRPr="00C13764" w:rsidR="00117905">
        <w:rPr>
          <w:rFonts w:ascii="Times New Roman" w:hAnsi="Times New Roman"/>
          <w:noProof/>
        </w:rPr>
        <w:t>guvernérov</w:t>
      </w:r>
      <w:r w:rsidRPr="00C13764">
        <w:rPr>
          <w:rFonts w:ascii="Times New Roman" w:hAnsi="Times New Roman"/>
          <w:noProof/>
        </w:rPr>
        <w:t xml:space="preserve"> EBOR</w:t>
      </w:r>
      <w:r>
        <w:rPr>
          <w:rStyle w:val="FootnoteReference"/>
          <w:rFonts w:ascii="Times New Roman" w:hAnsi="Times New Roman"/>
          <w:noProof/>
          <w:shd w:val="clear" w:color="auto" w:fill="auto"/>
          <w:rtl w:val="0"/>
        </w:rPr>
        <w:footnoteReference w:id="5"/>
      </w:r>
      <w:r w:rsidRPr="00C13764" w:rsidR="00117905">
        <w:rPr>
          <w:rFonts w:ascii="Times New Roman" w:hAnsi="Times New Roman"/>
          <w:noProof/>
        </w:rPr>
        <w:t xml:space="preserve"> dňa 30. septembra 2011 schválila </w:t>
      </w:r>
      <w:r w:rsidRPr="00C13764">
        <w:rPr>
          <w:rFonts w:ascii="Times New Roman" w:hAnsi="Times New Roman"/>
          <w:noProof/>
        </w:rPr>
        <w:t xml:space="preserve">dve </w:t>
      </w:r>
      <w:r w:rsidR="000350E8">
        <w:rPr>
          <w:rFonts w:ascii="Times New Roman" w:hAnsi="Times New Roman"/>
          <w:noProof/>
        </w:rPr>
        <w:t>rezolúcie</w:t>
      </w:r>
      <w:r w:rsidRPr="00C13764">
        <w:rPr>
          <w:rFonts w:ascii="Times New Roman" w:hAnsi="Times New Roman"/>
          <w:noProof/>
        </w:rPr>
        <w:t xml:space="preserve">: </w:t>
      </w:r>
    </w:p>
    <w:p w:rsidR="000024D0" w:rsidRPr="00C13764" w:rsidP="00F003BE">
      <w:pPr>
        <w:pStyle w:val="NoSpacing"/>
        <w:numPr>
          <w:numId w:val="5"/>
        </w:numPr>
        <w:bidi w:val="0"/>
        <w:ind w:left="567" w:hanging="567"/>
        <w:rPr>
          <w:rFonts w:ascii="Times New Roman" w:hAnsi="Times New Roman"/>
          <w:noProof/>
        </w:rPr>
      </w:pPr>
      <w:r w:rsidR="000350E8">
        <w:rPr>
          <w:rFonts w:ascii="Times New Roman" w:hAnsi="Times New Roman"/>
          <w:noProof/>
        </w:rPr>
        <w:t>rezolúciu</w:t>
      </w:r>
      <w:r w:rsidRPr="00C13764" w:rsidR="008462CE">
        <w:rPr>
          <w:rFonts w:ascii="Times New Roman" w:hAnsi="Times New Roman"/>
          <w:noProof/>
        </w:rPr>
        <w:t xml:space="preserve"> </w:t>
      </w:r>
      <w:r w:rsidRPr="00C13764" w:rsidR="00117905">
        <w:rPr>
          <w:rFonts w:ascii="Times New Roman" w:hAnsi="Times New Roman"/>
          <w:noProof/>
        </w:rPr>
        <w:t xml:space="preserve">č. </w:t>
      </w:r>
      <w:r w:rsidRPr="00C13764">
        <w:rPr>
          <w:rFonts w:ascii="Times New Roman" w:hAnsi="Times New Roman"/>
          <w:noProof/>
        </w:rPr>
        <w:t>137, v ktorom sa navrhuje</w:t>
      </w:r>
      <w:r w:rsidRPr="00C13764" w:rsidR="008462CE">
        <w:rPr>
          <w:rFonts w:ascii="Times New Roman" w:hAnsi="Times New Roman"/>
          <w:noProof/>
        </w:rPr>
        <w:t xml:space="preserve"> zmen</w:t>
      </w:r>
      <w:r w:rsidRPr="00C13764">
        <w:rPr>
          <w:rFonts w:ascii="Times New Roman" w:hAnsi="Times New Roman"/>
          <w:noProof/>
        </w:rPr>
        <w:t xml:space="preserve">a </w:t>
      </w:r>
      <w:r w:rsidRPr="00C13764" w:rsidR="008462CE">
        <w:rPr>
          <w:rFonts w:ascii="Times New Roman" w:hAnsi="Times New Roman"/>
          <w:noProof/>
        </w:rPr>
        <w:t xml:space="preserve">článku 1 </w:t>
      </w:r>
      <w:r w:rsidRPr="00C13764" w:rsidR="00117905">
        <w:rPr>
          <w:rFonts w:ascii="Times New Roman" w:hAnsi="Times New Roman"/>
          <w:noProof/>
        </w:rPr>
        <w:t>D</w:t>
      </w:r>
      <w:r w:rsidRPr="00C13764" w:rsidR="00A17AF2">
        <w:rPr>
          <w:rFonts w:ascii="Times New Roman" w:hAnsi="Times New Roman"/>
          <w:noProof/>
        </w:rPr>
        <w:t>ZB</w:t>
      </w:r>
      <w:r w:rsidRPr="00C13764">
        <w:rPr>
          <w:rFonts w:ascii="Times New Roman" w:hAnsi="Times New Roman"/>
          <w:noProof/>
        </w:rPr>
        <w:t>, ktorá umožní banke vykonávať operácie v krajinách južného a východného Stredozemia (zmena článku 1 DZB);</w:t>
      </w:r>
    </w:p>
    <w:p w:rsidR="000024D0" w:rsidRPr="00C13764" w:rsidP="000024D0">
      <w:pPr>
        <w:pStyle w:val="NoSpacing"/>
        <w:bidi w:val="0"/>
        <w:ind w:left="567"/>
        <w:rPr>
          <w:rFonts w:ascii="Times New Roman" w:hAnsi="Times New Roman"/>
          <w:noProof/>
        </w:rPr>
      </w:pPr>
    </w:p>
    <w:p w:rsidR="000024D0" w:rsidRPr="00C13764" w:rsidP="000024D0">
      <w:pPr>
        <w:pStyle w:val="ListParagraph"/>
        <w:numPr>
          <w:numId w:val="5"/>
        </w:numPr>
        <w:bidi w:val="0"/>
        <w:spacing w:before="0" w:after="0"/>
        <w:ind w:left="567" w:hanging="567"/>
        <w:rPr>
          <w:rFonts w:ascii="Times New Roman" w:hAnsi="Times New Roman"/>
        </w:rPr>
      </w:pPr>
      <w:r w:rsidR="000350E8">
        <w:rPr>
          <w:rFonts w:ascii="Times New Roman" w:hAnsi="Times New Roman"/>
          <w:noProof/>
        </w:rPr>
        <w:t>rezolúciu</w:t>
      </w:r>
      <w:r w:rsidRPr="00C13764" w:rsidR="008462CE">
        <w:rPr>
          <w:rFonts w:ascii="Times New Roman" w:hAnsi="Times New Roman"/>
          <w:noProof/>
        </w:rPr>
        <w:t xml:space="preserve"> </w:t>
      </w:r>
      <w:r w:rsidRPr="00C13764" w:rsidR="00117905">
        <w:rPr>
          <w:rFonts w:ascii="Times New Roman" w:hAnsi="Times New Roman"/>
          <w:noProof/>
        </w:rPr>
        <w:t xml:space="preserve">č. </w:t>
      </w:r>
      <w:r w:rsidRPr="00C13764" w:rsidR="008462CE">
        <w:rPr>
          <w:rFonts w:ascii="Times New Roman" w:hAnsi="Times New Roman"/>
          <w:noProof/>
        </w:rPr>
        <w:t>138, v ktorom sa navrhuj</w:t>
      </w:r>
      <w:r w:rsidRPr="00C13764">
        <w:rPr>
          <w:rFonts w:ascii="Times New Roman" w:hAnsi="Times New Roman"/>
          <w:noProof/>
        </w:rPr>
        <w:t>e</w:t>
      </w:r>
      <w:r w:rsidRPr="00C13764" w:rsidR="008462CE">
        <w:rPr>
          <w:rFonts w:ascii="Times New Roman" w:hAnsi="Times New Roman"/>
          <w:noProof/>
        </w:rPr>
        <w:t xml:space="preserve"> zmen</w:t>
      </w:r>
      <w:r w:rsidRPr="00C13764">
        <w:rPr>
          <w:rFonts w:ascii="Times New Roman" w:hAnsi="Times New Roman"/>
          <w:noProof/>
        </w:rPr>
        <w:t xml:space="preserve">a </w:t>
      </w:r>
      <w:r w:rsidRPr="00C13764" w:rsidR="008462CE">
        <w:rPr>
          <w:rFonts w:ascii="Times New Roman" w:hAnsi="Times New Roman"/>
          <w:noProof/>
        </w:rPr>
        <w:t xml:space="preserve">článku 18 </w:t>
      </w:r>
      <w:r w:rsidRPr="00C13764" w:rsidR="00117905">
        <w:rPr>
          <w:rFonts w:ascii="Times New Roman" w:hAnsi="Times New Roman"/>
          <w:noProof/>
        </w:rPr>
        <w:t>D</w:t>
      </w:r>
      <w:r w:rsidRPr="00C13764" w:rsidR="00A17AF2">
        <w:rPr>
          <w:rFonts w:ascii="Times New Roman" w:hAnsi="Times New Roman"/>
          <w:noProof/>
        </w:rPr>
        <w:t>ZB</w:t>
      </w:r>
      <w:r w:rsidRPr="00C13764">
        <w:rPr>
          <w:rFonts w:ascii="Times New Roman" w:hAnsi="Times New Roman"/>
          <w:noProof/>
        </w:rPr>
        <w:t>, ktorá umožní</w:t>
      </w:r>
      <w:r w:rsidRPr="00C13764" w:rsidR="00A17AF2">
        <w:rPr>
          <w:rFonts w:ascii="Times New Roman" w:hAnsi="Times New Roman"/>
          <w:noProof/>
        </w:rPr>
        <w:t xml:space="preserve"> </w:t>
      </w:r>
      <w:r w:rsidRPr="00C13764">
        <w:rPr>
          <w:rFonts w:ascii="Times New Roman" w:hAnsi="Times New Roman"/>
          <w:noProof/>
        </w:rPr>
        <w:t>využívanie špeciálnych fondov v prijímajúcich krajinách a v potenciálnych prijímajúcich krajinách (zmena článku 18 DZB)</w:t>
      </w:r>
      <w:r w:rsidRPr="00C13764" w:rsidR="008462CE">
        <w:rPr>
          <w:rFonts w:ascii="Times New Roman" w:hAnsi="Times New Roman"/>
          <w:noProof/>
        </w:rPr>
        <w:t>.</w:t>
      </w:r>
      <w:r w:rsidRPr="00C13764" w:rsidR="00F003BE">
        <w:rPr>
          <w:rFonts w:ascii="Times New Roman" w:hAnsi="Times New Roman"/>
          <w:noProof/>
        </w:rPr>
        <w:t xml:space="preserve"> </w:t>
      </w:r>
      <w:r w:rsidRPr="00C13764" w:rsidR="00F003BE">
        <w:rPr>
          <w:rFonts w:ascii="Times New Roman" w:hAnsi="Times New Roman"/>
        </w:rPr>
        <w:t xml:space="preserve">Do špeciálnych fondov sú alokované prostriedky z čistého zisku EBOR alebo prostriedky tretích strán (napr. príspevky </w:t>
      </w:r>
      <w:r w:rsidRPr="00C13764" w:rsidR="00273084">
        <w:rPr>
          <w:rFonts w:ascii="Times New Roman" w:hAnsi="Times New Roman"/>
        </w:rPr>
        <w:t>darcov</w:t>
      </w:r>
      <w:r w:rsidRPr="00C13764" w:rsidR="00F003BE">
        <w:rPr>
          <w:rFonts w:ascii="Times New Roman" w:hAnsi="Times New Roman"/>
        </w:rPr>
        <w:t>).</w:t>
      </w:r>
    </w:p>
    <w:p w:rsidR="000024D0" w:rsidRPr="00C13764" w:rsidP="000024D0">
      <w:pPr>
        <w:pStyle w:val="ListParagraph"/>
        <w:bidi w:val="0"/>
        <w:rPr>
          <w:rFonts w:ascii="Times New Roman" w:hAnsi="Times New Roman"/>
        </w:rPr>
      </w:pPr>
    </w:p>
    <w:p w:rsidR="000024D0" w:rsidRPr="00C13764" w:rsidP="000024D0">
      <w:pPr>
        <w:pStyle w:val="ListParagraph"/>
        <w:bidi w:val="0"/>
        <w:spacing w:before="0" w:after="0"/>
        <w:ind w:left="567"/>
        <w:rPr>
          <w:rFonts w:ascii="Times New Roman" w:hAnsi="Times New Roman"/>
          <w:sz w:val="16"/>
          <w:szCs w:val="16"/>
        </w:rPr>
      </w:pPr>
    </w:p>
    <w:p w:rsidR="0075354B" w:rsidRPr="00C13764" w:rsidP="0075354B">
      <w:pPr>
        <w:pStyle w:val="NoSpacing"/>
        <w:numPr>
          <w:numId w:val="4"/>
        </w:numPr>
        <w:bidi w:val="0"/>
        <w:ind w:hanging="720"/>
        <w:rPr>
          <w:rFonts w:ascii="Times New Roman" w:hAnsi="Times New Roman"/>
          <w:b/>
          <w:noProof/>
        </w:rPr>
      </w:pPr>
      <w:r w:rsidRPr="00C13764" w:rsidR="008D3F68">
        <w:rPr>
          <w:rFonts w:ascii="Times New Roman" w:hAnsi="Times New Roman"/>
          <w:b/>
          <w:noProof/>
        </w:rPr>
        <w:t>Tri fázy rozšírenia mandátu EBOR</w:t>
      </w:r>
    </w:p>
    <w:p w:rsidR="0075354B" w:rsidRPr="00C13764" w:rsidP="0075354B">
      <w:pPr>
        <w:pStyle w:val="NoSpacing"/>
        <w:bidi w:val="0"/>
        <w:ind w:left="720"/>
        <w:rPr>
          <w:rFonts w:ascii="Times New Roman" w:hAnsi="Times New Roman"/>
          <w:b/>
          <w:noProof/>
        </w:rPr>
      </w:pPr>
    </w:p>
    <w:p w:rsidR="008462CE" w:rsidRPr="00C13764" w:rsidP="0075354B">
      <w:pPr>
        <w:pStyle w:val="NoSpacing"/>
        <w:bidi w:val="0"/>
        <w:rPr>
          <w:rFonts w:ascii="Times New Roman" w:hAnsi="Times New Roman"/>
          <w:noProof/>
        </w:rPr>
      </w:pPr>
      <w:r w:rsidR="000350E8">
        <w:rPr>
          <w:rFonts w:ascii="Times New Roman" w:hAnsi="Times New Roman"/>
          <w:noProof/>
        </w:rPr>
        <w:t>Cieľom rezolúcii</w:t>
      </w:r>
      <w:r w:rsidRPr="00C13764" w:rsidR="0075354B">
        <w:rPr>
          <w:rFonts w:ascii="Times New Roman" w:hAnsi="Times New Roman"/>
          <w:noProof/>
        </w:rPr>
        <w:t xml:space="preserve"> č. 137 a 138</w:t>
      </w:r>
      <w:r w:rsidRPr="00C13764">
        <w:rPr>
          <w:rFonts w:ascii="Times New Roman" w:hAnsi="Times New Roman"/>
          <w:noProof/>
        </w:rPr>
        <w:t xml:space="preserve"> o</w:t>
      </w:r>
      <w:r w:rsidRPr="00C13764" w:rsidR="000024D0">
        <w:rPr>
          <w:rFonts w:ascii="Times New Roman" w:hAnsi="Times New Roman"/>
          <w:noProof/>
        </w:rPr>
        <w:t> </w:t>
      </w:r>
      <w:r w:rsidRPr="00C13764">
        <w:rPr>
          <w:rFonts w:ascii="Times New Roman" w:hAnsi="Times New Roman"/>
          <w:b/>
          <w:noProof/>
        </w:rPr>
        <w:t>zmene</w:t>
      </w:r>
      <w:r w:rsidRPr="00C13764" w:rsidR="000024D0">
        <w:rPr>
          <w:rFonts w:ascii="Times New Roman" w:hAnsi="Times New Roman"/>
          <w:b/>
          <w:noProof/>
        </w:rPr>
        <w:t xml:space="preserve"> článkov</w:t>
      </w:r>
      <w:r w:rsidRPr="00C13764" w:rsidR="0075354B">
        <w:rPr>
          <w:rFonts w:ascii="Times New Roman" w:hAnsi="Times New Roman"/>
          <w:b/>
          <w:noProof/>
        </w:rPr>
        <w:t xml:space="preserve"> 1 a 18 D</w:t>
      </w:r>
      <w:r w:rsidRPr="00C13764" w:rsidR="00A17AF2">
        <w:rPr>
          <w:rFonts w:ascii="Times New Roman" w:hAnsi="Times New Roman"/>
          <w:b/>
          <w:noProof/>
        </w:rPr>
        <w:t>ZB</w:t>
      </w:r>
      <w:r w:rsidRPr="00C13764" w:rsidR="0075354B">
        <w:rPr>
          <w:rFonts w:ascii="Times New Roman" w:hAnsi="Times New Roman"/>
          <w:b/>
          <w:noProof/>
        </w:rPr>
        <w:t xml:space="preserve"> je</w:t>
      </w:r>
      <w:r w:rsidRPr="00C13764">
        <w:rPr>
          <w:rFonts w:ascii="Times New Roman" w:hAnsi="Times New Roman"/>
          <w:b/>
          <w:noProof/>
        </w:rPr>
        <w:t xml:space="preserve"> umožniť </w:t>
      </w:r>
      <w:r w:rsidRPr="00C13764" w:rsidR="00F003BE">
        <w:rPr>
          <w:rFonts w:ascii="Times New Roman" w:hAnsi="Times New Roman"/>
          <w:b/>
          <w:noProof/>
        </w:rPr>
        <w:t>ba</w:t>
      </w:r>
      <w:r w:rsidRPr="00C13764" w:rsidR="00273084">
        <w:rPr>
          <w:rFonts w:ascii="Times New Roman" w:hAnsi="Times New Roman"/>
          <w:b/>
          <w:noProof/>
        </w:rPr>
        <w:t>n</w:t>
      </w:r>
      <w:r w:rsidRPr="00C13764" w:rsidR="00F003BE">
        <w:rPr>
          <w:rFonts w:ascii="Times New Roman" w:hAnsi="Times New Roman"/>
          <w:b/>
          <w:noProof/>
        </w:rPr>
        <w:t>k</w:t>
      </w:r>
      <w:r w:rsidRPr="00C13764" w:rsidR="0075354B">
        <w:rPr>
          <w:rFonts w:ascii="Times New Roman" w:hAnsi="Times New Roman"/>
          <w:b/>
          <w:noProof/>
        </w:rPr>
        <w:t xml:space="preserve">e </w:t>
      </w:r>
      <w:r w:rsidRPr="00C13764">
        <w:rPr>
          <w:rFonts w:ascii="Times New Roman" w:hAnsi="Times New Roman"/>
          <w:b/>
          <w:noProof/>
        </w:rPr>
        <w:t>zapojiť sa do regiónu južného a východného Stredozemia v troch fázach</w:t>
      </w:r>
      <w:r w:rsidRPr="00C13764">
        <w:rPr>
          <w:rFonts w:ascii="Times New Roman" w:hAnsi="Times New Roman"/>
          <w:noProof/>
        </w:rPr>
        <w:t xml:space="preserve">: </w:t>
      </w:r>
    </w:p>
    <w:p w:rsidR="008D3F68" w:rsidRPr="00C13764" w:rsidP="0075354B">
      <w:pPr>
        <w:pStyle w:val="NoSpacing"/>
        <w:bidi w:val="0"/>
        <w:rPr>
          <w:rFonts w:ascii="Times New Roman" w:hAnsi="Times New Roman"/>
          <w:noProof/>
        </w:rPr>
      </w:pPr>
    </w:p>
    <w:p w:rsidR="008462CE" w:rsidRPr="00C13764" w:rsidP="00A17AF2">
      <w:pPr>
        <w:pStyle w:val="NoSpacing"/>
        <w:numPr>
          <w:numId w:val="7"/>
        </w:numPr>
        <w:bidi w:val="0"/>
        <w:ind w:left="567" w:hanging="567"/>
        <w:rPr>
          <w:rFonts w:ascii="Times New Roman" w:hAnsi="Times New Roman"/>
          <w:noProof/>
        </w:rPr>
      </w:pPr>
      <w:r w:rsidRPr="00C13764">
        <w:rPr>
          <w:rFonts w:ascii="Times New Roman" w:hAnsi="Times New Roman"/>
          <w:noProof/>
        </w:rPr>
        <w:t xml:space="preserve">Počas </w:t>
      </w:r>
      <w:r w:rsidRPr="00C13764">
        <w:rPr>
          <w:rFonts w:ascii="Times New Roman" w:hAnsi="Times New Roman"/>
          <w:b/>
          <w:noProof/>
        </w:rPr>
        <w:t>prvej fázy</w:t>
      </w:r>
      <w:r w:rsidRPr="00C13764">
        <w:rPr>
          <w:rFonts w:ascii="Times New Roman" w:hAnsi="Times New Roman"/>
          <w:noProof/>
        </w:rPr>
        <w:t xml:space="preserve"> na základe požiadavky medzinárodného spoločenstva na rýchly začiatok pôsobenia v</w:t>
      </w:r>
      <w:r w:rsidRPr="00C13764" w:rsidR="0075354B">
        <w:rPr>
          <w:rFonts w:ascii="Times New Roman" w:hAnsi="Times New Roman"/>
          <w:noProof/>
        </w:rPr>
        <w:t> </w:t>
      </w:r>
      <w:r w:rsidRPr="00C13764">
        <w:rPr>
          <w:rFonts w:ascii="Times New Roman" w:hAnsi="Times New Roman"/>
          <w:noProof/>
        </w:rPr>
        <w:t>regióne</w:t>
      </w:r>
      <w:r w:rsidRPr="00C13764" w:rsidR="0075354B">
        <w:rPr>
          <w:rFonts w:ascii="Times New Roman" w:hAnsi="Times New Roman"/>
          <w:noProof/>
        </w:rPr>
        <w:t xml:space="preserve"> Stredo</w:t>
      </w:r>
      <w:r w:rsidRPr="00C13764" w:rsidR="00094F21">
        <w:rPr>
          <w:rFonts w:ascii="Times New Roman" w:hAnsi="Times New Roman"/>
          <w:noProof/>
        </w:rPr>
        <w:t>zemia</w:t>
      </w:r>
      <w:r w:rsidRPr="00C13764">
        <w:rPr>
          <w:rFonts w:ascii="Times New Roman" w:hAnsi="Times New Roman"/>
          <w:noProof/>
        </w:rPr>
        <w:t xml:space="preserve"> bude EBOR využívať </w:t>
      </w:r>
      <w:r w:rsidRPr="00C13764" w:rsidR="0075354B">
        <w:rPr>
          <w:rFonts w:ascii="Times New Roman" w:hAnsi="Times New Roman"/>
          <w:noProof/>
        </w:rPr>
        <w:t xml:space="preserve">kooperačné </w:t>
      </w:r>
      <w:r w:rsidRPr="00C13764">
        <w:rPr>
          <w:rFonts w:ascii="Times New Roman" w:hAnsi="Times New Roman"/>
          <w:noProof/>
        </w:rPr>
        <w:t>fondy, ktoré budú zamerané na technickú spoluprácu a prípravu projektov.</w:t>
      </w:r>
    </w:p>
    <w:p w:rsidR="000024D0" w:rsidRPr="00C13764" w:rsidP="000024D0">
      <w:pPr>
        <w:pStyle w:val="NoSpacing"/>
        <w:bidi w:val="0"/>
        <w:rPr>
          <w:rFonts w:ascii="Times New Roman" w:hAnsi="Times New Roman"/>
          <w:noProof/>
        </w:rPr>
      </w:pPr>
    </w:p>
    <w:p w:rsidR="000024D0" w:rsidRPr="00C13764" w:rsidP="000024D0">
      <w:pPr>
        <w:pStyle w:val="NoSpacing"/>
        <w:bidi w:val="0"/>
        <w:rPr>
          <w:rFonts w:ascii="Times New Roman" w:hAnsi="Times New Roman"/>
          <w:noProof/>
        </w:rPr>
      </w:pPr>
      <w:r w:rsidRPr="00C13764">
        <w:rPr>
          <w:rFonts w:ascii="Times New Roman" w:hAnsi="Times New Roman"/>
          <w:noProof/>
        </w:rPr>
        <w:t>Aktuálne sa nachádzame v prvej fáze rozšírenia, ktorá bola zahajená koncom roku 2011. Táto fáza spočíva v realizácii menších projektov</w:t>
      </w:r>
      <w:r w:rsidRPr="00C13764" w:rsidR="00EF506C">
        <w:rPr>
          <w:rFonts w:ascii="Times New Roman" w:hAnsi="Times New Roman"/>
          <w:noProof/>
        </w:rPr>
        <w:t xml:space="preserve"> technickej spolupráce, ktoré sú financované prostredníctvom dobrovoľných príspevkov od darcov.</w:t>
      </w:r>
    </w:p>
    <w:p w:rsidR="00EF506C" w:rsidRPr="00C13764" w:rsidP="000024D0">
      <w:pPr>
        <w:pStyle w:val="NoSpacing"/>
        <w:bidi w:val="0"/>
        <w:rPr>
          <w:rFonts w:ascii="Times New Roman" w:hAnsi="Times New Roman"/>
          <w:noProof/>
        </w:rPr>
      </w:pPr>
    </w:p>
    <w:p w:rsidR="00EF506C" w:rsidRPr="00C13764" w:rsidP="000024D0">
      <w:pPr>
        <w:pStyle w:val="NoSpacing"/>
        <w:bidi w:val="0"/>
        <w:rPr>
          <w:rFonts w:ascii="Times New Roman" w:hAnsi="Times New Roman"/>
          <w:noProof/>
        </w:rPr>
      </w:pPr>
      <w:r w:rsidRPr="00C13764">
        <w:rPr>
          <w:rFonts w:ascii="Times New Roman" w:hAnsi="Times New Roman"/>
          <w:noProof/>
        </w:rPr>
        <w:t xml:space="preserve">Prostriedky sú spravované v rámci tzv. fondov spolupráce (angl. Cooperation Funds). Ide napr. o Fond spolupráce pre južné a východné Stredozemie. Predpokladá sa, že celková výška príspevkov od jednotlivých darcov dosiahne cca 20 mil. EUR. </w:t>
      </w:r>
      <w:r w:rsidR="00CA43BA">
        <w:rPr>
          <w:rFonts w:ascii="Times New Roman" w:hAnsi="Times New Roman"/>
          <w:noProof/>
        </w:rPr>
        <w:t>Podľa informácií z marca 2012 prisľúbené príspevky boli vo výške cca 19,3 mil. EUR nasledujúcimi krajinami</w:t>
      </w:r>
      <w:r w:rsidRPr="00C13764">
        <w:rPr>
          <w:rFonts w:ascii="Times New Roman" w:hAnsi="Times New Roman"/>
          <w:noProof/>
        </w:rPr>
        <w:t xml:space="preserve">: </w:t>
      </w:r>
      <w:r w:rsidR="00CA43BA">
        <w:rPr>
          <w:rFonts w:ascii="Times New Roman" w:hAnsi="Times New Roman"/>
          <w:noProof/>
        </w:rPr>
        <w:t>potvrdené záväzky zo strany Francúzska (3 mil. EUR), Holandska a Nórska (po 2 mil. EUR každý), Nemecka a Švédska (po 1 mil. EUR každý)</w:t>
        <w:tab/>
        <w:t>, okrem toho prispevky prisľúbili Austrália a Taliansko (po 0,5 mil. EUR každý), Fínska (cca 3,5 mil. EUR) a Veľkej Británie (cca 5,8 mil. EUR).</w:t>
      </w:r>
      <w:r w:rsidR="00867246">
        <w:rPr>
          <w:rFonts w:ascii="Times New Roman" w:hAnsi="Times New Roman"/>
          <w:noProof/>
        </w:rPr>
        <w:t xml:space="preserve"> </w:t>
      </w:r>
      <w:r w:rsidRPr="00C13764">
        <w:rPr>
          <w:rFonts w:ascii="Times New Roman" w:hAnsi="Times New Roman"/>
          <w:noProof/>
        </w:rPr>
        <w:t>Prostriedky spravované v rámci fondov spolupráce nie sú vlastnými zdrojmi EBOR a je ich možné využívať aj v krajinách, ktoré zatiaľ nemajú štatút prijímajúce</w:t>
      </w:r>
      <w:r w:rsidR="00867246">
        <w:rPr>
          <w:rFonts w:ascii="Times New Roman" w:hAnsi="Times New Roman"/>
          <w:noProof/>
        </w:rPr>
        <w:t>j</w:t>
      </w:r>
      <w:r w:rsidRPr="00C13764">
        <w:rPr>
          <w:rFonts w:ascii="Times New Roman" w:hAnsi="Times New Roman"/>
          <w:noProof/>
        </w:rPr>
        <w:t xml:space="preserve"> krajiny.</w:t>
      </w:r>
      <w:r>
        <w:rPr>
          <w:rStyle w:val="FootnoteReference"/>
          <w:rFonts w:ascii="Times New Roman" w:hAnsi="Times New Roman"/>
          <w:noProof/>
          <w:shd w:val="clear" w:color="auto" w:fill="auto"/>
          <w:rtl w:val="0"/>
        </w:rPr>
        <w:footnoteReference w:id="6"/>
      </w:r>
    </w:p>
    <w:p w:rsidR="00CA43BA" w:rsidRPr="00C13764" w:rsidP="000024D0">
      <w:pPr>
        <w:pStyle w:val="NoSpacing"/>
        <w:bidi w:val="0"/>
        <w:rPr>
          <w:rFonts w:ascii="Times New Roman" w:hAnsi="Times New Roman"/>
          <w:noProof/>
        </w:rPr>
      </w:pPr>
    </w:p>
    <w:p w:rsidR="008D3F68" w:rsidRPr="00C13764" w:rsidP="000024D0">
      <w:pPr>
        <w:pStyle w:val="NoSpacing"/>
        <w:bidi w:val="0"/>
        <w:rPr>
          <w:rFonts w:ascii="Times New Roman" w:hAnsi="Times New Roman"/>
          <w:noProof/>
        </w:rPr>
      </w:pPr>
      <w:r w:rsidRPr="00C13764">
        <w:rPr>
          <w:rFonts w:ascii="Times New Roman" w:hAnsi="Times New Roman"/>
          <w:noProof/>
        </w:rPr>
        <w:t>EÚ prisľúbila cca 20 mil. EUR v rámci Investičného nástroja európskej susedskej politiky (angl. Neighbourhood Investment Facility – NIF), ktorý bol založ</w:t>
      </w:r>
      <w:r w:rsidR="00867246">
        <w:rPr>
          <w:rFonts w:ascii="Times New Roman" w:hAnsi="Times New Roman"/>
          <w:noProof/>
        </w:rPr>
        <w:t>ený za účelom zlepšenia vzťahov s</w:t>
      </w:r>
      <w:r w:rsidRPr="00C13764">
        <w:rPr>
          <w:rFonts w:ascii="Times New Roman" w:hAnsi="Times New Roman"/>
          <w:noProof/>
        </w:rPr>
        <w:t> krajinami v severnej Afrike, na Blízkom východe</w:t>
      </w:r>
      <w:r w:rsidR="00867246">
        <w:rPr>
          <w:rFonts w:ascii="Times New Roman" w:hAnsi="Times New Roman"/>
          <w:noProof/>
        </w:rPr>
        <w:t xml:space="preserve"> a s</w:t>
      </w:r>
      <w:r w:rsidRPr="00C13764" w:rsidR="002D121E">
        <w:rPr>
          <w:rFonts w:ascii="Times New Roman" w:hAnsi="Times New Roman"/>
          <w:noProof/>
        </w:rPr>
        <w:t>o štátmi bývalého Sovietského zväzu (Arménsko, Azerbajdžan, Bielorusko, Gruzínsko, Moldavsko a Ukrajina) a za účelom zvýšenia objemu investícií EÚ v týchto krajinách.</w:t>
      </w:r>
    </w:p>
    <w:p w:rsidR="002D121E" w:rsidRPr="00C13764" w:rsidP="000024D0">
      <w:pPr>
        <w:pStyle w:val="NoSpacing"/>
        <w:bidi w:val="0"/>
        <w:rPr>
          <w:rFonts w:ascii="Times New Roman" w:hAnsi="Times New Roman"/>
          <w:noProof/>
        </w:rPr>
      </w:pPr>
    </w:p>
    <w:p w:rsidR="002D121E" w:rsidRPr="00C13764" w:rsidP="000024D0">
      <w:pPr>
        <w:pStyle w:val="NoSpacing"/>
        <w:bidi w:val="0"/>
        <w:rPr>
          <w:rFonts w:ascii="Times New Roman" w:hAnsi="Times New Roman"/>
          <w:noProof/>
        </w:rPr>
      </w:pPr>
      <w:r w:rsidRPr="00C13764">
        <w:rPr>
          <w:rFonts w:ascii="Times New Roman" w:hAnsi="Times New Roman"/>
          <w:noProof/>
        </w:rPr>
        <w:t>Okrem týchto príspevkov navrhuje manažment EBOR poskytnúť v súlade s článkom 36 (1) Dohody o založení EBOR cca 20 mil. EUR z nerozdeleného zisku banky. Tieto prostriedky budú realokované prostredníctvom tretej strany (Európska investičná banka alebo Medzinárodná banka pre obnovu a</w:t>
      </w:r>
      <w:r w:rsidR="00903579">
        <w:rPr>
          <w:rFonts w:ascii="Times New Roman" w:hAnsi="Times New Roman"/>
          <w:noProof/>
        </w:rPr>
        <w:t> </w:t>
      </w:r>
      <w:r w:rsidRPr="00C13764">
        <w:rPr>
          <w:rFonts w:ascii="Times New Roman" w:hAnsi="Times New Roman"/>
          <w:noProof/>
        </w:rPr>
        <w:t>rozvoj) v prospech fondov spolupráce.</w:t>
      </w:r>
    </w:p>
    <w:p w:rsidR="002D121E" w:rsidRPr="00C13764" w:rsidP="000024D0">
      <w:pPr>
        <w:pStyle w:val="NoSpacing"/>
        <w:bidi w:val="0"/>
        <w:rPr>
          <w:rFonts w:ascii="Times New Roman" w:hAnsi="Times New Roman"/>
          <w:noProof/>
        </w:rPr>
      </w:pPr>
    </w:p>
    <w:p w:rsidR="002D121E" w:rsidRPr="00C13764" w:rsidP="000024D0">
      <w:pPr>
        <w:pStyle w:val="NoSpacing"/>
        <w:bidi w:val="0"/>
        <w:rPr>
          <w:rFonts w:ascii="Times New Roman" w:hAnsi="Times New Roman"/>
          <w:noProof/>
        </w:rPr>
      </w:pPr>
      <w:r w:rsidRPr="00C13764">
        <w:rPr>
          <w:rFonts w:ascii="Times New Roman" w:hAnsi="Times New Roman"/>
          <w:noProof/>
        </w:rPr>
        <w:t>Celkovo by malo byť pred zahajením druhej fázy rozšírenia k dispozícii cca 60</w:t>
      </w:r>
      <w:r w:rsidR="00903579">
        <w:rPr>
          <w:rFonts w:ascii="Times New Roman" w:hAnsi="Times New Roman"/>
          <w:noProof/>
        </w:rPr>
        <w:t xml:space="preserve"> - 100</w:t>
      </w:r>
      <w:r w:rsidRPr="00C13764">
        <w:rPr>
          <w:rFonts w:ascii="Times New Roman" w:hAnsi="Times New Roman"/>
          <w:noProof/>
        </w:rPr>
        <w:t xml:space="preserve"> mil. EUR na financovanie aktivít EBOR v regióne južného a východného Stredozemia.</w:t>
      </w:r>
    </w:p>
    <w:p w:rsidR="008D3F68" w:rsidP="000024D0">
      <w:pPr>
        <w:pStyle w:val="NoSpacing"/>
        <w:bidi w:val="0"/>
        <w:rPr>
          <w:rFonts w:ascii="Times New Roman" w:hAnsi="Times New Roman"/>
          <w:noProof/>
        </w:rPr>
      </w:pPr>
    </w:p>
    <w:p w:rsidR="00867246" w:rsidRPr="00C13764" w:rsidP="000024D0">
      <w:pPr>
        <w:pStyle w:val="NoSpacing"/>
        <w:bidi w:val="0"/>
        <w:rPr>
          <w:rFonts w:ascii="Times New Roman" w:hAnsi="Times New Roman"/>
          <w:noProof/>
        </w:rPr>
      </w:pPr>
    </w:p>
    <w:p w:rsidR="008462CE" w:rsidRPr="00C13764" w:rsidP="0075354B">
      <w:pPr>
        <w:pStyle w:val="NoSpacing"/>
        <w:numPr>
          <w:numId w:val="7"/>
        </w:numPr>
        <w:bidi w:val="0"/>
        <w:ind w:left="567" w:hanging="567"/>
        <w:rPr>
          <w:rFonts w:ascii="Times New Roman" w:hAnsi="Times New Roman"/>
          <w:noProof/>
        </w:rPr>
      </w:pPr>
      <w:r w:rsidRPr="00C13764">
        <w:rPr>
          <w:rFonts w:ascii="Times New Roman" w:hAnsi="Times New Roman"/>
          <w:noProof/>
        </w:rPr>
        <w:t xml:space="preserve">Počas </w:t>
      </w:r>
      <w:r w:rsidRPr="00C13764">
        <w:rPr>
          <w:rFonts w:ascii="Times New Roman" w:hAnsi="Times New Roman"/>
          <w:b/>
          <w:noProof/>
        </w:rPr>
        <w:t xml:space="preserve">druhej fázy </w:t>
      </w:r>
      <w:r w:rsidRPr="00C13764">
        <w:rPr>
          <w:rFonts w:ascii="Times New Roman" w:hAnsi="Times New Roman"/>
          <w:noProof/>
        </w:rPr>
        <w:t>EBOR pridelí vlastné zdroje do špeciálnych fondov, ktorými sa môže zabezpečiť celá škála investičných operácií EBOR v oblasti južného a východného Stredozemia. Táto f</w:t>
      </w:r>
      <w:r w:rsidRPr="00C13764" w:rsidR="000024D0">
        <w:rPr>
          <w:rFonts w:ascii="Times New Roman" w:hAnsi="Times New Roman"/>
          <w:noProof/>
        </w:rPr>
        <w:t xml:space="preserve">áza sa začne po schválení zmeny </w:t>
      </w:r>
      <w:r w:rsidRPr="00C13764">
        <w:rPr>
          <w:rFonts w:ascii="Times New Roman" w:hAnsi="Times New Roman"/>
          <w:noProof/>
        </w:rPr>
        <w:t xml:space="preserve">článku 18 </w:t>
      </w:r>
      <w:r w:rsidRPr="00C13764" w:rsidR="0075354B">
        <w:rPr>
          <w:rFonts w:ascii="Times New Roman" w:hAnsi="Times New Roman"/>
          <w:noProof/>
        </w:rPr>
        <w:t>D</w:t>
      </w:r>
      <w:r w:rsidRPr="00C13764" w:rsidR="009213A5">
        <w:rPr>
          <w:rFonts w:ascii="Times New Roman" w:hAnsi="Times New Roman"/>
          <w:noProof/>
        </w:rPr>
        <w:t>ZB</w:t>
      </w:r>
      <w:r w:rsidRPr="00C13764">
        <w:rPr>
          <w:rFonts w:ascii="Times New Roman" w:hAnsi="Times New Roman"/>
          <w:noProof/>
        </w:rPr>
        <w:t xml:space="preserve"> dostatočným počtom členov</w:t>
      </w:r>
      <w:r w:rsidRPr="00C13764" w:rsidR="0075354B">
        <w:rPr>
          <w:rFonts w:ascii="Times New Roman" w:hAnsi="Times New Roman"/>
          <w:noProof/>
        </w:rPr>
        <w:t xml:space="preserve"> EBOR v súlade s jej článkom 56</w:t>
      </w:r>
      <w:r>
        <w:rPr>
          <w:rStyle w:val="FootnoteReference"/>
          <w:rFonts w:ascii="Times New Roman" w:hAnsi="Times New Roman"/>
          <w:noProof/>
          <w:shd w:val="clear" w:color="auto" w:fill="auto"/>
          <w:rtl w:val="0"/>
        </w:rPr>
        <w:footnoteReference w:id="7"/>
      </w:r>
      <w:r w:rsidRPr="00C13764" w:rsidR="0075354B">
        <w:rPr>
          <w:rFonts w:ascii="Times New Roman" w:hAnsi="Times New Roman"/>
          <w:noProof/>
        </w:rPr>
        <w:t>.</w:t>
      </w:r>
    </w:p>
    <w:p w:rsidR="002D121E" w:rsidRPr="00C13764" w:rsidP="002D121E">
      <w:pPr>
        <w:pStyle w:val="NoSpacing"/>
        <w:bidi w:val="0"/>
        <w:rPr>
          <w:rFonts w:ascii="Times New Roman" w:hAnsi="Times New Roman"/>
          <w:noProof/>
        </w:rPr>
      </w:pPr>
    </w:p>
    <w:p w:rsidR="002D121E" w:rsidRPr="00C13764" w:rsidP="002D121E">
      <w:pPr>
        <w:pStyle w:val="NoSpacing"/>
        <w:bidi w:val="0"/>
        <w:rPr>
          <w:rFonts w:ascii="Times New Roman" w:hAnsi="Times New Roman"/>
          <w:noProof/>
        </w:rPr>
      </w:pPr>
      <w:r w:rsidRPr="00C13764" w:rsidR="00703154">
        <w:rPr>
          <w:rFonts w:ascii="Times New Roman" w:hAnsi="Times New Roman"/>
          <w:noProof/>
        </w:rPr>
        <w:t>Súčasné znenie časti tohto článku je nasledovné:</w:t>
      </w:r>
    </w:p>
    <w:p w:rsidR="00703154" w:rsidRPr="00C13764" w:rsidP="00703154">
      <w:pPr>
        <w:autoSpaceDE w:val="0"/>
        <w:autoSpaceDN w:val="0"/>
        <w:bidi w:val="0"/>
        <w:adjustRightInd w:val="0"/>
        <w:spacing w:before="0" w:after="0"/>
        <w:rPr>
          <w:rFonts w:ascii="Times New Roman" w:hAnsi="Times New Roman"/>
          <w:i/>
          <w:noProof/>
        </w:rPr>
      </w:pPr>
      <w:r w:rsidRPr="00C13764">
        <w:rPr>
          <w:rFonts w:ascii="Times New Roman" w:hAnsi="Times New Roman"/>
          <w:i/>
          <w:noProof/>
        </w:rPr>
        <w:t>Špeciálne fondy, ktoré banka prijala, sa môžu využívať akýmkoľvek spôsobom a za akýchkoľvek podmienok, ktoré sú zlučiteľné s účelom a úlohami banky, s ostatnými príslušnými ustanoveniami tejto dohody a s dohodou alebo dohodami, ktoré sa vzťahujú na tieto fondy.</w:t>
      </w:r>
    </w:p>
    <w:p w:rsidR="00703154" w:rsidRPr="00C13764" w:rsidP="00703154">
      <w:pPr>
        <w:autoSpaceDE w:val="0"/>
        <w:autoSpaceDN w:val="0"/>
        <w:bidi w:val="0"/>
        <w:adjustRightInd w:val="0"/>
        <w:spacing w:before="0" w:after="0"/>
        <w:rPr>
          <w:rFonts w:ascii="Times New Roman" w:hAnsi="Times New Roman"/>
          <w:i/>
          <w:noProof/>
        </w:rPr>
      </w:pPr>
    </w:p>
    <w:p w:rsidR="00703154" w:rsidRPr="00C13764" w:rsidP="00703154">
      <w:pPr>
        <w:autoSpaceDE w:val="0"/>
        <w:autoSpaceDN w:val="0"/>
        <w:bidi w:val="0"/>
        <w:adjustRightInd w:val="0"/>
        <w:spacing w:before="0" w:after="0"/>
        <w:rPr>
          <w:rFonts w:ascii="Times New Roman" w:hAnsi="Times New Roman"/>
          <w:noProof/>
        </w:rPr>
      </w:pPr>
      <w:r w:rsidRPr="00C13764">
        <w:rPr>
          <w:rFonts w:ascii="Times New Roman" w:hAnsi="Times New Roman"/>
          <w:noProof/>
        </w:rPr>
        <w:t>Táto definícia pre špeciálne fondy by umožnila využívať prostriedky aj v krajinách, ktoré nie sú prijímajúcimi kraji</w:t>
      </w:r>
      <w:r w:rsidR="00867246">
        <w:rPr>
          <w:rFonts w:ascii="Times New Roman" w:hAnsi="Times New Roman"/>
          <w:noProof/>
        </w:rPr>
        <w:t>nami EBOR. Manažment EBOR navrhol</w:t>
      </w:r>
      <w:r w:rsidRPr="00C13764">
        <w:rPr>
          <w:rFonts w:ascii="Times New Roman" w:hAnsi="Times New Roman"/>
          <w:noProof/>
        </w:rPr>
        <w:t xml:space="preserve"> dodatočnú úpravu článku 18 DZB, ktorá by umožnila využívať prostriedky z týchto fondov jednak vo svojich prijímateľských krajinách, tak aj v potencionálnych prijímajúcich krajinách EBOR, t. j. pred získaním štatútu prijímajúcej krajiny, ktorý môže byť krajinám z regiónu južného a východného Stredozemia udelený až po ratifikácii zmeny </w:t>
      </w:r>
      <w:r w:rsidR="00867246">
        <w:rPr>
          <w:rFonts w:ascii="Times New Roman" w:hAnsi="Times New Roman"/>
          <w:noProof/>
        </w:rPr>
        <w:t xml:space="preserve">článku 1 </w:t>
      </w:r>
      <w:r w:rsidRPr="00C13764">
        <w:rPr>
          <w:rFonts w:ascii="Times New Roman" w:hAnsi="Times New Roman"/>
          <w:noProof/>
        </w:rPr>
        <w:t>Dohody o založení EBOR všetkými akcionármi a taktiež pri každej krajine rozhodnutie podlieha Rade guvernérov EBOR.</w:t>
      </w:r>
    </w:p>
    <w:p w:rsidR="00703154" w:rsidP="00703154">
      <w:pPr>
        <w:autoSpaceDE w:val="0"/>
        <w:autoSpaceDN w:val="0"/>
        <w:bidi w:val="0"/>
        <w:adjustRightInd w:val="0"/>
        <w:spacing w:before="0" w:after="0"/>
        <w:rPr>
          <w:rFonts w:ascii="Times New Roman" w:hAnsi="Times New Roman"/>
          <w:noProof/>
        </w:rPr>
      </w:pPr>
      <w:r w:rsidRPr="00C13764">
        <w:rPr>
          <w:rFonts w:ascii="Times New Roman" w:hAnsi="Times New Roman"/>
          <w:noProof/>
        </w:rPr>
        <w:t>Do špeciálnych fondov by EBOR prispela aj z vlastných zdrojov a to prostredníctvom alokácie z čistého zisku vo výške 1 mld. EUR</w:t>
      </w:r>
      <w:r w:rsidRPr="00C13764" w:rsidR="002F48D0">
        <w:rPr>
          <w:rFonts w:ascii="Times New Roman" w:hAnsi="Times New Roman"/>
          <w:noProof/>
        </w:rPr>
        <w:t>.</w:t>
      </w:r>
    </w:p>
    <w:p w:rsidR="00903579" w:rsidP="00703154">
      <w:pPr>
        <w:autoSpaceDE w:val="0"/>
        <w:autoSpaceDN w:val="0"/>
        <w:bidi w:val="0"/>
        <w:adjustRightInd w:val="0"/>
        <w:spacing w:before="0" w:after="0"/>
        <w:rPr>
          <w:rFonts w:ascii="Times New Roman" w:hAnsi="Times New Roman"/>
          <w:noProof/>
        </w:rPr>
      </w:pPr>
    </w:p>
    <w:p w:rsidR="008462CE" w:rsidRPr="00C13764" w:rsidP="0075354B">
      <w:pPr>
        <w:pStyle w:val="NoSpacing"/>
        <w:numPr>
          <w:numId w:val="7"/>
        </w:numPr>
        <w:bidi w:val="0"/>
        <w:ind w:left="567" w:hanging="567"/>
        <w:rPr>
          <w:rFonts w:ascii="Times New Roman" w:hAnsi="Times New Roman"/>
          <w:noProof/>
        </w:rPr>
      </w:pPr>
      <w:r w:rsidRPr="00C13764">
        <w:rPr>
          <w:rFonts w:ascii="Times New Roman" w:hAnsi="Times New Roman"/>
          <w:noProof/>
        </w:rPr>
        <w:t xml:space="preserve">Počas </w:t>
      </w:r>
      <w:r w:rsidRPr="00C13764">
        <w:rPr>
          <w:rFonts w:ascii="Times New Roman" w:hAnsi="Times New Roman"/>
          <w:b/>
          <w:noProof/>
        </w:rPr>
        <w:t>záverečnej</w:t>
      </w:r>
      <w:r w:rsidRPr="00C13764" w:rsidR="002F48D0">
        <w:rPr>
          <w:rFonts w:ascii="Times New Roman" w:hAnsi="Times New Roman"/>
          <w:b/>
          <w:noProof/>
        </w:rPr>
        <w:t xml:space="preserve"> – tretej - </w:t>
      </w:r>
      <w:r w:rsidRPr="00C13764">
        <w:rPr>
          <w:rFonts w:ascii="Times New Roman" w:hAnsi="Times New Roman"/>
          <w:b/>
          <w:noProof/>
        </w:rPr>
        <w:t>fázy</w:t>
      </w:r>
      <w:r w:rsidRPr="00C13764">
        <w:rPr>
          <w:rFonts w:ascii="Times New Roman" w:hAnsi="Times New Roman"/>
          <w:noProof/>
        </w:rPr>
        <w:t xml:space="preserve"> sa krajiny južného a východného Stredozemia stanú plnoprávnymi krajinami pôsobenia. Táto fáza začne plynúť po schválení zm</w:t>
      </w:r>
      <w:r w:rsidRPr="00C13764" w:rsidR="000024D0">
        <w:rPr>
          <w:rFonts w:ascii="Times New Roman" w:hAnsi="Times New Roman"/>
          <w:noProof/>
        </w:rPr>
        <w:t>eny</w:t>
      </w:r>
      <w:r w:rsidRPr="00C13764">
        <w:rPr>
          <w:rFonts w:ascii="Times New Roman" w:hAnsi="Times New Roman"/>
          <w:noProof/>
        </w:rPr>
        <w:t xml:space="preserve"> článku 1 </w:t>
      </w:r>
      <w:r w:rsidRPr="00C13764" w:rsidR="0075354B">
        <w:rPr>
          <w:rFonts w:ascii="Times New Roman" w:hAnsi="Times New Roman"/>
          <w:noProof/>
        </w:rPr>
        <w:t>D</w:t>
      </w:r>
      <w:r w:rsidRPr="00C13764" w:rsidR="009213A5">
        <w:rPr>
          <w:rFonts w:ascii="Times New Roman" w:hAnsi="Times New Roman"/>
          <w:noProof/>
        </w:rPr>
        <w:t>ZB</w:t>
      </w:r>
      <w:r w:rsidRPr="00C13764">
        <w:rPr>
          <w:rFonts w:ascii="Times New Roman" w:hAnsi="Times New Roman"/>
          <w:noProof/>
        </w:rPr>
        <w:t xml:space="preserve"> členmi </w:t>
      </w:r>
      <w:r w:rsidRPr="00C13764" w:rsidR="0075354B">
        <w:rPr>
          <w:rFonts w:ascii="Times New Roman" w:hAnsi="Times New Roman"/>
          <w:noProof/>
        </w:rPr>
        <w:t>banky</w:t>
      </w:r>
      <w:r w:rsidRPr="00C13764">
        <w:rPr>
          <w:rFonts w:ascii="Times New Roman" w:hAnsi="Times New Roman"/>
          <w:noProof/>
        </w:rPr>
        <w:t xml:space="preserve"> v súlade s</w:t>
      </w:r>
      <w:r w:rsidRPr="00C13764" w:rsidR="0075354B">
        <w:rPr>
          <w:rFonts w:ascii="Times New Roman" w:hAnsi="Times New Roman"/>
          <w:noProof/>
        </w:rPr>
        <w:t xml:space="preserve"> jej</w:t>
      </w:r>
      <w:r w:rsidRPr="00C13764">
        <w:rPr>
          <w:rFonts w:ascii="Times New Roman" w:hAnsi="Times New Roman"/>
          <w:noProof/>
        </w:rPr>
        <w:t> článkom 56</w:t>
      </w:r>
      <w:r w:rsidRPr="00C13764" w:rsidR="0075354B">
        <w:rPr>
          <w:rFonts w:ascii="Times New Roman" w:hAnsi="Times New Roman"/>
          <w:noProof/>
        </w:rPr>
        <w:t>.</w:t>
      </w:r>
    </w:p>
    <w:p w:rsidR="0075354B" w:rsidRPr="00C13764" w:rsidP="002F48D0">
      <w:pPr>
        <w:pStyle w:val="NoSpacing"/>
        <w:bidi w:val="0"/>
        <w:rPr>
          <w:rFonts w:ascii="Times New Roman" w:hAnsi="Times New Roman"/>
          <w:noProof/>
        </w:rPr>
      </w:pPr>
    </w:p>
    <w:p w:rsidR="002F48D0" w:rsidRPr="00C13764" w:rsidP="002F48D0">
      <w:pPr>
        <w:pStyle w:val="NoSpacing"/>
        <w:bidi w:val="0"/>
        <w:rPr>
          <w:rFonts w:ascii="Times New Roman" w:hAnsi="Times New Roman"/>
          <w:noProof/>
        </w:rPr>
      </w:pPr>
      <w:r w:rsidRPr="00C13764">
        <w:rPr>
          <w:rFonts w:ascii="Times New Roman" w:hAnsi="Times New Roman"/>
          <w:noProof/>
        </w:rPr>
        <w:t>V tejto fáze bude už zahajená samostatná bežná investičná činnosť EBOR s využívaním vlastných zdrojov banky. Pri každej poteciálnej prijímajúcej krajine sa bude taktieť samostatne hlasovať (Rada guvernérov EBOR), či daná krajina spĺňa všetky požiadavky EBOR pre získanie štatútu prijímajúcej krajiny (prechod do tretej fázy).</w:t>
      </w:r>
    </w:p>
    <w:p w:rsidR="002F48D0" w:rsidRPr="00C13764" w:rsidP="002F48D0">
      <w:pPr>
        <w:pStyle w:val="NoSpacing"/>
        <w:bidi w:val="0"/>
        <w:rPr>
          <w:rFonts w:ascii="Times New Roman" w:hAnsi="Times New Roman"/>
          <w:noProof/>
        </w:rPr>
      </w:pPr>
    </w:p>
    <w:p w:rsidR="002F48D0" w:rsidRPr="00C13764" w:rsidP="002F48D0">
      <w:pPr>
        <w:pStyle w:val="NoSpacing"/>
        <w:bidi w:val="0"/>
        <w:rPr>
          <w:rFonts w:ascii="Times New Roman" w:hAnsi="Times New Roman"/>
          <w:noProof/>
        </w:rPr>
      </w:pPr>
    </w:p>
    <w:p w:rsidR="002F48D0" w:rsidRPr="00C13764" w:rsidP="002F48D0">
      <w:pPr>
        <w:pStyle w:val="NoSpacing"/>
        <w:numPr>
          <w:numId w:val="4"/>
        </w:numPr>
        <w:bidi w:val="0"/>
        <w:ind w:hanging="720"/>
        <w:rPr>
          <w:rFonts w:ascii="Times New Roman" w:hAnsi="Times New Roman"/>
          <w:b/>
          <w:noProof/>
        </w:rPr>
      </w:pPr>
      <w:r w:rsidRPr="00C13764">
        <w:rPr>
          <w:rFonts w:ascii="Times New Roman" w:hAnsi="Times New Roman"/>
          <w:b/>
          <w:noProof/>
        </w:rPr>
        <w:t>Výsledky konzultácií so zainteresovanými stranami a posúdenie vplyvu rozšírenia mandátu EBOR</w:t>
      </w:r>
    </w:p>
    <w:p w:rsidR="002F48D0" w:rsidRPr="00C13764" w:rsidP="002F48D0">
      <w:pPr>
        <w:pStyle w:val="NoSpacing"/>
        <w:bidi w:val="0"/>
        <w:ind w:left="720"/>
        <w:rPr>
          <w:rFonts w:ascii="Times New Roman" w:hAnsi="Times New Roman"/>
          <w:b/>
          <w:noProof/>
        </w:rPr>
      </w:pPr>
    </w:p>
    <w:p w:rsidR="002F48D0" w:rsidRPr="00C13764" w:rsidP="002F48D0">
      <w:pPr>
        <w:pStyle w:val="NoSpacing"/>
        <w:bidi w:val="0"/>
        <w:rPr>
          <w:rFonts w:ascii="Times New Roman" w:hAnsi="Times New Roman"/>
          <w:noProof/>
        </w:rPr>
      </w:pPr>
      <w:r w:rsidRPr="00C13764">
        <w:rPr>
          <w:rFonts w:ascii="Times New Roman" w:hAnsi="Times New Roman"/>
          <w:noProof/>
        </w:rPr>
        <w:t xml:space="preserve">Predtým ako sa EBOR zapojí do činností v akýchkoľvek potenciálnych nových krajinách pôsobenia, vykoná podrobné technické posúdenie hospodárskych a politických podmienok v krajine vrátane posúdenia záväzku tejto krajiny dodržiavať zásady článku 1 DZB týkajúce sa demokracie viacerých strán, pluralizmu a trhového hospodárstva, posúdenie medzier prechodu, aké činnosti v krajine vykonávajú iné medzinárodné finančné inštitúcie, a prioritných oblastí, v ktorých môže EBOR najlepšie využiť svoje jedinečné znalosti a zručnosti. </w:t>
      </w:r>
    </w:p>
    <w:p w:rsidR="002F48D0" w:rsidRPr="00C13764" w:rsidP="002F48D0">
      <w:pPr>
        <w:pStyle w:val="NoSpacing"/>
        <w:bidi w:val="0"/>
        <w:rPr>
          <w:rFonts w:ascii="Times New Roman" w:hAnsi="Times New Roman"/>
          <w:noProof/>
        </w:rPr>
      </w:pPr>
    </w:p>
    <w:p w:rsidR="002F48D0" w:rsidRPr="00C13764" w:rsidP="002F48D0">
      <w:pPr>
        <w:pStyle w:val="NoSpacing"/>
        <w:bidi w:val="0"/>
        <w:rPr>
          <w:rFonts w:ascii="Times New Roman" w:hAnsi="Times New Roman"/>
          <w:noProof/>
        </w:rPr>
      </w:pPr>
      <w:r w:rsidRPr="00C13764">
        <w:rPr>
          <w:rFonts w:ascii="Times New Roman" w:hAnsi="Times New Roman"/>
          <w:noProof/>
        </w:rPr>
        <w:t xml:space="preserve">EBOR vykonala posúdenia pre Egypt, Tunisko, Maroko a Jordánsko. Tieto posúdenia sa budú v každej fáze zapojenia EBOR aktualizovať a požiadavky budú postupne náročnejšie. Okrem toho sa EBOR zaviazala, že bude dôsledne sledovať hospodársky a politický vývoj v každej krajine, aby sa nastavilo zapojenie EBOR v súlade so smerovaním a tempom vývoja a zároveň aby sa zabezpečilo, že sa stanoviská EÚ a širšieho medzinárodného spoločenstva úplne zohľadnia. </w:t>
      </w:r>
    </w:p>
    <w:p w:rsidR="00703154" w:rsidRPr="00C13764" w:rsidP="0075354B">
      <w:pPr>
        <w:pStyle w:val="NoSpacing"/>
        <w:bidi w:val="0"/>
        <w:ind w:left="567"/>
        <w:rPr>
          <w:rFonts w:ascii="Times New Roman" w:hAnsi="Times New Roman"/>
          <w:noProof/>
        </w:rPr>
      </w:pPr>
    </w:p>
    <w:p w:rsidR="00703154" w:rsidRPr="00C13764" w:rsidP="00703154">
      <w:pPr>
        <w:pStyle w:val="NoSpacing"/>
        <w:bidi w:val="0"/>
        <w:rPr>
          <w:rFonts w:ascii="Times New Roman" w:hAnsi="Times New Roman"/>
          <w:noProof/>
        </w:rPr>
      </w:pPr>
      <w:r w:rsidRPr="00C13764" w:rsidR="002F48D0">
        <w:rPr>
          <w:rFonts w:ascii="Times New Roman" w:hAnsi="Times New Roman"/>
          <w:noProof/>
        </w:rPr>
        <w:t>EBOR vo svojom p</w:t>
      </w:r>
      <w:r w:rsidRPr="00C13764">
        <w:rPr>
          <w:rFonts w:ascii="Times New Roman" w:hAnsi="Times New Roman"/>
          <w:noProof/>
        </w:rPr>
        <w:t>osúdení dospel</w:t>
      </w:r>
      <w:r w:rsidRPr="00C13764" w:rsidR="002F48D0">
        <w:rPr>
          <w:rFonts w:ascii="Times New Roman" w:hAnsi="Times New Roman"/>
          <w:noProof/>
        </w:rPr>
        <w:t>a</w:t>
      </w:r>
      <w:r w:rsidRPr="00C13764">
        <w:rPr>
          <w:rFonts w:ascii="Times New Roman" w:hAnsi="Times New Roman"/>
          <w:noProof/>
        </w:rPr>
        <w:t xml:space="preserve"> k záveru, že na základe súčasnej úrovne finančného rizika a hospodárskeho kapitálu bude </w:t>
      </w:r>
      <w:r w:rsidRPr="00C13764" w:rsidR="002F48D0">
        <w:rPr>
          <w:rFonts w:ascii="Times New Roman" w:hAnsi="Times New Roman"/>
          <w:noProof/>
        </w:rPr>
        <w:t xml:space="preserve">banka </w:t>
      </w:r>
      <w:r w:rsidRPr="00C13764">
        <w:rPr>
          <w:rFonts w:ascii="Times New Roman" w:hAnsi="Times New Roman"/>
          <w:noProof/>
        </w:rPr>
        <w:t xml:space="preserve">schopná udržať sa v medziach svojich štatutárnych a ekonomických kapitálových požiadaviek počas obdobia preskúmania kapitálových zdrojov 2011 – 2015 (angl. Capital Resources Review4 – CRR4) bez akéhokoľvek ďalšieho navýšenia kapitálu. Okrem toho EBOR potvrdila, že rozšírenie nebude mať vplyv na činnosti a objemy zdrojov, ktoré sa vykonávajú v krajinách, v ktorých pôsobí v súčasnosti. </w:t>
      </w:r>
    </w:p>
    <w:p w:rsidR="00703154" w:rsidRPr="00C13764" w:rsidP="0075354B">
      <w:pPr>
        <w:pStyle w:val="NoSpacing"/>
        <w:bidi w:val="0"/>
        <w:ind w:left="567"/>
        <w:rPr>
          <w:rFonts w:ascii="Times New Roman" w:hAnsi="Times New Roman"/>
          <w:noProof/>
        </w:rPr>
      </w:pPr>
    </w:p>
    <w:p w:rsidR="002F48D0" w:rsidRPr="00C13764" w:rsidP="0075354B">
      <w:pPr>
        <w:pStyle w:val="NoSpacing"/>
        <w:bidi w:val="0"/>
        <w:ind w:left="567"/>
        <w:rPr>
          <w:rFonts w:ascii="Times New Roman" w:hAnsi="Times New Roman"/>
          <w:noProof/>
        </w:rPr>
      </w:pPr>
    </w:p>
    <w:p w:rsidR="002F48D0" w:rsidRPr="00C13764" w:rsidP="000B3802">
      <w:pPr>
        <w:pStyle w:val="NoSpacing"/>
        <w:numPr>
          <w:numId w:val="4"/>
        </w:numPr>
        <w:bidi w:val="0"/>
        <w:ind w:hanging="720"/>
        <w:rPr>
          <w:rFonts w:ascii="Times New Roman" w:hAnsi="Times New Roman"/>
          <w:b/>
          <w:noProof/>
        </w:rPr>
      </w:pPr>
      <w:r w:rsidRPr="00C13764" w:rsidR="000B3802">
        <w:rPr>
          <w:rFonts w:ascii="Times New Roman" w:hAnsi="Times New Roman"/>
          <w:b/>
          <w:noProof/>
        </w:rPr>
        <w:t>Zmeny Dohody o založení EBOR</w:t>
      </w:r>
    </w:p>
    <w:p w:rsidR="002F48D0" w:rsidRPr="00C13764" w:rsidP="0075354B">
      <w:pPr>
        <w:pStyle w:val="NoSpacing"/>
        <w:bidi w:val="0"/>
        <w:ind w:left="567"/>
        <w:rPr>
          <w:rFonts w:ascii="Times New Roman" w:hAnsi="Times New Roman"/>
          <w:noProof/>
        </w:rPr>
      </w:pPr>
    </w:p>
    <w:p w:rsidR="00F003BE" w:rsidP="0075354B">
      <w:pPr>
        <w:pStyle w:val="NoSpacing"/>
        <w:bidi w:val="0"/>
        <w:rPr>
          <w:rFonts w:ascii="Times New Roman" w:hAnsi="Times New Roman"/>
          <w:noProof/>
        </w:rPr>
      </w:pPr>
      <w:r w:rsidRPr="00C13764" w:rsidR="008462CE">
        <w:rPr>
          <w:rFonts w:ascii="Times New Roman" w:hAnsi="Times New Roman"/>
          <w:b/>
          <w:noProof/>
        </w:rPr>
        <w:t xml:space="preserve">V článku 1 </w:t>
      </w:r>
      <w:r w:rsidRPr="00C13764" w:rsidR="0075354B">
        <w:rPr>
          <w:rFonts w:ascii="Times New Roman" w:hAnsi="Times New Roman"/>
          <w:b/>
          <w:noProof/>
        </w:rPr>
        <w:t>D</w:t>
      </w:r>
      <w:r w:rsidRPr="00C13764" w:rsidR="009213A5">
        <w:rPr>
          <w:rFonts w:ascii="Times New Roman" w:hAnsi="Times New Roman"/>
          <w:b/>
          <w:noProof/>
        </w:rPr>
        <w:t>ZB</w:t>
      </w:r>
      <w:r w:rsidRPr="00C13764" w:rsidR="008462CE">
        <w:rPr>
          <w:rFonts w:ascii="Times New Roman" w:hAnsi="Times New Roman"/>
          <w:noProof/>
        </w:rPr>
        <w:t xml:space="preserve"> </w:t>
      </w:r>
      <w:r w:rsidRPr="00C13764" w:rsidR="009213A5">
        <w:rPr>
          <w:rFonts w:ascii="Times New Roman" w:hAnsi="Times New Roman"/>
          <w:noProof/>
        </w:rPr>
        <w:t>je v súčasnosti vymedzený</w:t>
      </w:r>
      <w:r w:rsidRPr="00C13764" w:rsidR="008462CE">
        <w:rPr>
          <w:rFonts w:ascii="Times New Roman" w:hAnsi="Times New Roman"/>
          <w:noProof/>
        </w:rPr>
        <w:t xml:space="preserve"> región, v ktorom má banka sledovať svoje ciele</w:t>
      </w:r>
      <w:r w:rsidRPr="00C13764" w:rsidR="0075354B">
        <w:rPr>
          <w:rFonts w:ascii="Times New Roman" w:hAnsi="Times New Roman"/>
          <w:noProof/>
        </w:rPr>
        <w:t xml:space="preserve"> v krajinách </w:t>
      </w:r>
      <w:r w:rsidRPr="00C13764" w:rsidR="008462CE">
        <w:rPr>
          <w:rFonts w:ascii="Times New Roman" w:hAnsi="Times New Roman"/>
          <w:noProof/>
        </w:rPr>
        <w:t>strednej a východnej Európy, ako aj</w:t>
      </w:r>
      <w:r w:rsidRPr="00C13764" w:rsidR="0075354B">
        <w:rPr>
          <w:rFonts w:ascii="Times New Roman" w:hAnsi="Times New Roman"/>
          <w:noProof/>
        </w:rPr>
        <w:t xml:space="preserve"> v</w:t>
      </w:r>
      <w:r w:rsidRPr="00C13764" w:rsidR="008462CE">
        <w:rPr>
          <w:rFonts w:ascii="Times New Roman" w:hAnsi="Times New Roman"/>
          <w:noProof/>
        </w:rPr>
        <w:t xml:space="preserve"> Mongolsk</w:t>
      </w:r>
      <w:r w:rsidRPr="00C13764" w:rsidR="0075354B">
        <w:rPr>
          <w:rFonts w:ascii="Times New Roman" w:hAnsi="Times New Roman"/>
          <w:noProof/>
        </w:rPr>
        <w:t>u</w:t>
      </w:r>
      <w:r w:rsidRPr="00C13764" w:rsidR="008462CE">
        <w:rPr>
          <w:rFonts w:ascii="Times New Roman" w:hAnsi="Times New Roman"/>
          <w:noProof/>
        </w:rPr>
        <w:t xml:space="preserve">. Keďže prípadné nové prijímajúce krajiny sa nachádzajú mimo tohto regiónu, </w:t>
      </w:r>
      <w:r w:rsidRPr="00C13764" w:rsidR="0075354B">
        <w:rPr>
          <w:rFonts w:ascii="Times New Roman" w:hAnsi="Times New Roman"/>
          <w:noProof/>
        </w:rPr>
        <w:t>je</w:t>
      </w:r>
      <w:r w:rsidRPr="00C13764" w:rsidR="008462CE">
        <w:rPr>
          <w:rFonts w:ascii="Times New Roman" w:hAnsi="Times New Roman"/>
          <w:noProof/>
        </w:rPr>
        <w:t xml:space="preserve"> potrebné, aby sa zmenil článok 1 </w:t>
      </w:r>
      <w:r w:rsidRPr="00C13764" w:rsidR="0075354B">
        <w:rPr>
          <w:rFonts w:ascii="Times New Roman" w:hAnsi="Times New Roman"/>
          <w:noProof/>
        </w:rPr>
        <w:t>D</w:t>
      </w:r>
      <w:r w:rsidRPr="00C13764" w:rsidR="009213A5">
        <w:rPr>
          <w:rFonts w:ascii="Times New Roman" w:hAnsi="Times New Roman"/>
          <w:noProof/>
        </w:rPr>
        <w:t>ZB</w:t>
      </w:r>
      <w:r w:rsidRPr="00C13764" w:rsidR="008462CE">
        <w:rPr>
          <w:rFonts w:ascii="Times New Roman" w:hAnsi="Times New Roman"/>
          <w:noProof/>
        </w:rPr>
        <w:t xml:space="preserve"> predtým, ako </w:t>
      </w:r>
      <w:r w:rsidRPr="00C13764" w:rsidR="0075354B">
        <w:rPr>
          <w:rFonts w:ascii="Times New Roman" w:hAnsi="Times New Roman"/>
          <w:noProof/>
        </w:rPr>
        <w:t>ba</w:t>
      </w:r>
      <w:r w:rsidRPr="00C13764" w:rsidR="00273084">
        <w:rPr>
          <w:rFonts w:ascii="Times New Roman" w:hAnsi="Times New Roman"/>
          <w:noProof/>
        </w:rPr>
        <w:t>n</w:t>
      </w:r>
      <w:r w:rsidRPr="00C13764" w:rsidR="00094F21">
        <w:rPr>
          <w:rFonts w:ascii="Times New Roman" w:hAnsi="Times New Roman"/>
          <w:noProof/>
        </w:rPr>
        <w:t>k</w:t>
      </w:r>
      <w:r w:rsidRPr="00C13764" w:rsidR="0075354B">
        <w:rPr>
          <w:rFonts w:ascii="Times New Roman" w:hAnsi="Times New Roman"/>
          <w:noProof/>
        </w:rPr>
        <w:t>a</w:t>
      </w:r>
      <w:r w:rsidRPr="00C13764" w:rsidR="008462CE">
        <w:rPr>
          <w:rFonts w:ascii="Times New Roman" w:hAnsi="Times New Roman"/>
          <w:noProof/>
        </w:rPr>
        <w:t xml:space="preserve"> bude oprávnená v nich plne pôsobiť s využívaním svojich bežných zdrojov. </w:t>
      </w:r>
    </w:p>
    <w:p w:rsidR="00867246" w:rsidRPr="00C13764" w:rsidP="0075354B">
      <w:pPr>
        <w:pStyle w:val="NoSpacing"/>
        <w:bidi w:val="0"/>
        <w:rPr>
          <w:rFonts w:ascii="Times New Roman" w:hAnsi="Times New Roman"/>
          <w:noProof/>
        </w:rPr>
      </w:pPr>
    </w:p>
    <w:p w:rsidR="000B3802" w:rsidRPr="00C13764" w:rsidP="000B3802">
      <w:pPr>
        <w:pStyle w:val="NoSpacing"/>
        <w:bidi w:val="0"/>
        <w:rPr>
          <w:rFonts w:ascii="Times New Roman" w:hAnsi="Times New Roman"/>
          <w:noProof/>
        </w:rPr>
      </w:pPr>
      <w:r w:rsidRPr="00C13764" w:rsidR="00F003BE">
        <w:rPr>
          <w:rFonts w:ascii="Times New Roman" w:hAnsi="Times New Roman"/>
          <w:noProof/>
        </w:rPr>
        <w:t xml:space="preserve">V tejto súvislosti je potrebné </w:t>
      </w:r>
      <w:r w:rsidRPr="00C13764" w:rsidR="00F003BE">
        <w:rPr>
          <w:rFonts w:ascii="Times New Roman" w:hAnsi="Times New Roman"/>
          <w:b/>
          <w:noProof/>
        </w:rPr>
        <w:t xml:space="preserve">zmeniť </w:t>
      </w:r>
      <w:r w:rsidRPr="00C13764" w:rsidR="008462CE">
        <w:rPr>
          <w:rFonts w:ascii="Times New Roman" w:hAnsi="Times New Roman"/>
          <w:b/>
          <w:noProof/>
        </w:rPr>
        <w:t>článok 1</w:t>
      </w:r>
      <w:r w:rsidRPr="00C13764" w:rsidR="008462CE">
        <w:rPr>
          <w:rFonts w:ascii="Times New Roman" w:hAnsi="Times New Roman"/>
          <w:noProof/>
        </w:rPr>
        <w:t xml:space="preserve"> </w:t>
      </w:r>
      <w:r w:rsidRPr="00C13764" w:rsidR="00F003BE">
        <w:rPr>
          <w:rFonts w:ascii="Times New Roman" w:hAnsi="Times New Roman"/>
          <w:noProof/>
        </w:rPr>
        <w:t>D</w:t>
      </w:r>
      <w:r w:rsidRPr="00C13764" w:rsidR="009213A5">
        <w:rPr>
          <w:rFonts w:ascii="Times New Roman" w:hAnsi="Times New Roman"/>
          <w:noProof/>
        </w:rPr>
        <w:t>ZB</w:t>
      </w:r>
      <w:r w:rsidRPr="00C13764" w:rsidR="00F003BE">
        <w:rPr>
          <w:rFonts w:ascii="Times New Roman" w:hAnsi="Times New Roman"/>
          <w:noProof/>
        </w:rPr>
        <w:t>,</w:t>
      </w:r>
      <w:r w:rsidRPr="00C13764" w:rsidR="008462CE">
        <w:rPr>
          <w:rFonts w:ascii="Times New Roman" w:hAnsi="Times New Roman"/>
          <w:noProof/>
        </w:rPr>
        <w:t xml:space="preserve"> aby sa rozšíril rozsah pôsobnosti banky tak, aby zahŕňal členské krajiny južného a východného Stredozemia a aby sa zabezpečilo, že sa člen môže stať prijímajúcou krajinou po schválení kvalifikovanou väčšinou najmenej 2/3 </w:t>
      </w:r>
      <w:r w:rsidR="00903579">
        <w:rPr>
          <w:rFonts w:ascii="Times New Roman" w:hAnsi="Times New Roman"/>
          <w:noProof/>
        </w:rPr>
        <w:t>g</w:t>
      </w:r>
      <w:r w:rsidRPr="00C13764" w:rsidR="008462CE">
        <w:rPr>
          <w:rFonts w:ascii="Times New Roman" w:hAnsi="Times New Roman"/>
          <w:noProof/>
        </w:rPr>
        <w:t>uvernérov, ktorí predstavujú najmenej 75 % celkového počtu hlasov.</w:t>
      </w:r>
      <w:r w:rsidRPr="00C13764">
        <w:rPr>
          <w:rFonts w:ascii="Times New Roman" w:hAnsi="Times New Roman"/>
          <w:noProof/>
        </w:rPr>
        <w:t xml:space="preserve"> </w:t>
      </w:r>
      <w:r w:rsidRPr="00C13764">
        <w:rPr>
          <w:rFonts w:ascii="Times New Roman" w:hAnsi="Times New Roman"/>
          <w:b/>
          <w:noProof/>
        </w:rPr>
        <w:t>Znenie zmeny článku 1 je prílohou č. 1 tohto materiálu.</w:t>
      </w:r>
      <w:r w:rsidRPr="00C13764">
        <w:rPr>
          <w:rFonts w:ascii="Times New Roman" w:hAnsi="Times New Roman"/>
          <w:noProof/>
        </w:rPr>
        <w:t xml:space="preserve"> </w:t>
      </w:r>
    </w:p>
    <w:p w:rsidR="008462CE" w:rsidRPr="00C13764" w:rsidP="0075354B">
      <w:pPr>
        <w:pStyle w:val="NoSpacing"/>
        <w:bidi w:val="0"/>
        <w:rPr>
          <w:rFonts w:ascii="Times New Roman" w:hAnsi="Times New Roman"/>
          <w:noProof/>
        </w:rPr>
      </w:pPr>
    </w:p>
    <w:p w:rsidR="008462CE" w:rsidRPr="00C13764" w:rsidP="0075354B">
      <w:pPr>
        <w:pStyle w:val="NoSpacing"/>
        <w:bidi w:val="0"/>
        <w:rPr>
          <w:rFonts w:ascii="Times New Roman" w:hAnsi="Times New Roman"/>
          <w:noProof/>
        </w:rPr>
      </w:pPr>
      <w:r w:rsidRPr="00C13764">
        <w:rPr>
          <w:rFonts w:ascii="Times New Roman" w:hAnsi="Times New Roman"/>
          <w:noProof/>
        </w:rPr>
        <w:t xml:space="preserve">Do nadobudnutia </w:t>
      </w:r>
      <w:r w:rsidR="00F16BCA">
        <w:rPr>
          <w:rFonts w:ascii="Times New Roman" w:hAnsi="Times New Roman"/>
          <w:noProof/>
        </w:rPr>
        <w:t>platnosti</w:t>
      </w:r>
      <w:r w:rsidRPr="00C13764">
        <w:rPr>
          <w:rFonts w:ascii="Times New Roman" w:hAnsi="Times New Roman"/>
          <w:noProof/>
        </w:rPr>
        <w:t xml:space="preserve"> článku 1 </w:t>
      </w:r>
      <w:r w:rsidRPr="00C13764" w:rsidR="00F003BE">
        <w:rPr>
          <w:rFonts w:ascii="Times New Roman" w:hAnsi="Times New Roman"/>
          <w:noProof/>
        </w:rPr>
        <w:t>Dohody o založení EBOR</w:t>
      </w:r>
      <w:r w:rsidRPr="00C13764">
        <w:rPr>
          <w:rFonts w:ascii="Times New Roman" w:hAnsi="Times New Roman"/>
          <w:noProof/>
        </w:rPr>
        <w:t xml:space="preserve"> a s cieľom umožniť skoršie zapojenie EBOR v južnom a východnom Stredozemí by sa navrhovanou zmenou článku 18 </w:t>
      </w:r>
      <w:r w:rsidRPr="00C13764" w:rsidR="00F003BE">
        <w:rPr>
          <w:rFonts w:ascii="Times New Roman" w:hAnsi="Times New Roman"/>
          <w:noProof/>
        </w:rPr>
        <w:t>D</w:t>
      </w:r>
      <w:r w:rsidRPr="00C13764" w:rsidR="009213A5">
        <w:rPr>
          <w:rFonts w:ascii="Times New Roman" w:hAnsi="Times New Roman"/>
          <w:noProof/>
        </w:rPr>
        <w:t>ZB</w:t>
      </w:r>
      <w:r w:rsidRPr="00C13764" w:rsidR="00F003BE">
        <w:rPr>
          <w:rFonts w:ascii="Times New Roman" w:hAnsi="Times New Roman"/>
          <w:noProof/>
        </w:rPr>
        <w:t xml:space="preserve"> </w:t>
      </w:r>
      <w:r w:rsidRPr="00C13764">
        <w:rPr>
          <w:rFonts w:ascii="Times New Roman" w:hAnsi="Times New Roman"/>
          <w:noProof/>
        </w:rPr>
        <w:t xml:space="preserve">umožnilo, aby EBOR vykonávala operácie financované zo zdrojov špeciálnych fondov vo vybraných členských krajinách rozšíreného regiónu. </w:t>
      </w:r>
    </w:p>
    <w:p w:rsidR="00F003BE" w:rsidRPr="00C13764" w:rsidP="0075354B">
      <w:pPr>
        <w:pStyle w:val="NoSpacing"/>
        <w:bidi w:val="0"/>
        <w:rPr>
          <w:rFonts w:ascii="Times New Roman" w:hAnsi="Times New Roman"/>
          <w:noProof/>
        </w:rPr>
      </w:pPr>
    </w:p>
    <w:p w:rsidR="000B3802" w:rsidRPr="00C13764" w:rsidP="000B3802">
      <w:pPr>
        <w:pStyle w:val="NoSpacing"/>
        <w:bidi w:val="0"/>
        <w:rPr>
          <w:rFonts w:ascii="Times New Roman" w:hAnsi="Times New Roman"/>
          <w:noProof/>
        </w:rPr>
      </w:pPr>
      <w:r w:rsidRPr="00C13764" w:rsidR="00F003BE">
        <w:rPr>
          <w:rFonts w:ascii="Times New Roman" w:hAnsi="Times New Roman"/>
          <w:noProof/>
        </w:rPr>
        <w:t>V tejto súvislsoti j</w:t>
      </w:r>
      <w:r w:rsidRPr="00C13764" w:rsidR="008462CE">
        <w:rPr>
          <w:rFonts w:ascii="Times New Roman" w:hAnsi="Times New Roman"/>
          <w:noProof/>
        </w:rPr>
        <w:t xml:space="preserve">e potrebné, aby sa </w:t>
      </w:r>
      <w:r w:rsidRPr="00C13764" w:rsidR="008462CE">
        <w:rPr>
          <w:rFonts w:ascii="Times New Roman" w:hAnsi="Times New Roman"/>
          <w:b/>
          <w:noProof/>
        </w:rPr>
        <w:t>zmenil a doplnil článok 18</w:t>
      </w:r>
      <w:r w:rsidRPr="00C13764" w:rsidR="00F003BE">
        <w:rPr>
          <w:rFonts w:ascii="Times New Roman" w:hAnsi="Times New Roman"/>
          <w:noProof/>
        </w:rPr>
        <w:t xml:space="preserve"> D</w:t>
      </w:r>
      <w:r w:rsidRPr="00C13764" w:rsidR="009213A5">
        <w:rPr>
          <w:rFonts w:ascii="Times New Roman" w:hAnsi="Times New Roman"/>
          <w:noProof/>
        </w:rPr>
        <w:t>ZB</w:t>
      </w:r>
      <w:r w:rsidRPr="00C13764" w:rsidR="008462CE">
        <w:rPr>
          <w:rFonts w:ascii="Times New Roman" w:hAnsi="Times New Roman"/>
          <w:noProof/>
        </w:rPr>
        <w:t xml:space="preserve"> s cieľom umožniť, aby sa špeciálne fondy využívali v potenciálnych prijímajúcich krajinách EBOR a s cieľom ustanoviť, že člen EBOR by sa mal stať potenciálnou prijímajúcou krajinou na základe schválenia kvalifikovanou väčšinou najmenej 2/3 guvernérov, ktorí predstavujú najmenej 75 % celkového počtu hlasov. </w:t>
      </w:r>
      <w:r w:rsidRPr="00C13764">
        <w:rPr>
          <w:rFonts w:ascii="Times New Roman" w:hAnsi="Times New Roman"/>
          <w:b/>
          <w:noProof/>
        </w:rPr>
        <w:t>Znenie zmeny článku 18 je prílohou č. 2 tohto materiálu.</w:t>
      </w:r>
      <w:r w:rsidRPr="00C13764">
        <w:rPr>
          <w:rFonts w:ascii="Times New Roman" w:hAnsi="Times New Roman"/>
          <w:noProof/>
        </w:rPr>
        <w:t xml:space="preserve"> </w:t>
      </w:r>
    </w:p>
    <w:p w:rsidR="00F003BE" w:rsidRPr="00C13764" w:rsidP="0075354B">
      <w:pPr>
        <w:pStyle w:val="NoSpacing"/>
        <w:bidi w:val="0"/>
        <w:rPr>
          <w:rFonts w:ascii="Times New Roman" w:hAnsi="Times New Roman"/>
          <w:noProof/>
        </w:rPr>
      </w:pPr>
    </w:p>
    <w:p w:rsidR="008462CE" w:rsidRPr="00C13764" w:rsidP="0075354B">
      <w:pPr>
        <w:pStyle w:val="NoSpacing"/>
        <w:bidi w:val="0"/>
        <w:rPr>
          <w:rFonts w:ascii="Times New Roman" w:hAnsi="Times New Roman"/>
          <w:noProof/>
        </w:rPr>
      </w:pPr>
      <w:r w:rsidRPr="00C13764">
        <w:rPr>
          <w:rFonts w:ascii="Times New Roman" w:hAnsi="Times New Roman"/>
          <w:noProof/>
        </w:rPr>
        <w:t>Guvernér</w:t>
      </w:r>
      <w:r w:rsidRPr="00C13764" w:rsidR="004874F6">
        <w:rPr>
          <w:rFonts w:ascii="Times New Roman" w:hAnsi="Times New Roman"/>
          <w:noProof/>
        </w:rPr>
        <w:t xml:space="preserve">i </w:t>
      </w:r>
      <w:r w:rsidRPr="00C13764">
        <w:rPr>
          <w:rFonts w:ascii="Times New Roman" w:hAnsi="Times New Roman"/>
          <w:noProof/>
        </w:rPr>
        <w:t>EBOR</w:t>
      </w:r>
      <w:r w:rsidRPr="00C13764" w:rsidR="004874F6">
        <w:rPr>
          <w:rFonts w:ascii="Times New Roman" w:hAnsi="Times New Roman"/>
          <w:noProof/>
        </w:rPr>
        <w:t xml:space="preserve"> za jednotliv</w:t>
      </w:r>
      <w:r w:rsidRPr="00C13764" w:rsidR="00500E0A">
        <w:rPr>
          <w:rFonts w:ascii="Times New Roman" w:hAnsi="Times New Roman"/>
          <w:noProof/>
        </w:rPr>
        <w:t>ých členov</w:t>
      </w:r>
      <w:r w:rsidRPr="00C13764">
        <w:rPr>
          <w:rFonts w:ascii="Times New Roman" w:hAnsi="Times New Roman"/>
          <w:noProof/>
        </w:rPr>
        <w:t xml:space="preserve"> hlasovali </w:t>
      </w:r>
      <w:r w:rsidRPr="00C13764" w:rsidR="004874F6">
        <w:rPr>
          <w:rFonts w:ascii="Times New Roman" w:hAnsi="Times New Roman"/>
          <w:noProof/>
        </w:rPr>
        <w:t xml:space="preserve">k </w:t>
      </w:r>
      <w:r w:rsidRPr="00C13764">
        <w:rPr>
          <w:rFonts w:ascii="Times New Roman" w:hAnsi="Times New Roman"/>
          <w:noProof/>
        </w:rPr>
        <w:t>30. septembr</w:t>
      </w:r>
      <w:r w:rsidRPr="00C13764" w:rsidR="004874F6">
        <w:rPr>
          <w:rFonts w:ascii="Times New Roman" w:hAnsi="Times New Roman"/>
          <w:noProof/>
        </w:rPr>
        <w:t>u</w:t>
      </w:r>
      <w:r w:rsidRPr="00C13764">
        <w:rPr>
          <w:rFonts w:ascii="Times New Roman" w:hAnsi="Times New Roman"/>
          <w:noProof/>
        </w:rPr>
        <w:t xml:space="preserve"> 2011 v prospech </w:t>
      </w:r>
      <w:r w:rsidR="00867246">
        <w:rPr>
          <w:rFonts w:ascii="Times New Roman" w:hAnsi="Times New Roman"/>
          <w:noProof/>
        </w:rPr>
        <w:t>rezolúcii</w:t>
      </w:r>
      <w:r w:rsidRPr="00C13764">
        <w:rPr>
          <w:rFonts w:ascii="Times New Roman" w:hAnsi="Times New Roman"/>
          <w:noProof/>
        </w:rPr>
        <w:t xml:space="preserve"> </w:t>
      </w:r>
      <w:r w:rsidRPr="00C13764" w:rsidR="004874F6">
        <w:rPr>
          <w:rFonts w:ascii="Times New Roman" w:hAnsi="Times New Roman"/>
          <w:noProof/>
        </w:rPr>
        <w:t xml:space="preserve"> č. </w:t>
      </w:r>
      <w:r w:rsidRPr="00C13764">
        <w:rPr>
          <w:rFonts w:ascii="Times New Roman" w:hAnsi="Times New Roman"/>
          <w:noProof/>
        </w:rPr>
        <w:t>137 a</w:t>
      </w:r>
      <w:r w:rsidRPr="00C13764" w:rsidR="009213A5">
        <w:rPr>
          <w:rFonts w:ascii="Times New Roman" w:hAnsi="Times New Roman"/>
          <w:noProof/>
        </w:rPr>
        <w:t xml:space="preserve"> </w:t>
      </w:r>
      <w:r w:rsidRPr="00C13764">
        <w:rPr>
          <w:rFonts w:ascii="Times New Roman" w:hAnsi="Times New Roman"/>
          <w:noProof/>
        </w:rPr>
        <w:t xml:space="preserve">138, čím schválili potrebné zmeny článkov 1 a 18 </w:t>
      </w:r>
      <w:r w:rsidRPr="00C13764" w:rsidR="004874F6">
        <w:rPr>
          <w:rFonts w:ascii="Times New Roman" w:hAnsi="Times New Roman"/>
          <w:noProof/>
        </w:rPr>
        <w:t>D</w:t>
      </w:r>
      <w:r w:rsidRPr="00C13764" w:rsidR="009213A5">
        <w:rPr>
          <w:rFonts w:ascii="Times New Roman" w:hAnsi="Times New Roman"/>
          <w:noProof/>
        </w:rPr>
        <w:t>ZB</w:t>
      </w:r>
      <w:r w:rsidRPr="00C13764">
        <w:rPr>
          <w:rFonts w:ascii="Times New Roman" w:hAnsi="Times New Roman"/>
          <w:noProof/>
        </w:rPr>
        <w:t xml:space="preserve">. Podľa článku 56 </w:t>
      </w:r>
      <w:r w:rsidRPr="00C13764" w:rsidR="004874F6">
        <w:rPr>
          <w:rFonts w:ascii="Times New Roman" w:hAnsi="Times New Roman"/>
          <w:noProof/>
        </w:rPr>
        <w:t>D</w:t>
      </w:r>
      <w:r w:rsidRPr="00C13764" w:rsidR="009213A5">
        <w:rPr>
          <w:rFonts w:ascii="Times New Roman" w:hAnsi="Times New Roman"/>
          <w:noProof/>
        </w:rPr>
        <w:t>ZB</w:t>
      </w:r>
      <w:r w:rsidRPr="00C13764" w:rsidR="000B3802">
        <w:rPr>
          <w:rFonts w:ascii="Times New Roman" w:hAnsi="Times New Roman"/>
          <w:noProof/>
        </w:rPr>
        <w:t xml:space="preserve"> zmeny článkov 1 a 18</w:t>
      </w:r>
      <w:r w:rsidRPr="00C13764" w:rsidR="00732076">
        <w:rPr>
          <w:rFonts w:ascii="Times New Roman" w:hAnsi="Times New Roman"/>
          <w:noProof/>
        </w:rPr>
        <w:t xml:space="preserve"> musia prijať </w:t>
      </w:r>
      <w:r w:rsidRPr="00C13764">
        <w:rPr>
          <w:rFonts w:ascii="Times New Roman" w:hAnsi="Times New Roman"/>
          <w:noProof/>
        </w:rPr>
        <w:t>čle</w:t>
      </w:r>
      <w:r w:rsidRPr="00C13764" w:rsidR="009213A5">
        <w:rPr>
          <w:rFonts w:ascii="Times New Roman" w:hAnsi="Times New Roman"/>
          <w:noProof/>
        </w:rPr>
        <w:t>novia</w:t>
      </w:r>
      <w:r w:rsidRPr="00C13764">
        <w:rPr>
          <w:rFonts w:ascii="Times New Roman" w:hAnsi="Times New Roman"/>
          <w:noProof/>
        </w:rPr>
        <w:t xml:space="preserve"> EBOR. </w:t>
      </w:r>
      <w:r w:rsidRPr="00C13764" w:rsidR="004874F6">
        <w:rPr>
          <w:rFonts w:ascii="Times New Roman" w:hAnsi="Times New Roman"/>
          <w:noProof/>
        </w:rPr>
        <w:t xml:space="preserve">V tejto súvislosti </w:t>
      </w:r>
      <w:r w:rsidRPr="00C13764" w:rsidR="004874F6">
        <w:rPr>
          <w:rFonts w:ascii="Times New Roman" w:hAnsi="Times New Roman"/>
          <w:b/>
          <w:noProof/>
        </w:rPr>
        <w:t>je</w:t>
      </w:r>
      <w:r w:rsidRPr="00C13764">
        <w:rPr>
          <w:rFonts w:ascii="Times New Roman" w:hAnsi="Times New Roman"/>
          <w:b/>
          <w:noProof/>
        </w:rPr>
        <w:t xml:space="preserve"> potrebné, aby </w:t>
      </w:r>
      <w:r w:rsidRPr="00C13764" w:rsidR="00732076">
        <w:rPr>
          <w:rFonts w:ascii="Times New Roman" w:hAnsi="Times New Roman"/>
          <w:b/>
          <w:noProof/>
        </w:rPr>
        <w:t>Slovenská republika</w:t>
      </w:r>
      <w:r w:rsidRPr="00C13764" w:rsidR="004874F6">
        <w:rPr>
          <w:rFonts w:ascii="Times New Roman" w:hAnsi="Times New Roman"/>
          <w:b/>
          <w:noProof/>
        </w:rPr>
        <w:t xml:space="preserve"> vyslovila súhlas</w:t>
      </w:r>
      <w:r w:rsidRPr="00C13764" w:rsidR="00273084">
        <w:rPr>
          <w:rFonts w:ascii="Times New Roman" w:hAnsi="Times New Roman"/>
          <w:b/>
          <w:noProof/>
        </w:rPr>
        <w:t xml:space="preserve"> (vyhlásenie o </w:t>
      </w:r>
      <w:r w:rsidRPr="00C13764" w:rsidR="00DE68B4">
        <w:rPr>
          <w:rFonts w:ascii="Times New Roman" w:hAnsi="Times New Roman"/>
          <w:b/>
          <w:noProof/>
        </w:rPr>
        <w:t>prijatí</w:t>
      </w:r>
      <w:r w:rsidRPr="00C13764" w:rsidR="00273084">
        <w:rPr>
          <w:rFonts w:ascii="Times New Roman" w:hAnsi="Times New Roman"/>
          <w:b/>
          <w:noProof/>
        </w:rPr>
        <w:t>)</w:t>
      </w:r>
      <w:r w:rsidRPr="00C13764" w:rsidR="00732076">
        <w:rPr>
          <w:rFonts w:ascii="Times New Roman" w:hAnsi="Times New Roman"/>
          <w:b/>
          <w:noProof/>
        </w:rPr>
        <w:t xml:space="preserve"> s</w:t>
      </w:r>
      <w:r w:rsidRPr="00C13764" w:rsidR="000B3802">
        <w:rPr>
          <w:rFonts w:ascii="Times New Roman" w:hAnsi="Times New Roman"/>
          <w:b/>
          <w:noProof/>
        </w:rPr>
        <w:t>o zmenami článkov 1 a 18 DZB</w:t>
      </w:r>
      <w:r w:rsidRPr="00C13764" w:rsidR="00732076">
        <w:rPr>
          <w:rFonts w:ascii="Times New Roman" w:hAnsi="Times New Roman"/>
          <w:noProof/>
        </w:rPr>
        <w:t>, aby</w:t>
      </w:r>
      <w:r w:rsidRPr="00C13764" w:rsidR="004874F6">
        <w:rPr>
          <w:rFonts w:ascii="Times New Roman" w:hAnsi="Times New Roman"/>
          <w:noProof/>
        </w:rPr>
        <w:t xml:space="preserve"> </w:t>
      </w:r>
      <w:r w:rsidRPr="00C13764">
        <w:rPr>
          <w:rFonts w:ascii="Times New Roman" w:hAnsi="Times New Roman"/>
          <w:noProof/>
        </w:rPr>
        <w:t>mohli tieto zmeny</w:t>
      </w:r>
      <w:r w:rsidRPr="00C13764" w:rsidR="000B3802">
        <w:rPr>
          <w:rFonts w:ascii="Times New Roman" w:hAnsi="Times New Roman"/>
          <w:noProof/>
        </w:rPr>
        <w:t xml:space="preserve"> </w:t>
      </w:r>
      <w:r w:rsidRPr="00C13764">
        <w:rPr>
          <w:rFonts w:ascii="Times New Roman" w:hAnsi="Times New Roman"/>
          <w:noProof/>
        </w:rPr>
        <w:t xml:space="preserve">nadobudnúť </w:t>
      </w:r>
      <w:r w:rsidR="00F16BCA">
        <w:rPr>
          <w:rFonts w:ascii="Times New Roman" w:hAnsi="Times New Roman"/>
          <w:noProof/>
        </w:rPr>
        <w:t>platnosť</w:t>
      </w:r>
      <w:r w:rsidRPr="00C13764">
        <w:rPr>
          <w:rFonts w:ascii="Times New Roman" w:hAnsi="Times New Roman"/>
          <w:noProof/>
        </w:rPr>
        <w:t xml:space="preserve">, čím sa EBOR umožní pôsobenie v krajinách južného a východného Stredozemia a využívanie špeciálnych fondov v prijímajúcich krajinách a v potenciálnych prijímajúcich krajinách. </w:t>
      </w:r>
    </w:p>
    <w:p w:rsidR="004874F6" w:rsidRPr="00C13764" w:rsidP="0075354B">
      <w:pPr>
        <w:pStyle w:val="NoSpacing"/>
        <w:bidi w:val="0"/>
        <w:rPr>
          <w:rFonts w:ascii="Times New Roman" w:hAnsi="Times New Roman"/>
          <w:noProof/>
        </w:rPr>
      </w:pPr>
    </w:p>
    <w:p w:rsidR="004874F6" w:rsidP="0075354B">
      <w:pPr>
        <w:pStyle w:val="NoSpacing"/>
        <w:bidi w:val="0"/>
        <w:rPr>
          <w:rFonts w:ascii="Times New Roman" w:hAnsi="Times New Roman"/>
          <w:noProof/>
        </w:rPr>
      </w:pPr>
      <w:r w:rsidRPr="00C13764" w:rsidR="00DE68B4">
        <w:rPr>
          <w:rFonts w:ascii="Times New Roman" w:hAnsi="Times New Roman"/>
          <w:noProof/>
        </w:rPr>
        <w:t>Podľa</w:t>
      </w:r>
      <w:r w:rsidRPr="00C13764" w:rsidR="00DE68B4">
        <w:rPr>
          <w:rFonts w:ascii="Times New Roman" w:hAnsi="Times New Roman"/>
          <w:b/>
          <w:noProof/>
        </w:rPr>
        <w:t xml:space="preserve"> </w:t>
      </w:r>
      <w:r w:rsidR="00867246">
        <w:rPr>
          <w:rFonts w:ascii="Times New Roman" w:hAnsi="Times New Roman"/>
          <w:noProof/>
        </w:rPr>
        <w:t>rezolúcie</w:t>
      </w:r>
      <w:r w:rsidRPr="00C13764" w:rsidR="00DE68B4">
        <w:rPr>
          <w:rFonts w:ascii="Times New Roman" w:hAnsi="Times New Roman"/>
          <w:noProof/>
        </w:rPr>
        <w:t xml:space="preserve"> č. 137 a 138 </w:t>
      </w:r>
      <w:r w:rsidRPr="00C13764" w:rsidR="00DE68B4">
        <w:rPr>
          <w:rFonts w:ascii="Times New Roman" w:hAnsi="Times New Roman"/>
          <w:b/>
          <w:noProof/>
        </w:rPr>
        <w:t>z</w:t>
      </w:r>
      <w:r w:rsidRPr="00C13764" w:rsidR="008462CE">
        <w:rPr>
          <w:rFonts w:ascii="Times New Roman" w:hAnsi="Times New Roman"/>
          <w:b/>
          <w:noProof/>
        </w:rPr>
        <w:t>meny</w:t>
      </w:r>
      <w:r w:rsidRPr="00C13764" w:rsidR="00273084">
        <w:rPr>
          <w:rFonts w:ascii="Times New Roman" w:hAnsi="Times New Roman"/>
          <w:b/>
          <w:noProof/>
        </w:rPr>
        <w:t xml:space="preserve"> článkov 1 a 18 DZB</w:t>
      </w:r>
      <w:r w:rsidRPr="00C13764" w:rsidR="008462CE">
        <w:rPr>
          <w:rFonts w:ascii="Times New Roman" w:hAnsi="Times New Roman"/>
          <w:b/>
          <w:noProof/>
        </w:rPr>
        <w:t xml:space="preserve"> nadobudnú </w:t>
      </w:r>
      <w:r w:rsidR="00F16BCA">
        <w:rPr>
          <w:rFonts w:ascii="Times New Roman" w:hAnsi="Times New Roman"/>
          <w:b/>
          <w:noProof/>
        </w:rPr>
        <w:t>platnosť</w:t>
      </w:r>
      <w:r w:rsidRPr="00C13764" w:rsidR="008462CE">
        <w:rPr>
          <w:rFonts w:ascii="Times New Roman" w:hAnsi="Times New Roman"/>
          <w:noProof/>
        </w:rPr>
        <w:t xml:space="preserve"> sedem dní po dátume oficiálneho oznámenia EBOR po splnení požiadaviek na prijatie zmien v súlade s článkom 56 </w:t>
      </w:r>
      <w:r w:rsidRPr="00C13764">
        <w:rPr>
          <w:rFonts w:ascii="Times New Roman" w:hAnsi="Times New Roman"/>
          <w:noProof/>
        </w:rPr>
        <w:t>D</w:t>
      </w:r>
      <w:r w:rsidRPr="00C13764" w:rsidR="009213A5">
        <w:rPr>
          <w:rFonts w:ascii="Times New Roman" w:hAnsi="Times New Roman"/>
          <w:noProof/>
        </w:rPr>
        <w:t>ZB</w:t>
      </w:r>
      <w:r w:rsidRPr="00C13764">
        <w:rPr>
          <w:rFonts w:ascii="Times New Roman" w:hAnsi="Times New Roman"/>
          <w:noProof/>
        </w:rPr>
        <w:t>.</w:t>
      </w:r>
    </w:p>
    <w:p w:rsidR="00903579" w:rsidP="0075354B">
      <w:pPr>
        <w:pStyle w:val="NoSpacing"/>
        <w:bidi w:val="0"/>
        <w:rPr>
          <w:rFonts w:ascii="Times New Roman" w:hAnsi="Times New Roman"/>
          <w:noProof/>
        </w:rPr>
      </w:pPr>
    </w:p>
    <w:p w:rsidR="00903579" w:rsidP="00903579">
      <w:pPr>
        <w:pStyle w:val="NoSpacing"/>
        <w:bidi w:val="0"/>
        <w:rPr>
          <w:rFonts w:ascii="Times New Roman" w:hAnsi="Times New Roman"/>
          <w:noProof/>
        </w:rPr>
      </w:pPr>
      <w:r>
        <w:rPr>
          <w:rFonts w:ascii="Times New Roman" w:hAnsi="Times New Roman"/>
          <w:noProof/>
        </w:rPr>
        <w:t>K 12. aprílu 2012 bol ratifikačný proces zmien Dohody o založení EBOR uskutočnený nasledujúcimi členmi EBOR: Bosna a Hercegovina, Bulharsko, Dánsko, Európska investičná banka, Fínsko, Francúzsko, Gruzínsko, Kórea, Lichtenštajnsko, Malta, Maroko, Nórsko, Srbsko, Slovinsko, Švajčiarsko, Taliansko, USA a Veľká Británia (čo predstavuje 48 % z celkového počtu hlasov a 18 krajín/alebo 28 % z celkového počtu krajín).</w:t>
      </w:r>
    </w:p>
    <w:p w:rsidR="00903579" w:rsidP="00903579">
      <w:pPr>
        <w:pStyle w:val="NoSpacing"/>
        <w:bidi w:val="0"/>
        <w:rPr>
          <w:rFonts w:ascii="Times New Roman" w:hAnsi="Times New Roman"/>
          <w:noProof/>
        </w:rPr>
      </w:pPr>
    </w:p>
    <w:p w:rsidR="000D7FBD" w:rsidRPr="00C13764" w:rsidP="0088648F">
      <w:pPr>
        <w:pStyle w:val="NoSpacing"/>
        <w:tabs>
          <w:tab w:val="left" w:pos="2445"/>
        </w:tabs>
        <w:bidi w:val="0"/>
        <w:rPr>
          <w:rFonts w:ascii="Times New Roman" w:hAnsi="Times New Roman"/>
          <w:noProof/>
        </w:rPr>
      </w:pPr>
      <w:r w:rsidRPr="00C13764" w:rsidR="0088648F">
        <w:rPr>
          <w:rFonts w:ascii="Times New Roman" w:hAnsi="Times New Roman"/>
          <w:noProof/>
        </w:rPr>
        <w:tab/>
      </w:r>
    </w:p>
    <w:p w:rsidR="000D7FBD" w:rsidRPr="00C13764" w:rsidP="00732076">
      <w:pPr>
        <w:pStyle w:val="NoSpacing"/>
        <w:bidi w:val="0"/>
        <w:rPr>
          <w:rFonts w:ascii="Times New Roman" w:hAnsi="Times New Roman"/>
          <w:b/>
          <w:noProof/>
        </w:rPr>
      </w:pPr>
      <w:r w:rsidRPr="00C13764" w:rsidR="000B3802">
        <w:rPr>
          <w:rFonts w:ascii="Times New Roman" w:hAnsi="Times New Roman"/>
          <w:b/>
          <w:noProof/>
        </w:rPr>
        <w:t>5</w:t>
      </w:r>
      <w:r w:rsidRPr="00C13764">
        <w:rPr>
          <w:rFonts w:ascii="Times New Roman" w:hAnsi="Times New Roman"/>
          <w:b/>
          <w:noProof/>
        </w:rPr>
        <w:t>.         Očakávané výsledky a</w:t>
      </w:r>
      <w:r w:rsidRPr="00C13764" w:rsidR="001B33BC">
        <w:rPr>
          <w:rFonts w:ascii="Times New Roman" w:hAnsi="Times New Roman"/>
          <w:b/>
          <w:noProof/>
        </w:rPr>
        <w:t> </w:t>
      </w:r>
      <w:r w:rsidRPr="00C13764">
        <w:rPr>
          <w:rFonts w:ascii="Times New Roman" w:hAnsi="Times New Roman"/>
          <w:b/>
          <w:noProof/>
        </w:rPr>
        <w:t>vplyv</w:t>
      </w:r>
      <w:r w:rsidRPr="00C13764" w:rsidR="001B33BC">
        <w:rPr>
          <w:rFonts w:ascii="Times New Roman" w:hAnsi="Times New Roman"/>
          <w:b/>
          <w:noProof/>
        </w:rPr>
        <w:t xml:space="preserve"> zmien Dohody o založení EBOR</w:t>
      </w:r>
    </w:p>
    <w:p w:rsidR="000D7FBD" w:rsidRPr="00C13764" w:rsidP="00280AE8">
      <w:pPr>
        <w:pStyle w:val="NoSpacing"/>
        <w:bidi w:val="0"/>
        <w:rPr>
          <w:rFonts w:ascii="Times New Roman" w:hAnsi="Times New Roman"/>
          <w:b/>
          <w:noProof/>
          <w:sz w:val="16"/>
          <w:szCs w:val="16"/>
        </w:rPr>
      </w:pPr>
    </w:p>
    <w:p w:rsidR="00280AE8" w:rsidRPr="00C13764" w:rsidP="00280AE8">
      <w:pPr>
        <w:bidi w:val="0"/>
        <w:rPr>
          <w:rFonts w:ascii="Times New Roman" w:hAnsi="Times New Roman"/>
          <w:noProof/>
        </w:rPr>
      </w:pPr>
      <w:r w:rsidRPr="00C13764" w:rsidR="000B3802">
        <w:rPr>
          <w:rFonts w:ascii="Times New Roman" w:hAnsi="Times New Roman"/>
          <w:noProof/>
        </w:rPr>
        <w:t>Hlavným cieľom zmeny článkov</w:t>
      </w:r>
      <w:r w:rsidRPr="00C13764" w:rsidR="000D7FBD">
        <w:rPr>
          <w:rFonts w:ascii="Times New Roman" w:hAnsi="Times New Roman"/>
          <w:noProof/>
        </w:rPr>
        <w:t xml:space="preserve"> 1 a 18 D</w:t>
      </w:r>
      <w:r w:rsidRPr="00C13764" w:rsidR="001B33BC">
        <w:rPr>
          <w:rFonts w:ascii="Times New Roman" w:hAnsi="Times New Roman"/>
          <w:noProof/>
        </w:rPr>
        <w:t>ZB</w:t>
      </w:r>
      <w:r w:rsidRPr="00C13764" w:rsidR="000D7FBD">
        <w:rPr>
          <w:rFonts w:ascii="Times New Roman" w:hAnsi="Times New Roman"/>
          <w:noProof/>
        </w:rPr>
        <w:t xml:space="preserve"> je rozšírenie geografického rozsahu pôsobenia mandátu EBOR o oblasť južného a východného Stredozemia a umožnenie skoršieho zapojenia EBOR cez špeciáln</w:t>
      </w:r>
      <w:r w:rsidRPr="00C13764" w:rsidR="000B3802">
        <w:rPr>
          <w:rFonts w:ascii="Times New Roman" w:hAnsi="Times New Roman"/>
          <w:noProof/>
        </w:rPr>
        <w:t>e</w:t>
      </w:r>
      <w:r w:rsidRPr="00C13764" w:rsidR="000D7FBD">
        <w:rPr>
          <w:rFonts w:ascii="Times New Roman" w:hAnsi="Times New Roman"/>
          <w:noProof/>
        </w:rPr>
        <w:t xml:space="preserve"> fond</w:t>
      </w:r>
      <w:r w:rsidRPr="00C13764" w:rsidR="000B3802">
        <w:rPr>
          <w:rFonts w:ascii="Times New Roman" w:hAnsi="Times New Roman"/>
          <w:noProof/>
        </w:rPr>
        <w:t>y</w:t>
      </w:r>
      <w:r w:rsidRPr="00C13764" w:rsidR="000D7FBD">
        <w:rPr>
          <w:rFonts w:ascii="Times New Roman" w:hAnsi="Times New Roman"/>
          <w:noProof/>
        </w:rPr>
        <w:t xml:space="preserve"> v nových krajinách pôsobenia počas očakávania nadobudnutia </w:t>
      </w:r>
      <w:r w:rsidR="00F16BCA">
        <w:rPr>
          <w:rFonts w:ascii="Times New Roman" w:hAnsi="Times New Roman"/>
          <w:noProof/>
        </w:rPr>
        <w:t>platnosti</w:t>
      </w:r>
      <w:r w:rsidRPr="00C13764" w:rsidR="000D7FBD">
        <w:rPr>
          <w:rFonts w:ascii="Times New Roman" w:hAnsi="Times New Roman"/>
          <w:noProof/>
        </w:rPr>
        <w:t xml:space="preserve"> článku 1 </w:t>
      </w:r>
      <w:r w:rsidRPr="00C13764">
        <w:rPr>
          <w:rFonts w:ascii="Times New Roman" w:hAnsi="Times New Roman"/>
          <w:noProof/>
        </w:rPr>
        <w:t>D</w:t>
      </w:r>
      <w:r w:rsidRPr="00C13764" w:rsidR="001B33BC">
        <w:rPr>
          <w:rFonts w:ascii="Times New Roman" w:hAnsi="Times New Roman"/>
          <w:noProof/>
        </w:rPr>
        <w:t>ZB.</w:t>
      </w:r>
    </w:p>
    <w:p w:rsidR="000B3802" w:rsidRPr="00C13764" w:rsidP="00280AE8">
      <w:pPr>
        <w:bidi w:val="0"/>
        <w:rPr>
          <w:rFonts w:ascii="Times New Roman" w:hAnsi="Times New Roman"/>
          <w:noProof/>
          <w:sz w:val="16"/>
          <w:szCs w:val="16"/>
        </w:rPr>
      </w:pPr>
    </w:p>
    <w:p w:rsidR="00280AE8" w:rsidRPr="00C13764" w:rsidP="00280AE8">
      <w:pPr>
        <w:pStyle w:val="NoSpacing"/>
        <w:bidi w:val="0"/>
        <w:rPr>
          <w:rFonts w:ascii="Times New Roman" w:hAnsi="Times New Roman"/>
          <w:noProof/>
        </w:rPr>
      </w:pPr>
      <w:r w:rsidRPr="00C13764">
        <w:rPr>
          <w:rFonts w:ascii="Times New Roman" w:hAnsi="Times New Roman"/>
          <w:noProof/>
        </w:rPr>
        <w:t xml:space="preserve">EBOR zhromažďuje jedinečné skúsenosti v oblasti podpory reforiem verejného a finančného sektora, v oblasti podpory malých a stredných podnikov a v privatizácií štátnych spoločností v krajinách svojho súčasného pôsobenia. Krajiny v oblasti južného a východného Stredozemia čelia podobným výzvam v oblasti modernizácie hospodárstva, rastu a vytvárania pracovných miest, ako čelili krajiny strednej a východnej Európy po páde komunizmu. Podpora investícií do infraštruktúry a súkromného sektora je naliehavo potrebná a EBOR môže využiť svoju odbornosť v týchto a v iných oblastiach, aby pomohla priniesť hospodársky prospech do tohto nového regiónu pôsobenia. </w:t>
      </w:r>
    </w:p>
    <w:p w:rsidR="00280AE8" w:rsidRPr="00C13764" w:rsidP="00280AE8">
      <w:pPr>
        <w:pStyle w:val="NoSpacing"/>
        <w:bidi w:val="0"/>
        <w:rPr>
          <w:rFonts w:ascii="Times New Roman" w:hAnsi="Times New Roman"/>
          <w:noProof/>
        </w:rPr>
      </w:pPr>
    </w:p>
    <w:p w:rsidR="00280AE8" w:rsidRPr="00C13764" w:rsidP="00280AE8">
      <w:pPr>
        <w:pStyle w:val="NoSpacing"/>
        <w:bidi w:val="0"/>
        <w:rPr>
          <w:rFonts w:ascii="Times New Roman" w:hAnsi="Times New Roman"/>
          <w:noProof/>
        </w:rPr>
      </w:pPr>
      <w:r w:rsidRPr="00C13764">
        <w:rPr>
          <w:rFonts w:ascii="Times New Roman" w:hAnsi="Times New Roman"/>
          <w:noProof/>
        </w:rPr>
        <w:t xml:space="preserve">Operácie EBOR zamerané na financovanie sa budú riadiť v súlade s vlastnými pravidlami a postupmi EBOR vrátane primeraných opatrení v oblasti auditu, kontroly a monitorovania. </w:t>
      </w:r>
      <w:r w:rsidRPr="00C13764" w:rsidR="001C658C">
        <w:rPr>
          <w:rFonts w:ascii="Times New Roman" w:hAnsi="Times New Roman"/>
          <w:noProof/>
        </w:rPr>
        <w:t>Dosiahnutie cieľov sa bude merať v súlade s vlastným podávaním správ EBOR o operáciách financovania v oblasti južného a východného Stredo</w:t>
      </w:r>
      <w:r w:rsidRPr="00C13764" w:rsidR="00094F21">
        <w:rPr>
          <w:rFonts w:ascii="Times New Roman" w:hAnsi="Times New Roman"/>
          <w:noProof/>
        </w:rPr>
        <w:t>zemia</w:t>
      </w:r>
      <w:r w:rsidRPr="00C13764" w:rsidR="001C658C">
        <w:rPr>
          <w:rFonts w:ascii="Times New Roman" w:hAnsi="Times New Roman"/>
          <w:noProof/>
        </w:rPr>
        <w:t>.</w:t>
      </w:r>
    </w:p>
    <w:p w:rsidR="001C658C" w:rsidRPr="00C13764" w:rsidP="00280AE8">
      <w:pPr>
        <w:pStyle w:val="NoSpacing"/>
        <w:bidi w:val="0"/>
        <w:rPr>
          <w:rFonts w:ascii="Times New Roman" w:hAnsi="Times New Roman"/>
          <w:noProof/>
        </w:rPr>
      </w:pPr>
    </w:p>
    <w:p w:rsidR="001C658C" w:rsidRPr="00C13764" w:rsidP="00280AE8">
      <w:pPr>
        <w:pStyle w:val="NoSpacing"/>
        <w:bidi w:val="0"/>
        <w:rPr>
          <w:rFonts w:ascii="Times New Roman" w:hAnsi="Times New Roman"/>
          <w:noProof/>
        </w:rPr>
      </w:pPr>
      <w:r w:rsidRPr="00C13764">
        <w:rPr>
          <w:rFonts w:ascii="Times New Roman" w:hAnsi="Times New Roman"/>
          <w:noProof/>
        </w:rPr>
        <w:t xml:space="preserve">Rada guvernérov EBOR prijala 30. septembra 2011 </w:t>
      </w:r>
      <w:r w:rsidR="00867246">
        <w:rPr>
          <w:rFonts w:ascii="Times New Roman" w:hAnsi="Times New Roman"/>
          <w:noProof/>
        </w:rPr>
        <w:t>rezolúcie</w:t>
      </w:r>
      <w:r w:rsidRPr="00C13764">
        <w:rPr>
          <w:rFonts w:ascii="Times New Roman" w:hAnsi="Times New Roman"/>
          <w:noProof/>
        </w:rPr>
        <w:t xml:space="preserve"> č. 137 a 138, ktorými sa schválili nevyhnutné zmeny článov 1 a 18 DZB.</w:t>
      </w:r>
    </w:p>
    <w:p w:rsidR="001C658C" w:rsidRPr="00C13764" w:rsidP="00280AE8">
      <w:pPr>
        <w:pStyle w:val="NoSpacing"/>
        <w:bidi w:val="0"/>
        <w:rPr>
          <w:rFonts w:ascii="Times New Roman" w:hAnsi="Times New Roman"/>
          <w:noProof/>
        </w:rPr>
      </w:pPr>
    </w:p>
    <w:p w:rsidR="001C658C" w:rsidRPr="00C13764" w:rsidP="001C658C">
      <w:pPr>
        <w:pStyle w:val="NoSpacing"/>
        <w:bidi w:val="0"/>
        <w:rPr>
          <w:rFonts w:ascii="Times New Roman" w:hAnsi="Times New Roman"/>
          <w:noProof/>
        </w:rPr>
      </w:pPr>
      <w:r w:rsidRPr="00C13764">
        <w:rPr>
          <w:rFonts w:ascii="Times New Roman" w:hAnsi="Times New Roman"/>
          <w:noProof/>
        </w:rPr>
        <w:t xml:space="preserve">V súlade s článkom 56 DZB je potrebné, aby </w:t>
      </w:r>
      <w:r w:rsidRPr="00C13764" w:rsidR="0088648F">
        <w:rPr>
          <w:rFonts w:ascii="Times New Roman" w:hAnsi="Times New Roman"/>
          <w:noProof/>
        </w:rPr>
        <w:t>zmeny Dohody o založení EBOR</w:t>
      </w:r>
      <w:r w:rsidRPr="00C13764">
        <w:rPr>
          <w:rFonts w:ascii="Times New Roman" w:hAnsi="Times New Roman"/>
          <w:noProof/>
        </w:rPr>
        <w:t>,</w:t>
      </w:r>
      <w:r w:rsidRPr="00C13764" w:rsidR="00013183">
        <w:rPr>
          <w:rFonts w:ascii="Times New Roman" w:hAnsi="Times New Roman"/>
          <w:noProof/>
        </w:rPr>
        <w:t xml:space="preserve"> </w:t>
      </w:r>
      <w:r w:rsidRPr="00C13764">
        <w:rPr>
          <w:rFonts w:ascii="Times New Roman" w:hAnsi="Times New Roman"/>
          <w:noProof/>
        </w:rPr>
        <w:t xml:space="preserve">ktoré prijali guvernéri EBOR, prijali </w:t>
      </w:r>
      <w:r w:rsidRPr="00C13764" w:rsidR="0088648F">
        <w:rPr>
          <w:rFonts w:ascii="Times New Roman" w:hAnsi="Times New Roman"/>
          <w:noProof/>
        </w:rPr>
        <w:t xml:space="preserve">aj </w:t>
      </w:r>
      <w:r w:rsidRPr="00C13764">
        <w:rPr>
          <w:rFonts w:ascii="Times New Roman" w:hAnsi="Times New Roman"/>
          <w:noProof/>
        </w:rPr>
        <w:t xml:space="preserve">členovia EBOR. Každý člen EBOR uloží v banke listinu, v ktorej sa uvádza, že prijal zmeny </w:t>
      </w:r>
      <w:r w:rsidRPr="00C13764" w:rsidR="006F0310">
        <w:rPr>
          <w:rFonts w:ascii="Times New Roman" w:hAnsi="Times New Roman"/>
          <w:noProof/>
        </w:rPr>
        <w:t>článk</w:t>
      </w:r>
      <w:r w:rsidRPr="00C13764">
        <w:rPr>
          <w:rFonts w:ascii="Times New Roman" w:hAnsi="Times New Roman"/>
          <w:noProof/>
        </w:rPr>
        <w:t xml:space="preserve">ov 1 a 18 DZB. </w:t>
      </w:r>
    </w:p>
    <w:p w:rsidR="006F0310" w:rsidRPr="00C13764" w:rsidP="001C658C">
      <w:pPr>
        <w:pStyle w:val="NoSpacing"/>
        <w:bidi w:val="0"/>
        <w:rPr>
          <w:rFonts w:ascii="Times New Roman" w:hAnsi="Times New Roman"/>
          <w:noProof/>
        </w:rPr>
      </w:pPr>
    </w:p>
    <w:p w:rsidR="00013183" w:rsidRPr="00C13764" w:rsidP="001C658C">
      <w:pPr>
        <w:pStyle w:val="NoSpacing"/>
        <w:bidi w:val="0"/>
        <w:rPr>
          <w:rFonts w:ascii="Times New Roman" w:hAnsi="Times New Roman"/>
          <w:bCs/>
          <w:color w:val="000000"/>
        </w:rPr>
      </w:pPr>
    </w:p>
    <w:p w:rsidR="00013183" w:rsidRPr="00C13764" w:rsidP="00013183">
      <w:pPr>
        <w:pStyle w:val="NoSpacing"/>
        <w:bidi w:val="0"/>
        <w:rPr>
          <w:rFonts w:ascii="Times New Roman" w:hAnsi="Times New Roman"/>
          <w:b/>
          <w:noProof/>
        </w:rPr>
      </w:pPr>
      <w:r w:rsidRPr="00C13764" w:rsidR="006F0310">
        <w:rPr>
          <w:rFonts w:ascii="Times New Roman" w:hAnsi="Times New Roman"/>
          <w:b/>
          <w:noProof/>
        </w:rPr>
        <w:t>6</w:t>
      </w:r>
      <w:r w:rsidRPr="00C13764">
        <w:rPr>
          <w:rFonts w:ascii="Times New Roman" w:hAnsi="Times New Roman"/>
          <w:b/>
          <w:noProof/>
        </w:rPr>
        <w:t>.         Záver a ďalší postup</w:t>
      </w:r>
    </w:p>
    <w:p w:rsidR="00013183" w:rsidRPr="00C13764" w:rsidP="00013183">
      <w:pPr>
        <w:pStyle w:val="NoSpacing"/>
        <w:bidi w:val="0"/>
        <w:rPr>
          <w:rFonts w:ascii="Times New Roman" w:hAnsi="Times New Roman"/>
          <w:b/>
          <w:noProof/>
        </w:rPr>
      </w:pPr>
    </w:p>
    <w:p w:rsidR="00EB4F21" w:rsidRPr="00C13764" w:rsidP="00EB4F21">
      <w:pPr>
        <w:pStyle w:val="NoSpacing"/>
        <w:bidi w:val="0"/>
        <w:rPr>
          <w:rFonts w:ascii="Times New Roman" w:hAnsi="Times New Roman"/>
        </w:rPr>
      </w:pPr>
      <w:r w:rsidRPr="00C13764" w:rsidR="00013183">
        <w:rPr>
          <w:rFonts w:ascii="Times New Roman" w:hAnsi="Times New Roman"/>
        </w:rPr>
        <w:t xml:space="preserve">Slovenská republika </w:t>
      </w:r>
      <w:r w:rsidRPr="00C13764">
        <w:rPr>
          <w:rFonts w:ascii="Times New Roman" w:hAnsi="Times New Roman"/>
        </w:rPr>
        <w:t>p</w:t>
      </w:r>
      <w:r w:rsidRPr="00C13764" w:rsidR="00013183">
        <w:rPr>
          <w:rFonts w:ascii="Times New Roman" w:hAnsi="Times New Roman"/>
        </w:rPr>
        <w:t>odporuje účasť EBOR na koordinovanej pomoci medzinárodných finančných inštitúcií regiónu južného susedstva EÚ (krajín južného a východného Stredo</w:t>
      </w:r>
      <w:r w:rsidRPr="00C13764" w:rsidR="0088648F">
        <w:rPr>
          <w:rFonts w:ascii="Times New Roman" w:hAnsi="Times New Roman"/>
        </w:rPr>
        <w:t>zemia</w:t>
      </w:r>
      <w:r w:rsidRPr="00C13764" w:rsidR="00013183">
        <w:rPr>
          <w:rFonts w:ascii="Times New Roman" w:hAnsi="Times New Roman"/>
        </w:rPr>
        <w:t>)</w:t>
      </w:r>
      <w:r w:rsidRPr="00C13764">
        <w:rPr>
          <w:rFonts w:ascii="Times New Roman" w:hAnsi="Times New Roman"/>
        </w:rPr>
        <w:t>.</w:t>
      </w:r>
    </w:p>
    <w:p w:rsidR="00EB4F21" w:rsidRPr="00C13764" w:rsidP="00EB4F21">
      <w:pPr>
        <w:pStyle w:val="NoSpacing"/>
        <w:bidi w:val="0"/>
        <w:rPr>
          <w:rFonts w:ascii="Times New Roman" w:hAnsi="Times New Roman"/>
        </w:rPr>
      </w:pPr>
    </w:p>
    <w:p w:rsidR="00013183" w:rsidRPr="00C13764" w:rsidP="00EB4F21">
      <w:pPr>
        <w:pStyle w:val="NoSpacing"/>
        <w:bidi w:val="0"/>
        <w:rPr>
          <w:rFonts w:ascii="Times New Roman" w:hAnsi="Times New Roman"/>
        </w:rPr>
      </w:pPr>
      <w:r w:rsidRPr="00C13764" w:rsidR="00EB4F21">
        <w:rPr>
          <w:rFonts w:ascii="Times New Roman" w:hAnsi="Times New Roman"/>
        </w:rPr>
        <w:t>J</w:t>
      </w:r>
      <w:r w:rsidRPr="00C13764">
        <w:rPr>
          <w:rFonts w:ascii="Times New Roman" w:hAnsi="Times New Roman"/>
        </w:rPr>
        <w:t>edným z významných dôvodov je aj skutočno</w:t>
      </w:r>
      <w:r w:rsidR="00A91860">
        <w:rPr>
          <w:rFonts w:ascii="Times New Roman" w:hAnsi="Times New Roman"/>
        </w:rPr>
        <w:t>sť, že v tomto regióne nastávajú</w:t>
      </w:r>
      <w:r w:rsidRPr="00C13764">
        <w:rPr>
          <w:rFonts w:ascii="Times New Roman" w:hAnsi="Times New Roman"/>
        </w:rPr>
        <w:t xml:space="preserve"> politické zmeny s dosahom aj na hospodárske aktivity. Takéto meniace sa hospodárske prostredie je využiteľné na rozšírenie podnikateľskej činnosti v týchto krajinách, najmä v oblasti malého a stredného podnikania. Adekvátna podpora zo strany medzinárodných finančných inštitúcií môže znamenať výraznú podporu obchodných a hospodárskych aktivít S</w:t>
      </w:r>
      <w:r w:rsidRPr="00C13764" w:rsidR="00EB4F21">
        <w:rPr>
          <w:rFonts w:ascii="Times New Roman" w:hAnsi="Times New Roman"/>
        </w:rPr>
        <w:t>lovenskej republiky</w:t>
      </w:r>
      <w:r w:rsidRPr="00C13764">
        <w:rPr>
          <w:rFonts w:ascii="Times New Roman" w:hAnsi="Times New Roman"/>
        </w:rPr>
        <w:t xml:space="preserve"> v týchto krajinách.</w:t>
      </w:r>
    </w:p>
    <w:p w:rsidR="006F0310" w:rsidRPr="00C13764" w:rsidP="00EB4F21">
      <w:pPr>
        <w:pStyle w:val="NoSpacing"/>
        <w:bidi w:val="0"/>
        <w:rPr>
          <w:rFonts w:ascii="Times New Roman" w:hAnsi="Times New Roman"/>
        </w:rPr>
      </w:pPr>
    </w:p>
    <w:p w:rsidR="006F0310" w:rsidRPr="00C13764" w:rsidP="00EB4F21">
      <w:pPr>
        <w:pStyle w:val="NoSpacing"/>
        <w:bidi w:val="0"/>
        <w:rPr>
          <w:rFonts w:ascii="Times New Roman" w:hAnsi="Times New Roman"/>
          <w:b/>
        </w:rPr>
      </w:pPr>
      <w:r w:rsidRPr="00C13764">
        <w:rPr>
          <w:rFonts w:ascii="Times New Roman" w:hAnsi="Times New Roman"/>
        </w:rPr>
        <w:t xml:space="preserve">Geografické rozšírenie mandátu EBOR na oblasť južného a východného Stredozemia predstavuje </w:t>
      </w:r>
      <w:r w:rsidRPr="00C13764">
        <w:rPr>
          <w:rFonts w:ascii="Times New Roman" w:hAnsi="Times New Roman"/>
          <w:b/>
        </w:rPr>
        <w:t>potenciál</w:t>
      </w:r>
      <w:r w:rsidRPr="00C13764">
        <w:rPr>
          <w:rFonts w:ascii="Times New Roman" w:hAnsi="Times New Roman"/>
        </w:rPr>
        <w:t xml:space="preserve"> pre slovenský podnikateľský sektor. V tejto súvislosti boli už upravené pravidlá Fondu technickej spolupráce SR a EBOR</w:t>
      </w:r>
      <w:r>
        <w:rPr>
          <w:rStyle w:val="FootnoteReference"/>
          <w:rFonts w:ascii="Times New Roman" w:hAnsi="Times New Roman"/>
          <w:shd w:val="clear" w:color="auto" w:fill="auto"/>
          <w:rtl w:val="0"/>
        </w:rPr>
        <w:footnoteReference w:id="8"/>
      </w:r>
      <w:r w:rsidRPr="00C13764">
        <w:rPr>
          <w:rFonts w:ascii="Times New Roman" w:hAnsi="Times New Roman"/>
        </w:rPr>
        <w:t xml:space="preserve">, ktoré umožnia financovanie projektov z tohto fondu aj v regióne južného a východného Stredozemia. Fond technickej spolupráce SR a EBOR je viazaný, čo znamená, že uchádzať sa o projekty EBOR financované z tohto fondu môžu </w:t>
      </w:r>
      <w:r w:rsidRPr="00C13764">
        <w:rPr>
          <w:rFonts w:ascii="Times New Roman" w:hAnsi="Times New Roman"/>
          <w:b/>
        </w:rPr>
        <w:t>iba slovenské podnikateľské subjekty.</w:t>
      </w:r>
    </w:p>
    <w:p w:rsidR="00EB4F21" w:rsidRPr="00C13764" w:rsidP="00EB4F21">
      <w:pPr>
        <w:pStyle w:val="NoSpacing"/>
        <w:bidi w:val="0"/>
        <w:rPr>
          <w:rFonts w:ascii="Times New Roman" w:hAnsi="Times New Roman"/>
        </w:rPr>
      </w:pPr>
    </w:p>
    <w:p w:rsidR="006F0310" w:rsidRPr="00C13764" w:rsidP="006F0310">
      <w:pPr>
        <w:pStyle w:val="NoSpacing"/>
        <w:bidi w:val="0"/>
        <w:rPr>
          <w:rFonts w:ascii="Times New Roman" w:hAnsi="Times New Roman"/>
        </w:rPr>
      </w:pPr>
      <w:r w:rsidR="00A91860">
        <w:rPr>
          <w:rFonts w:ascii="Times New Roman" w:hAnsi="Times New Roman"/>
        </w:rPr>
        <w:t>Rezolúciami</w:t>
      </w:r>
      <w:r w:rsidRPr="00C13764" w:rsidR="00EB4F21">
        <w:rPr>
          <w:rFonts w:ascii="Times New Roman" w:hAnsi="Times New Roman"/>
        </w:rPr>
        <w:t xml:space="preserve"> č. 137 a 138, ktoré boli prijaté 30. septembra 2011, </w:t>
      </w:r>
      <w:r w:rsidRPr="00C13764" w:rsidR="00934147">
        <w:rPr>
          <w:rFonts w:ascii="Times New Roman" w:hAnsi="Times New Roman"/>
        </w:rPr>
        <w:t>všetci</w:t>
      </w:r>
      <w:r w:rsidRPr="00C13764" w:rsidR="00EB4F21">
        <w:rPr>
          <w:rFonts w:ascii="Times New Roman" w:hAnsi="Times New Roman"/>
        </w:rPr>
        <w:t xml:space="preserve"> guvernér</w:t>
      </w:r>
      <w:r w:rsidRPr="00C13764" w:rsidR="00934147">
        <w:rPr>
          <w:rFonts w:ascii="Times New Roman" w:hAnsi="Times New Roman"/>
        </w:rPr>
        <w:t>i</w:t>
      </w:r>
      <w:r w:rsidRPr="00C13764" w:rsidR="00EB4F21">
        <w:rPr>
          <w:rFonts w:ascii="Times New Roman" w:hAnsi="Times New Roman"/>
        </w:rPr>
        <w:t xml:space="preserve"> EBOR</w:t>
      </w:r>
      <w:r w:rsidRPr="00C13764" w:rsidR="00934147">
        <w:rPr>
          <w:rFonts w:ascii="Times New Roman" w:hAnsi="Times New Roman"/>
        </w:rPr>
        <w:t>, teda aj guvernér za Slovenskú republiku,</w:t>
      </w:r>
      <w:r w:rsidRPr="00C13764" w:rsidR="00EB4F21">
        <w:rPr>
          <w:rFonts w:ascii="Times New Roman" w:hAnsi="Times New Roman"/>
        </w:rPr>
        <w:t xml:space="preserve"> hlasoval</w:t>
      </w:r>
      <w:r w:rsidRPr="00C13764" w:rsidR="00934147">
        <w:rPr>
          <w:rFonts w:ascii="Times New Roman" w:hAnsi="Times New Roman"/>
        </w:rPr>
        <w:t>i</w:t>
      </w:r>
      <w:r w:rsidRPr="00C13764" w:rsidR="00EB4F21">
        <w:rPr>
          <w:rFonts w:ascii="Times New Roman" w:hAnsi="Times New Roman"/>
        </w:rPr>
        <w:t xml:space="preserve"> v prospech potrebných zmien Dohody o založení EBOR, čím sa umožní rozšíriť oblasť pôsobenia EBOR o južné a východné Stredo</w:t>
      </w:r>
      <w:r w:rsidRPr="00C13764" w:rsidR="0088648F">
        <w:rPr>
          <w:rFonts w:ascii="Times New Roman" w:hAnsi="Times New Roman"/>
        </w:rPr>
        <w:t>zemie</w:t>
      </w:r>
      <w:r w:rsidRPr="00C13764" w:rsidR="00EB4F21">
        <w:rPr>
          <w:rFonts w:ascii="Times New Roman" w:hAnsi="Times New Roman"/>
        </w:rPr>
        <w:t>. Podľa článku 56 DZB požiadala EBOR všetkých členov o vyslovenie súhlasu s navrhovanými zmenami článkov 1 a 18 DZB.</w:t>
      </w:r>
      <w:r w:rsidRPr="00C13764">
        <w:rPr>
          <w:rFonts w:ascii="Times New Roman" w:hAnsi="Times New Roman"/>
        </w:rPr>
        <w:t xml:space="preserve"> </w:t>
      </w:r>
    </w:p>
    <w:p w:rsidR="006F0310" w:rsidRPr="00C13764" w:rsidP="006F0310">
      <w:pPr>
        <w:pStyle w:val="NoSpacing"/>
        <w:bidi w:val="0"/>
        <w:rPr>
          <w:rFonts w:ascii="Times New Roman" w:hAnsi="Times New Roman"/>
        </w:rPr>
      </w:pPr>
    </w:p>
    <w:p w:rsidR="00013183" w:rsidRPr="00C13764" w:rsidP="00EB4F21">
      <w:pPr>
        <w:pStyle w:val="NoSpacing"/>
        <w:bidi w:val="0"/>
        <w:rPr>
          <w:rFonts w:ascii="Times New Roman" w:hAnsi="Times New Roman"/>
          <w:b/>
          <w:noProof/>
        </w:rPr>
      </w:pPr>
      <w:r w:rsidRPr="00C13764" w:rsidR="00470DD1">
        <w:rPr>
          <w:rFonts w:ascii="Times New Roman" w:hAnsi="Times New Roman"/>
          <w:b/>
        </w:rPr>
        <w:t xml:space="preserve">V tejto súvislosti </w:t>
      </w:r>
      <w:r w:rsidRPr="00C13764" w:rsidR="00C428A9">
        <w:rPr>
          <w:rFonts w:ascii="Times New Roman" w:hAnsi="Times New Roman"/>
          <w:b/>
        </w:rPr>
        <w:t>navrhujeme</w:t>
      </w:r>
      <w:r w:rsidRPr="00C13764" w:rsidR="00470DD1">
        <w:rPr>
          <w:rFonts w:ascii="Times New Roman" w:hAnsi="Times New Roman"/>
          <w:b/>
        </w:rPr>
        <w:t>, aby</w:t>
      </w:r>
      <w:r w:rsidRPr="00C13764" w:rsidR="00DE68B4">
        <w:rPr>
          <w:rFonts w:ascii="Times New Roman" w:hAnsi="Times New Roman"/>
          <w:b/>
        </w:rPr>
        <w:t xml:space="preserve"> prezident Slovenskej republiky </w:t>
      </w:r>
      <w:r w:rsidRPr="00C13764" w:rsidR="00470DD1">
        <w:rPr>
          <w:rFonts w:ascii="Times New Roman" w:hAnsi="Times New Roman"/>
          <w:b/>
        </w:rPr>
        <w:t>vydal súhlas tzv. vyhlásenie o </w:t>
      </w:r>
      <w:r w:rsidRPr="00C13764" w:rsidR="00DE68B4">
        <w:rPr>
          <w:rFonts w:ascii="Times New Roman" w:hAnsi="Times New Roman"/>
          <w:b/>
        </w:rPr>
        <w:t>prijatí</w:t>
      </w:r>
      <w:r w:rsidRPr="00C13764" w:rsidR="00470DD1">
        <w:rPr>
          <w:rFonts w:ascii="Times New Roman" w:hAnsi="Times New Roman"/>
          <w:b/>
        </w:rPr>
        <w:t xml:space="preserve"> (angl. Declaration of Acceptance) v mene Slovenskej republiky.</w:t>
      </w:r>
      <w:r w:rsidRPr="00C13764" w:rsidR="00470DD1">
        <w:rPr>
          <w:rFonts w:ascii="Times New Roman" w:hAnsi="Times New Roman"/>
        </w:rPr>
        <w:t xml:space="preserve"> </w:t>
      </w:r>
    </w:p>
    <w:p w:rsidR="00013183" w:rsidRPr="00C13764" w:rsidP="001C658C">
      <w:pPr>
        <w:pStyle w:val="NoSpacing"/>
        <w:bidi w:val="0"/>
        <w:rPr>
          <w:rFonts w:ascii="Times New Roman" w:hAnsi="Times New Roman"/>
          <w:bCs/>
          <w:color w:val="000000"/>
        </w:rPr>
      </w:pPr>
    </w:p>
    <w:p w:rsidR="006F0310" w:rsidRPr="00C13764" w:rsidP="001C658C">
      <w:pPr>
        <w:pStyle w:val="NoSpacing"/>
        <w:bidi w:val="0"/>
        <w:rPr>
          <w:rFonts w:ascii="Times New Roman" w:hAnsi="Times New Roman"/>
          <w:bCs/>
          <w:color w:val="000000"/>
        </w:rPr>
      </w:pPr>
      <w:r w:rsidR="00A91860">
        <w:rPr>
          <w:rFonts w:ascii="Times New Roman" w:hAnsi="Times New Roman"/>
          <w:bCs/>
          <w:color w:val="000000"/>
        </w:rPr>
        <w:t>Podľa rezolúcie</w:t>
      </w:r>
      <w:r w:rsidRPr="00C13764">
        <w:rPr>
          <w:rFonts w:ascii="Times New Roman" w:hAnsi="Times New Roman"/>
          <w:bCs/>
          <w:color w:val="000000"/>
        </w:rPr>
        <w:t xml:space="preserve"> č. 137 a 138 zmeny článkov 1 a 18 nadobudnú </w:t>
      </w:r>
      <w:r w:rsidR="00F16BCA">
        <w:rPr>
          <w:rFonts w:ascii="Times New Roman" w:hAnsi="Times New Roman"/>
          <w:bCs/>
          <w:color w:val="000000"/>
        </w:rPr>
        <w:t>platnosť</w:t>
      </w:r>
      <w:r w:rsidRPr="00C13764">
        <w:rPr>
          <w:rFonts w:ascii="Times New Roman" w:hAnsi="Times New Roman"/>
          <w:bCs/>
          <w:color w:val="000000"/>
        </w:rPr>
        <w:t xml:space="preserve"> sedem dní po dátume oficiálneho oznámenia EBOR po splnení požiadaviek na prijatie zmien v súlade s článkom 56 DZB, pričom v prípade zmeny článku 1 je potrebné súhlasné prijatie všetkými členmi EBOR a pri zmene článku 18 je potrebné súhlasné prijatie najmenej tromi štvrtinami členov EBOR (vrátane najmenej dvoch krajín strednej a východnej Európy), ktorí majú najmenej štyri pätiny celkového počtu hlasov členov. </w:t>
      </w:r>
    </w:p>
    <w:sectPr w:rsidSect="00903579">
      <w:footerReference w:type="default" r:id="rId6"/>
      <w:pgSz w:w="11907" w:h="16839"/>
      <w:pgMar w:top="1418" w:right="1417" w:bottom="709"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4B" w:rsidRPr="004C61FB" w:rsidP="000D7FBD">
    <w:pPr>
      <w:pStyle w:val="Footer"/>
      <w:tabs>
        <w:tab w:val="clear" w:pos="4535"/>
        <w:tab w:val="clear" w:pos="9071"/>
        <w:tab w:val="right" w:pos="9072"/>
        <w:tab w:val="clear" w:pos="9921"/>
      </w:tabs>
      <w:bidi w:val="0"/>
      <w:rPr>
        <w:rFonts w:ascii="Times New Roman" w:hAnsi="Times New Roman"/>
        <w:sz w:val="22"/>
        <w:szCs w:val="22"/>
      </w:rPr>
    </w:pPr>
    <w:r w:rsidRPr="000D7FBD">
      <w:rPr>
        <w:rFonts w:ascii="Arial Narrow" w:hAnsi="Arial Narrow"/>
        <w:sz w:val="20"/>
        <w:szCs w:val="20"/>
      </w:rPr>
      <w:t xml:space="preserve">                                                                                                                                                                                    </w:t>
    </w:r>
    <w:r w:rsidR="000D7FBD">
      <w:rPr>
        <w:rFonts w:ascii="Arial Narrow" w:hAnsi="Arial Narrow"/>
        <w:sz w:val="20"/>
        <w:szCs w:val="20"/>
      </w:rPr>
      <w:t xml:space="preserve">                                    </w:t>
    </w:r>
    <w:r w:rsidRPr="004C61FB">
      <w:rPr>
        <w:rFonts w:ascii="Times New Roman" w:hAnsi="Times New Roman"/>
        <w:sz w:val="22"/>
        <w:szCs w:val="22"/>
      </w:rPr>
      <w:fldChar w:fldCharType="begin"/>
    </w:r>
    <w:r w:rsidRPr="004C61FB">
      <w:rPr>
        <w:rFonts w:ascii="Times New Roman" w:hAnsi="Times New Roman"/>
        <w:sz w:val="22"/>
        <w:szCs w:val="22"/>
      </w:rPr>
      <w:instrText>PAGE   \* MERGEFORMAT</w:instrText>
    </w:r>
    <w:r w:rsidRPr="004C61FB">
      <w:rPr>
        <w:rFonts w:ascii="Times New Roman" w:hAnsi="Times New Roman"/>
        <w:sz w:val="22"/>
        <w:szCs w:val="22"/>
      </w:rPr>
      <w:fldChar w:fldCharType="separate"/>
    </w:r>
    <w:r w:rsidR="004B6D66">
      <w:rPr>
        <w:rFonts w:ascii="Times New Roman" w:hAnsi="Times New Roman"/>
        <w:noProof/>
        <w:sz w:val="22"/>
        <w:szCs w:val="22"/>
      </w:rPr>
      <w:t>3</w:t>
    </w:r>
    <w:r w:rsidRPr="004C61FB">
      <w:rPr>
        <w:rFonts w:ascii="Times New Roman" w:hAnsi="Times New Roman"/>
        <w:sz w:val="22"/>
        <w:szCs w:val="22"/>
      </w:rPr>
      <w:fldChar w:fldCharType="end"/>
    </w:r>
  </w:p>
  <w:p w:rsidR="008462CE" w:rsidRPr="006118BB" w:rsidP="008462CE">
    <w:pPr>
      <w:pStyle w:val="Footer"/>
      <w:bidi w:val="0"/>
      <w:ind w:left="0"/>
      <w:rPr>
        <w:rFonts w:ascii="Arial" w:hAnsi="Arial" w:cs="Arial"/>
        <w:b/>
        <w:sz w:val="4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5B4" w:rsidP="008462CE">
      <w:pPr>
        <w:bidi w:val="0"/>
        <w:spacing w:before="0" w:after="0"/>
        <w:rPr>
          <w:rFonts w:ascii="Times New Roman" w:hAnsi="Times New Roman"/>
        </w:rPr>
      </w:pPr>
      <w:r>
        <w:rPr>
          <w:rFonts w:ascii="Times New Roman" w:hAnsi="Times New Roman"/>
        </w:rPr>
        <w:separator/>
      </w:r>
    </w:p>
  </w:footnote>
  <w:footnote w:type="continuationSeparator" w:id="1">
    <w:p w:rsidR="000B65B4" w:rsidP="008462CE">
      <w:pPr>
        <w:bidi w:val="0"/>
        <w:spacing w:before="0" w:after="0"/>
        <w:rPr>
          <w:rFonts w:ascii="Times New Roman" w:hAnsi="Times New Roman"/>
        </w:rPr>
      </w:pPr>
      <w:r>
        <w:rPr>
          <w:rFonts w:ascii="Times New Roman" w:hAnsi="Times New Roman"/>
        </w:rPr>
        <w:continuationSeparator/>
      </w:r>
    </w:p>
  </w:footnote>
  <w:footnote w:id="2">
    <w:p w:rsidP="0065402F">
      <w:pPr>
        <w:bidi w:val="0"/>
        <w:rPr>
          <w:rFonts w:ascii="Times New Roman" w:hAnsi="Times New Roman"/>
        </w:rPr>
      </w:pPr>
      <w:r w:rsidR="0065402F">
        <w:rPr>
          <w:rStyle w:val="FootnoteReference"/>
          <w:rFonts w:ascii="Times New Roman" w:hAnsi="Times New Roman"/>
          <w:shd w:val="clear" w:color="auto" w:fill="auto"/>
        </w:rPr>
        <w:footnoteRef/>
      </w:r>
      <w:r w:rsidR="0065402F">
        <w:rPr>
          <w:rFonts w:ascii="Times New Roman" w:hAnsi="Times New Roman"/>
        </w:rPr>
        <w:t xml:space="preserve"> </w:t>
      </w:r>
      <w:r w:rsidRPr="00FC167F" w:rsidR="0065402F">
        <w:rPr>
          <w:rFonts w:ascii="Times New Roman" w:hAnsi="Times New Roman"/>
          <w:sz w:val="22"/>
          <w:szCs w:val="22"/>
        </w:rPr>
        <w:t>Albánsko, Arménsko, Azerbajdžan, Bielorusko, Bosna a Hercegovina, Bulharsko, Čierna Hora, Chorvátsko, Estónsko, Gruzínsko, Kazachstan, Kirgizsko, Litva, Lotyšsko, Bývalá juhoslovanská republika Macedónsko, Maďarsko, Moldavsko, Mongolsko, Poľsko, Rumunsko, Ruská federácia, Slovenská republika, Slovinsko, Srbsko, Tadžikistan, Turkmenistan, Turecko, Ukrajina a Uzbekistan. Česká republika k 31. decembru 2007 ako prvá a doposiaľ jediná krajina z prijímateľských kra</w:t>
      </w:r>
      <w:r w:rsidRPr="00FC167F" w:rsidR="00732076">
        <w:rPr>
          <w:rFonts w:ascii="Times New Roman" w:hAnsi="Times New Roman"/>
          <w:sz w:val="22"/>
          <w:szCs w:val="22"/>
        </w:rPr>
        <w:t>jín graduovala z operácií EBOR.</w:t>
      </w:r>
    </w:p>
  </w:footnote>
  <w:footnote w:id="3">
    <w:p w:rsidP="00FE33EB">
      <w:pPr>
        <w:pStyle w:val="FootnoteText"/>
        <w:bidi w:val="0"/>
        <w:ind w:left="0" w:firstLine="0"/>
        <w:rPr>
          <w:rFonts w:ascii="Times New Roman" w:hAnsi="Times New Roman"/>
        </w:rPr>
      </w:pPr>
      <w:r w:rsidRPr="007F603B" w:rsidR="008462CE">
        <w:rPr>
          <w:rStyle w:val="FootnoteReference"/>
          <w:rFonts w:ascii="Times New Roman" w:hAnsi="Times New Roman"/>
          <w:szCs w:val="24"/>
          <w:shd w:val="clear" w:color="auto" w:fill="auto"/>
        </w:rPr>
        <w:footnoteRef/>
      </w:r>
      <w:r w:rsidR="00FE33EB">
        <w:rPr>
          <w:rFonts w:ascii="Times New Roman" w:hAnsi="Times New Roman"/>
          <w:szCs w:val="24"/>
        </w:rPr>
        <w:t xml:space="preserve">  </w:t>
      </w:r>
      <w:r w:rsidRPr="00FC167F" w:rsidR="008462CE">
        <w:rPr>
          <w:rFonts w:ascii="Times New Roman" w:hAnsi="Times New Roman"/>
          <w:sz w:val="22"/>
          <w:szCs w:val="22"/>
        </w:rPr>
        <w:t xml:space="preserve">Spoločné oznámenie „Partnerstvo pre demokraciu a spoločnú prosperitu s južným Stredozemím“, KOM(2011) 200 z 8. marca 2011. Rozšírenie mandátu EBOR na južných a východných susedov </w:t>
      </w:r>
      <w:r w:rsidRPr="00FC167F" w:rsidR="00FE33EB">
        <w:rPr>
          <w:rFonts w:ascii="Times New Roman" w:hAnsi="Times New Roman"/>
          <w:sz w:val="22"/>
          <w:szCs w:val="22"/>
        </w:rPr>
        <w:t>taktiež</w:t>
      </w:r>
      <w:r w:rsidRPr="00FC167F" w:rsidR="008462CE">
        <w:rPr>
          <w:rFonts w:ascii="Times New Roman" w:hAnsi="Times New Roman"/>
          <w:sz w:val="22"/>
          <w:szCs w:val="22"/>
        </w:rPr>
        <w:t xml:space="preserve"> podporila </w:t>
      </w:r>
      <w:r w:rsidRPr="00FC167F" w:rsidR="00FE33EB">
        <w:rPr>
          <w:rFonts w:ascii="Times New Roman" w:hAnsi="Times New Roman"/>
          <w:sz w:val="22"/>
          <w:szCs w:val="22"/>
        </w:rPr>
        <w:t>Európska k</w:t>
      </w:r>
      <w:r w:rsidRPr="00FC167F" w:rsidR="008462CE">
        <w:rPr>
          <w:rFonts w:ascii="Times New Roman" w:hAnsi="Times New Roman"/>
          <w:sz w:val="22"/>
          <w:szCs w:val="22"/>
        </w:rPr>
        <w:t>omisia a</w:t>
      </w:r>
      <w:r w:rsidRPr="00FC167F" w:rsidR="00FE33EB">
        <w:rPr>
          <w:rFonts w:ascii="Times New Roman" w:hAnsi="Times New Roman"/>
          <w:sz w:val="22"/>
          <w:szCs w:val="22"/>
        </w:rPr>
        <w:t> </w:t>
      </w:r>
      <w:r w:rsidRPr="00FC167F" w:rsidR="008462CE">
        <w:rPr>
          <w:rFonts w:ascii="Times New Roman" w:hAnsi="Times New Roman"/>
          <w:sz w:val="22"/>
          <w:szCs w:val="22"/>
        </w:rPr>
        <w:t>E</w:t>
      </w:r>
      <w:r w:rsidRPr="00FC167F" w:rsidR="00FE33EB">
        <w:rPr>
          <w:rFonts w:ascii="Times New Roman" w:hAnsi="Times New Roman"/>
          <w:sz w:val="22"/>
          <w:szCs w:val="22"/>
        </w:rPr>
        <w:t>urópska služba pre vonkajšiu činnosť</w:t>
      </w:r>
      <w:r w:rsidRPr="00FC167F" w:rsidR="008462CE">
        <w:rPr>
          <w:rFonts w:ascii="Times New Roman" w:hAnsi="Times New Roman"/>
          <w:sz w:val="22"/>
          <w:szCs w:val="22"/>
        </w:rPr>
        <w:t> spoločnom oznámení „Nová reakcia na meniace sa susedstvo“, KOM(2011) 303 z 25. mája 2011.</w:t>
      </w:r>
    </w:p>
  </w:footnote>
  <w:footnote w:id="4">
    <w:p w:rsidP="00CA43BA">
      <w:pPr>
        <w:pStyle w:val="FootnoteText"/>
        <w:bidi w:val="0"/>
        <w:ind w:left="142" w:hanging="142"/>
        <w:rPr>
          <w:rFonts w:ascii="Times New Roman" w:hAnsi="Times New Roman"/>
        </w:rPr>
      </w:pPr>
      <w:r w:rsidR="002F48D0">
        <w:rPr>
          <w:rStyle w:val="FootnoteReference"/>
          <w:rFonts w:ascii="Times New Roman" w:hAnsi="Times New Roman"/>
          <w:shd w:val="clear" w:color="auto" w:fill="auto"/>
        </w:rPr>
        <w:footnoteRef/>
      </w:r>
      <w:r w:rsidR="002F48D0">
        <w:rPr>
          <w:rFonts w:ascii="Times New Roman" w:hAnsi="Times New Roman"/>
        </w:rPr>
        <w:t xml:space="preserve">  </w:t>
      </w:r>
      <w:r w:rsidRPr="00CA43BA" w:rsidR="002F48D0">
        <w:rPr>
          <w:rFonts w:ascii="Times New Roman" w:hAnsi="Times New Roman"/>
          <w:sz w:val="22"/>
          <w:szCs w:val="22"/>
        </w:rPr>
        <w:t>Izrael je tiež členom EBOR, ale neočakáva sa, že sa stane krajinou pôsobnosti EBOR.</w:t>
      </w:r>
    </w:p>
  </w:footnote>
  <w:footnote w:id="5">
    <w:p w:rsidP="00CA43BA">
      <w:pPr>
        <w:bidi w:val="0"/>
        <w:ind w:left="142" w:hanging="142"/>
        <w:rPr>
          <w:rFonts w:ascii="Times New Roman" w:hAnsi="Times New Roman"/>
        </w:rPr>
      </w:pPr>
      <w:r w:rsidRPr="00CA43BA" w:rsidR="00EB4F21">
        <w:rPr>
          <w:rStyle w:val="FootnoteReference"/>
          <w:rFonts w:ascii="Times New Roman" w:hAnsi="Times New Roman"/>
          <w:sz w:val="22"/>
          <w:szCs w:val="22"/>
          <w:shd w:val="clear" w:color="auto" w:fill="auto"/>
        </w:rPr>
        <w:footnoteRef/>
      </w:r>
      <w:r w:rsidRPr="00CA43BA" w:rsidR="00EB4F21">
        <w:rPr>
          <w:rFonts w:ascii="Times New Roman" w:hAnsi="Times New Roman"/>
          <w:sz w:val="22"/>
          <w:szCs w:val="22"/>
        </w:rPr>
        <w:t xml:space="preserve">  Guvernérom EBOR </w:t>
      </w:r>
      <w:r w:rsidRPr="00CA43BA" w:rsidR="00CA43BA">
        <w:rPr>
          <w:rFonts w:ascii="Times New Roman" w:hAnsi="Times New Roman"/>
          <w:sz w:val="22"/>
          <w:szCs w:val="22"/>
        </w:rPr>
        <w:t xml:space="preserve">za Slovenskú republiku bol v tom čase podľa uznesenia vlády SR č. 506 z </w:t>
      </w:r>
      <w:r w:rsidR="00CA43BA">
        <w:rPr>
          <w:rFonts w:ascii="Times New Roman" w:hAnsi="Times New Roman"/>
          <w:sz w:val="22"/>
          <w:szCs w:val="22"/>
        </w:rPr>
        <w:t xml:space="preserve">      </w:t>
      </w:r>
      <w:r w:rsidRPr="00CA43BA" w:rsidR="00CA43BA">
        <w:rPr>
          <w:rFonts w:ascii="Times New Roman" w:hAnsi="Times New Roman"/>
          <w:sz w:val="22"/>
          <w:szCs w:val="22"/>
        </w:rPr>
        <w:t xml:space="preserve">28. júla 2010 podpredseda vlády a minister financií SR Ivan Mikloš. Na základe uznesenia vlády SR </w:t>
      </w:r>
      <w:r w:rsidRPr="006C597A" w:rsidR="00CA43BA">
        <w:rPr>
          <w:rFonts w:ascii="Times New Roman" w:hAnsi="Times New Roman"/>
          <w:sz w:val="22"/>
          <w:szCs w:val="22"/>
        </w:rPr>
        <w:t xml:space="preserve">č. </w:t>
      </w:r>
      <w:r w:rsidRPr="006C597A" w:rsidR="006C597A">
        <w:rPr>
          <w:rFonts w:ascii="Times New Roman" w:hAnsi="Times New Roman"/>
          <w:sz w:val="22"/>
          <w:szCs w:val="22"/>
        </w:rPr>
        <w:t>129</w:t>
      </w:r>
      <w:r w:rsidRPr="00CA43BA" w:rsidR="00CA43BA">
        <w:rPr>
          <w:rFonts w:ascii="Times New Roman" w:hAnsi="Times New Roman"/>
          <w:sz w:val="22"/>
          <w:szCs w:val="22"/>
        </w:rPr>
        <w:t xml:space="preserve"> z 18. apríla 2012 je </w:t>
      </w:r>
      <w:r w:rsidR="00CA43BA">
        <w:rPr>
          <w:rFonts w:ascii="Times New Roman" w:hAnsi="Times New Roman"/>
          <w:sz w:val="22"/>
          <w:szCs w:val="22"/>
        </w:rPr>
        <w:t>v súčasnosti</w:t>
      </w:r>
      <w:r w:rsidRPr="00CA43BA" w:rsidR="00CA43BA">
        <w:rPr>
          <w:rFonts w:ascii="Times New Roman" w:hAnsi="Times New Roman"/>
          <w:sz w:val="22"/>
          <w:szCs w:val="22"/>
        </w:rPr>
        <w:t xml:space="preserve"> guvernérom EBOR za Slovenskú republiku podpredseda vlády a minister financií SR Peter Kažimír.</w:t>
      </w:r>
    </w:p>
  </w:footnote>
  <w:footnote w:id="6">
    <w:p>
      <w:pPr>
        <w:pStyle w:val="FootnoteText"/>
        <w:bidi w:val="0"/>
        <w:rPr>
          <w:rFonts w:ascii="Times New Roman" w:hAnsi="Times New Roman"/>
        </w:rPr>
      </w:pPr>
      <w:r w:rsidR="00EF506C">
        <w:rPr>
          <w:rStyle w:val="FootnoteReference"/>
          <w:rFonts w:ascii="Times New Roman" w:hAnsi="Times New Roman"/>
          <w:shd w:val="clear" w:color="auto" w:fill="auto"/>
        </w:rPr>
        <w:footnoteRef/>
      </w:r>
      <w:r w:rsidR="00EF506C">
        <w:rPr>
          <w:rFonts w:ascii="Times New Roman" w:hAnsi="Times New Roman"/>
        </w:rPr>
        <w:t xml:space="preserve">   </w:t>
      </w:r>
      <w:r w:rsidRPr="004B6D66" w:rsidR="00EF506C">
        <w:rPr>
          <w:rFonts w:ascii="Times New Roman" w:hAnsi="Times New Roman"/>
          <w:sz w:val="22"/>
          <w:szCs w:val="22"/>
        </w:rPr>
        <w:t>Ich zriadenie je v súlade s čl. 20 (1) (viii) Dohody o založení EBOR.</w:t>
      </w:r>
    </w:p>
  </w:footnote>
  <w:footnote w:id="7">
    <w:p w:rsidP="00EB4F21">
      <w:pPr>
        <w:bidi w:val="0"/>
        <w:rPr>
          <w:rFonts w:ascii="Times New Roman" w:hAnsi="Times New Roman"/>
        </w:rPr>
      </w:pPr>
      <w:r w:rsidRPr="00EB4F21" w:rsidR="009213A5">
        <w:rPr>
          <w:rStyle w:val="FootnoteReference"/>
          <w:rFonts w:ascii="Arial Narrow" w:hAnsi="Arial Narrow"/>
          <w:sz w:val="20"/>
          <w:szCs w:val="20"/>
          <w:shd w:val="clear" w:color="auto" w:fill="auto"/>
        </w:rPr>
        <w:footnoteRef/>
      </w:r>
      <w:r w:rsidRPr="00EB4F21" w:rsidR="009213A5">
        <w:rPr>
          <w:rFonts w:ascii="Arial Narrow" w:hAnsi="Arial Narrow"/>
          <w:sz w:val="20"/>
          <w:szCs w:val="20"/>
        </w:rPr>
        <w:t xml:space="preserve">    </w:t>
      </w:r>
      <w:hyperlink r:id="rId1" w:history="1">
        <w:r w:rsidRPr="00FC167F" w:rsidR="009213A5">
          <w:rPr>
            <w:rStyle w:val="Hyperlink"/>
            <w:rFonts w:ascii="Times New Roman" w:hAnsi="Times New Roman"/>
            <w:sz w:val="22"/>
            <w:szCs w:val="22"/>
          </w:rPr>
          <w:t>http://www.ebrd.com/pages/research/publications/institutional/basicdocs.shtml</w:t>
        </w:r>
      </w:hyperlink>
      <w:r w:rsidRPr="00FC167F" w:rsidR="009213A5">
        <w:rPr>
          <w:rFonts w:ascii="Times New Roman" w:hAnsi="Times New Roman"/>
          <w:sz w:val="22"/>
          <w:szCs w:val="22"/>
        </w:rPr>
        <w:t xml:space="preserve"> </w:t>
      </w:r>
    </w:p>
  </w:footnote>
  <w:footnote w:id="8">
    <w:p w:rsidP="00C428A9">
      <w:pPr>
        <w:pStyle w:val="NoSpacing"/>
        <w:bidi w:val="0"/>
        <w:rPr>
          <w:rFonts w:ascii="Times New Roman" w:hAnsi="Times New Roman"/>
        </w:rPr>
      </w:pPr>
      <w:r w:rsidR="00C428A9">
        <w:rPr>
          <w:rStyle w:val="FootnoteReference"/>
          <w:rFonts w:ascii="Times New Roman" w:hAnsi="Times New Roman"/>
          <w:shd w:val="clear" w:color="auto" w:fill="auto"/>
        </w:rPr>
        <w:footnoteRef/>
      </w:r>
      <w:r w:rsidR="00C428A9">
        <w:rPr>
          <w:rFonts w:ascii="Times New Roman" w:hAnsi="Times New Roman"/>
        </w:rPr>
        <w:t xml:space="preserve"> </w:t>
      </w:r>
      <w:r w:rsidRPr="00C428A9" w:rsidR="00C428A9">
        <w:rPr>
          <w:rFonts w:ascii="Times New Roman" w:hAnsi="Times New Roman"/>
          <w:sz w:val="22"/>
          <w:szCs w:val="22"/>
        </w:rPr>
        <w:t>Fond bol vytvorený 3. júla 2009 na základe prvej bilaterálnej dohody s EBOR  schválenej uznesením vlády S</w:t>
      </w:r>
      <w:r w:rsidR="00C428A9">
        <w:rPr>
          <w:rFonts w:ascii="Times New Roman" w:hAnsi="Times New Roman"/>
          <w:sz w:val="22"/>
          <w:szCs w:val="22"/>
        </w:rPr>
        <w:t>R</w:t>
      </w:r>
      <w:r w:rsidRPr="00C428A9" w:rsidR="00C428A9">
        <w:rPr>
          <w:rFonts w:ascii="Times New Roman" w:hAnsi="Times New Roman"/>
          <w:sz w:val="22"/>
          <w:szCs w:val="22"/>
        </w:rPr>
        <w:t xml:space="preserve"> č. 358 z 13. mája 2009. Dodatok č. 2 k dohode, ktorým sa rozširujú prijímatelia o krajiny južného a východného Stredozemia bol schválený uznesením vlády SR č. 758 z</w:t>
      </w:r>
      <w:r w:rsidR="00A91860">
        <w:rPr>
          <w:rFonts w:ascii="Times New Roman" w:hAnsi="Times New Roman"/>
          <w:sz w:val="22"/>
          <w:szCs w:val="22"/>
        </w:rPr>
        <w:t xml:space="preserve"> </w:t>
      </w:r>
      <w:r w:rsidRPr="00C428A9" w:rsidR="00C428A9">
        <w:rPr>
          <w:rFonts w:ascii="Times New Roman" w:hAnsi="Times New Roman"/>
          <w:sz w:val="22"/>
          <w:szCs w:val="22"/>
        </w:rPr>
        <w:t>30. novembra 2011.</w:t>
      </w:r>
      <w:r w:rsidR="00C428A9">
        <w:rPr>
          <w:rFonts w:ascii="Times New Roman" w:hAnsi="Times New Roman"/>
          <w:sz w:val="22"/>
          <w:szCs w:val="22"/>
        </w:rPr>
        <w:t xml:space="preserve"> Do fondu bol SR prostredníctvom Ministerstva financií SR poskytnutý príspevok v celkovej výške 2,625 mil. EUR.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341"/>
    <w:multiLevelType w:val="hybridMultilevel"/>
    <w:tmpl w:val="A8C4EB66"/>
    <w:lvl w:ilvl="0">
      <w:start w:val="1"/>
      <w:numFmt w:val="lowerRoman"/>
      <w:lvlText w:val="(%1)"/>
      <w:lvlJc w:val="left"/>
      <w:pPr>
        <w:ind w:left="1080" w:hanging="720"/>
      </w:pPr>
      <w:rPr>
        <w:rFonts w:cs="Times New Roman" w:hint="default"/>
        <w:b w:val="0"/>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9515F44"/>
    <w:multiLevelType w:val="hybridMultilevel"/>
    <w:tmpl w:val="9B5CB666"/>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
    <w:nsid w:val="1B8F6484"/>
    <w:multiLevelType w:val="hybridMultilevel"/>
    <w:tmpl w:val="4E72F1D4"/>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942051D"/>
    <w:multiLevelType w:val="hybridMultilevel"/>
    <w:tmpl w:val="9FC613F4"/>
    <w:lvl w:ilvl="0">
      <w:start w:val="1"/>
      <w:numFmt w:val="decimal"/>
      <w:lvlText w:val="%1."/>
      <w:lvlJc w:val="left"/>
      <w:pPr>
        <w:ind w:left="720" w:hanging="360"/>
      </w:pPr>
      <w:rPr>
        <w:rFonts w:ascii="Arial Narrow" w:eastAsia="Times New Roman" w:hAnsi="Arial Narrow"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A742EFD"/>
    <w:multiLevelType w:val="hybridMultilevel"/>
    <w:tmpl w:val="933C0E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BA736C9"/>
    <w:multiLevelType w:val="singleLevel"/>
    <w:tmpl w:val="F00A6C0C"/>
    <w:name w:val="0,7010423"/>
    <w:lvl w:ilvl="0">
      <w:start w:val="1"/>
      <w:numFmt w:val="bullet"/>
      <w:pStyle w:val="Tiret0"/>
      <w:lvlText w:val="–"/>
      <w:lvlJc w:val="left"/>
      <w:pPr>
        <w:tabs>
          <w:tab w:val="num" w:pos="850"/>
        </w:tabs>
        <w:ind w:left="850" w:hanging="850"/>
      </w:pPr>
    </w:lvl>
  </w:abstractNum>
  <w:abstractNum w:abstractNumId="6">
    <w:nsid w:val="410C380B"/>
    <w:multiLevelType w:val="multilevel"/>
    <w:tmpl w:val="F0CED8F6"/>
    <w:name w:val="Point"/>
    <w:lvl w:ilvl="0">
      <w:start w:val="1"/>
      <w:numFmt w:val="decimal"/>
      <w:pStyle w:val="Point0number"/>
      <w:lvlText w:val="(%1)"/>
      <w:lvlJc w:val="left"/>
      <w:pPr>
        <w:tabs>
          <w:tab w:val="num" w:pos="850"/>
        </w:tabs>
        <w:ind w:left="850" w:hanging="850"/>
      </w:pPr>
      <w:rPr>
        <w:rFonts w:cs="Times New Roman"/>
        <w:rtl w:val="0"/>
        <w:cs w:val="0"/>
      </w:rPr>
    </w:lvl>
    <w:lvl w:ilvl="1">
      <w:start w:val="1"/>
      <w:numFmt w:val="lowerLetter"/>
      <w:pStyle w:val="Point0letter"/>
      <w:lvlText w:val="(%2)"/>
      <w:lvlJc w:val="left"/>
      <w:pPr>
        <w:tabs>
          <w:tab w:val="num" w:pos="850"/>
        </w:tabs>
        <w:ind w:left="850" w:hanging="850"/>
      </w:pPr>
      <w:rPr>
        <w:rFonts w:cs="Times New Roman"/>
        <w:rtl w:val="0"/>
        <w:cs w:val="0"/>
      </w:rPr>
    </w:lvl>
    <w:lvl w:ilvl="2">
      <w:start w:val="1"/>
      <w:numFmt w:val="decimal"/>
      <w:pStyle w:val="Point1number"/>
      <w:lvlText w:val="(%3)"/>
      <w:lvlJc w:val="left"/>
      <w:pPr>
        <w:tabs>
          <w:tab w:val="num" w:pos="1417"/>
        </w:tabs>
        <w:ind w:left="1417" w:hanging="567"/>
      </w:pPr>
      <w:rPr>
        <w:rFonts w:cs="Times New Roman"/>
        <w:rtl w:val="0"/>
        <w:cs w:val="0"/>
      </w:rPr>
    </w:lvl>
    <w:lvl w:ilvl="3">
      <w:start w:val="1"/>
      <w:numFmt w:val="lowerLetter"/>
      <w:pStyle w:val="Point1letter"/>
      <w:lvlText w:val="(%4)"/>
      <w:lvlJc w:val="left"/>
      <w:pPr>
        <w:tabs>
          <w:tab w:val="num" w:pos="1417"/>
        </w:tabs>
        <w:ind w:left="1417" w:hanging="567"/>
      </w:pPr>
      <w:rPr>
        <w:rFonts w:cs="Times New Roman"/>
        <w:rtl w:val="0"/>
        <w:cs w:val="0"/>
      </w:rPr>
    </w:lvl>
    <w:lvl w:ilvl="4">
      <w:start w:val="1"/>
      <w:numFmt w:val="decimal"/>
      <w:pStyle w:val="Point2number"/>
      <w:lvlText w:val="(%5)"/>
      <w:lvlJc w:val="left"/>
      <w:pPr>
        <w:tabs>
          <w:tab w:val="num" w:pos="1984"/>
        </w:tabs>
        <w:ind w:left="1984" w:hanging="567"/>
      </w:pPr>
      <w:rPr>
        <w:rFonts w:cs="Times New Roman"/>
        <w:rtl w:val="0"/>
        <w:cs w:val="0"/>
      </w:rPr>
    </w:lvl>
    <w:lvl w:ilvl="5">
      <w:start w:val="1"/>
      <w:numFmt w:val="lowerLetter"/>
      <w:pStyle w:val="Point2letter"/>
      <w:lvlText w:val="(%6)"/>
      <w:lvlJc w:val="left"/>
      <w:pPr>
        <w:tabs>
          <w:tab w:val="num" w:pos="1984"/>
        </w:tabs>
        <w:ind w:left="1984" w:hanging="567"/>
      </w:pPr>
      <w:rPr>
        <w:rFonts w:cs="Times New Roman"/>
        <w:rtl w:val="0"/>
        <w:cs w:val="0"/>
      </w:rPr>
    </w:lvl>
    <w:lvl w:ilvl="6">
      <w:start w:val="1"/>
      <w:numFmt w:val="decimal"/>
      <w:pStyle w:val="Point3number"/>
      <w:lvlText w:val="(%7)"/>
      <w:lvlJc w:val="left"/>
      <w:pPr>
        <w:tabs>
          <w:tab w:val="num" w:pos="2551"/>
        </w:tabs>
        <w:ind w:left="2551" w:hanging="567"/>
      </w:pPr>
      <w:rPr>
        <w:rFonts w:cs="Times New Roman"/>
        <w:rtl w:val="0"/>
        <w:cs w:val="0"/>
      </w:rPr>
    </w:lvl>
    <w:lvl w:ilvl="7">
      <w:start w:val="1"/>
      <w:numFmt w:val="lowerLetter"/>
      <w:pStyle w:val="Point3letter"/>
      <w:lvlText w:val="(%8)"/>
      <w:lvlJc w:val="left"/>
      <w:pPr>
        <w:tabs>
          <w:tab w:val="num" w:pos="2551"/>
        </w:tabs>
        <w:ind w:left="2551" w:hanging="567"/>
      </w:pPr>
      <w:rPr>
        <w:rFonts w:cs="Times New Roman"/>
        <w:rtl w:val="0"/>
        <w:cs w:val="0"/>
      </w:rPr>
    </w:lvl>
    <w:lvl w:ilvl="8">
      <w:start w:val="1"/>
      <w:numFmt w:val="lowerLetter"/>
      <w:pStyle w:val="Point4letter"/>
      <w:lvlText w:val="(%9)"/>
      <w:lvlJc w:val="left"/>
      <w:pPr>
        <w:tabs>
          <w:tab w:val="num" w:pos="3118"/>
        </w:tabs>
        <w:ind w:left="3118" w:hanging="567"/>
      </w:pPr>
      <w:rPr>
        <w:rFonts w:cs="Times New Roman"/>
        <w:rtl w:val="0"/>
        <w:cs w:val="0"/>
      </w:rPr>
    </w:lvl>
  </w:abstractNum>
  <w:abstractNum w:abstractNumId="7">
    <w:nsid w:val="55C111BD"/>
    <w:multiLevelType w:val="hybridMultilevel"/>
    <w:tmpl w:val="3834A9C8"/>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32670CF"/>
    <w:multiLevelType w:val="hybridMultilevel"/>
    <w:tmpl w:val="001A5A00"/>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9995580"/>
    <w:multiLevelType w:val="singleLevel"/>
    <w:tmpl w:val="75CC7CBA"/>
    <w:name w:val="0,5237241"/>
    <w:lvl w:ilvl="0">
      <w:start w:val="1"/>
      <w:numFmt w:val="decimal"/>
      <w:pStyle w:val="Considrant"/>
      <w:lvlText w:val="(%1)"/>
      <w:lvlJc w:val="left"/>
      <w:pPr>
        <w:tabs>
          <w:tab w:val="num" w:pos="709"/>
        </w:tabs>
        <w:ind w:left="709" w:hanging="709"/>
      </w:pPr>
      <w:rPr>
        <w:rFonts w:cs="Times New Roman"/>
        <w:rtl w:val="0"/>
        <w:cs w:val="0"/>
      </w:rPr>
    </w:lvl>
  </w:abstractNum>
  <w:num w:numId="1">
    <w:abstractNumId w:val="5"/>
  </w:num>
  <w:num w:numId="2">
    <w:abstractNumId w:val="9"/>
  </w:num>
  <w:num w:numId="3">
    <w:abstractNumId w:val="6"/>
  </w:num>
  <w:num w:numId="4">
    <w:abstractNumId w:val="4"/>
  </w:num>
  <w:num w:numId="5">
    <w:abstractNumId w:val="7"/>
  </w:num>
  <w:num w:numId="6">
    <w:abstractNumId w:val="2"/>
  </w:num>
  <w:num w:numId="7">
    <w:abstractNumId w:val="3"/>
  </w:num>
  <w:num w:numId="8">
    <w:abstractNumId w:val="8"/>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rsids>
    <w:rsidRoot w:val="008462CE"/>
    <w:rsid w:val="000024D0"/>
    <w:rsid w:val="00006BF2"/>
    <w:rsid w:val="00013183"/>
    <w:rsid w:val="000350E8"/>
    <w:rsid w:val="000559D2"/>
    <w:rsid w:val="00094F21"/>
    <w:rsid w:val="000A3633"/>
    <w:rsid w:val="000A74F1"/>
    <w:rsid w:val="000B3802"/>
    <w:rsid w:val="000B65B4"/>
    <w:rsid w:val="000D7FBD"/>
    <w:rsid w:val="00103B23"/>
    <w:rsid w:val="00117905"/>
    <w:rsid w:val="001B33BC"/>
    <w:rsid w:val="001C658C"/>
    <w:rsid w:val="001D1BA5"/>
    <w:rsid w:val="00273084"/>
    <w:rsid w:val="00280AE8"/>
    <w:rsid w:val="002C4F9B"/>
    <w:rsid w:val="002D121E"/>
    <w:rsid w:val="002F48D0"/>
    <w:rsid w:val="003015E3"/>
    <w:rsid w:val="0033090B"/>
    <w:rsid w:val="00342898"/>
    <w:rsid w:val="004301D2"/>
    <w:rsid w:val="00470DD1"/>
    <w:rsid w:val="004874F6"/>
    <w:rsid w:val="004B6D66"/>
    <w:rsid w:val="004C61FB"/>
    <w:rsid w:val="004E7ABD"/>
    <w:rsid w:val="00500E0A"/>
    <w:rsid w:val="005231C9"/>
    <w:rsid w:val="006118BB"/>
    <w:rsid w:val="00650ED1"/>
    <w:rsid w:val="0065402F"/>
    <w:rsid w:val="006C597A"/>
    <w:rsid w:val="006F0310"/>
    <w:rsid w:val="00703154"/>
    <w:rsid w:val="00732076"/>
    <w:rsid w:val="0075354B"/>
    <w:rsid w:val="007F603B"/>
    <w:rsid w:val="00834845"/>
    <w:rsid w:val="008462CE"/>
    <w:rsid w:val="00867246"/>
    <w:rsid w:val="0088242F"/>
    <w:rsid w:val="0088648F"/>
    <w:rsid w:val="008D3F68"/>
    <w:rsid w:val="008F0682"/>
    <w:rsid w:val="00903579"/>
    <w:rsid w:val="0090613C"/>
    <w:rsid w:val="009213A5"/>
    <w:rsid w:val="00934147"/>
    <w:rsid w:val="009E2D46"/>
    <w:rsid w:val="009E3A2C"/>
    <w:rsid w:val="00A17AF2"/>
    <w:rsid w:val="00A8025E"/>
    <w:rsid w:val="00A91860"/>
    <w:rsid w:val="00AC42D6"/>
    <w:rsid w:val="00C13764"/>
    <w:rsid w:val="00C428A9"/>
    <w:rsid w:val="00CA43BA"/>
    <w:rsid w:val="00CA4C49"/>
    <w:rsid w:val="00D164E8"/>
    <w:rsid w:val="00D3362A"/>
    <w:rsid w:val="00D82BD4"/>
    <w:rsid w:val="00DC1F53"/>
    <w:rsid w:val="00DE68B4"/>
    <w:rsid w:val="00E53279"/>
    <w:rsid w:val="00E53C0B"/>
    <w:rsid w:val="00EA66D6"/>
    <w:rsid w:val="00EB4F21"/>
    <w:rsid w:val="00EF506C"/>
    <w:rsid w:val="00F003BE"/>
    <w:rsid w:val="00F16BCA"/>
    <w:rsid w:val="00FB4A63"/>
    <w:rsid w:val="00FC167F"/>
    <w:rsid w:val="00FE33E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CE"/>
    <w:pPr>
      <w:framePr w:wrap="auto"/>
      <w:widowControl/>
      <w:autoSpaceDE/>
      <w:autoSpaceDN/>
      <w:adjustRightInd/>
      <w:spacing w:before="120" w:after="120"/>
      <w:ind w:left="0" w:right="0"/>
      <w:jc w:val="both"/>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rsid w:val="008462CE"/>
    <w:pPr>
      <w:tabs>
        <w:tab w:val="center" w:pos="4535"/>
        <w:tab w:val="right" w:pos="9071"/>
      </w:tabs>
      <w:jc w:val="both"/>
    </w:pPr>
    <w:rPr>
      <w:lang w:eastAsia="en-US"/>
    </w:rPr>
  </w:style>
  <w:style w:type="character" w:customStyle="1" w:styleId="HlavikaChar">
    <w:name w:val="Hlavička Char"/>
    <w:basedOn w:val="DefaultParagraphFont"/>
    <w:link w:val="Header"/>
    <w:uiPriority w:val="99"/>
    <w:locked/>
    <w:rsid w:val="008462CE"/>
    <w:rPr>
      <w:rFonts w:ascii="Times New Roman" w:hAnsi="Times New Roman" w:cs="Times New Roman"/>
      <w:sz w:val="24"/>
      <w:szCs w:val="24"/>
      <w:rtl w:val="0"/>
      <w:cs w:val="0"/>
    </w:rPr>
  </w:style>
  <w:style w:type="paragraph" w:styleId="Footer">
    <w:name w:val="footer"/>
    <w:basedOn w:val="Normal"/>
    <w:link w:val="PtaChar"/>
    <w:uiPriority w:val="99"/>
    <w:rsid w:val="008462CE"/>
    <w:pPr>
      <w:tabs>
        <w:tab w:val="center" w:pos="4535"/>
        <w:tab w:val="right" w:pos="9071"/>
        <w:tab w:val="right" w:pos="9921"/>
      </w:tabs>
      <w:spacing w:before="360" w:after="0"/>
      <w:ind w:left="-850" w:right="-850"/>
      <w:jc w:val="left"/>
    </w:pPr>
  </w:style>
  <w:style w:type="character" w:customStyle="1" w:styleId="PtaChar">
    <w:name w:val="Päta Char"/>
    <w:basedOn w:val="DefaultParagraphFont"/>
    <w:link w:val="Footer"/>
    <w:uiPriority w:val="99"/>
    <w:locked/>
    <w:rsid w:val="008462CE"/>
    <w:rPr>
      <w:rFonts w:ascii="Times New Roman" w:hAnsi="Times New Roman" w:cs="Times New Roman"/>
      <w:sz w:val="24"/>
      <w:szCs w:val="24"/>
      <w:rtl w:val="0"/>
      <w:cs w:val="0"/>
      <w:lang w:val="x-none" w:eastAsia="sk-SK"/>
    </w:rPr>
  </w:style>
  <w:style w:type="paragraph" w:styleId="FootnoteText">
    <w:name w:val="footnote text"/>
    <w:basedOn w:val="Normal"/>
    <w:link w:val="TextpoznmkypodiarouChar"/>
    <w:uiPriority w:val="99"/>
    <w:semiHidden/>
    <w:rsid w:val="008462CE"/>
    <w:pPr>
      <w:spacing w:before="0" w:after="0"/>
      <w:ind w:left="720" w:hanging="720"/>
      <w:jc w:val="both"/>
    </w:pPr>
    <w:rPr>
      <w:sz w:val="20"/>
      <w:szCs w:val="20"/>
    </w:rPr>
  </w:style>
  <w:style w:type="character" w:customStyle="1" w:styleId="TextpoznmkypodiarouChar">
    <w:name w:val="Text poznámky pod čiarou Char"/>
    <w:basedOn w:val="DefaultParagraphFont"/>
    <w:link w:val="FootnoteText"/>
    <w:uiPriority w:val="99"/>
    <w:semiHidden/>
    <w:locked/>
    <w:rsid w:val="008462CE"/>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rsid w:val="008462CE"/>
    <w:rPr>
      <w:rFonts w:cs="Times New Roman"/>
      <w:shd w:val="clear" w:color="auto" w:fill="auto"/>
      <w:vertAlign w:val="superscript"/>
      <w:rtl w:val="0"/>
      <w:cs w:val="0"/>
    </w:rPr>
  </w:style>
  <w:style w:type="paragraph" w:customStyle="1" w:styleId="NormalCentered">
    <w:name w:val="Normal Centered"/>
    <w:basedOn w:val="Normal"/>
    <w:rsid w:val="008462CE"/>
    <w:pPr>
      <w:jc w:val="center"/>
    </w:pPr>
  </w:style>
  <w:style w:type="paragraph" w:customStyle="1" w:styleId="Tiret0">
    <w:name w:val="Tiret 0"/>
    <w:basedOn w:val="Normal"/>
    <w:rsid w:val="008462CE"/>
    <w:pPr>
      <w:numPr>
        <w:numId w:val="1"/>
      </w:numPr>
      <w:tabs>
        <w:tab w:val="num" w:pos="850"/>
      </w:tabs>
      <w:ind w:left="850" w:hanging="850"/>
      <w:jc w:val="both"/>
    </w:pPr>
  </w:style>
  <w:style w:type="paragraph" w:customStyle="1" w:styleId="ManualHeading1">
    <w:name w:val="Manual Heading 1"/>
    <w:basedOn w:val="Normal"/>
    <w:next w:val="Normal"/>
    <w:rsid w:val="008462CE"/>
    <w:pPr>
      <w:keepNext/>
      <w:tabs>
        <w:tab w:val="left" w:pos="850"/>
      </w:tabs>
      <w:spacing w:before="360"/>
      <w:ind w:left="850" w:hanging="850"/>
      <w:jc w:val="both"/>
      <w:outlineLvl w:val="0"/>
    </w:pPr>
    <w:rPr>
      <w:b/>
      <w:smallCaps/>
    </w:rPr>
  </w:style>
  <w:style w:type="paragraph" w:customStyle="1" w:styleId="Point0number">
    <w:name w:val="Point 0 (number)"/>
    <w:basedOn w:val="Normal"/>
    <w:rsid w:val="008462CE"/>
    <w:pPr>
      <w:numPr>
        <w:numId w:val="3"/>
      </w:numPr>
      <w:tabs>
        <w:tab w:val="num" w:pos="850"/>
      </w:tabs>
      <w:ind w:left="850" w:hanging="850"/>
      <w:jc w:val="both"/>
    </w:pPr>
    <w:rPr>
      <w:lang w:eastAsia="en-US"/>
    </w:rPr>
  </w:style>
  <w:style w:type="paragraph" w:customStyle="1" w:styleId="Point1number">
    <w:name w:val="Point 1 (number)"/>
    <w:basedOn w:val="Normal"/>
    <w:rsid w:val="008462CE"/>
    <w:pPr>
      <w:numPr>
        <w:ilvl w:val="2"/>
        <w:numId w:val="3"/>
      </w:numPr>
      <w:tabs>
        <w:tab w:val="num" w:pos="1417"/>
      </w:tabs>
      <w:ind w:left="1417" w:hanging="567"/>
      <w:jc w:val="both"/>
    </w:pPr>
    <w:rPr>
      <w:lang w:eastAsia="en-US"/>
    </w:rPr>
  </w:style>
  <w:style w:type="paragraph" w:customStyle="1" w:styleId="Point2number">
    <w:name w:val="Point 2 (number)"/>
    <w:basedOn w:val="Normal"/>
    <w:rsid w:val="008462CE"/>
    <w:pPr>
      <w:numPr>
        <w:ilvl w:val="4"/>
        <w:numId w:val="3"/>
      </w:numPr>
      <w:tabs>
        <w:tab w:val="num" w:pos="1984"/>
      </w:tabs>
      <w:ind w:left="1984" w:hanging="567"/>
      <w:jc w:val="both"/>
    </w:pPr>
    <w:rPr>
      <w:lang w:eastAsia="en-US"/>
    </w:rPr>
  </w:style>
  <w:style w:type="paragraph" w:customStyle="1" w:styleId="Point3number">
    <w:name w:val="Point 3 (number)"/>
    <w:basedOn w:val="Normal"/>
    <w:rsid w:val="008462CE"/>
    <w:pPr>
      <w:numPr>
        <w:ilvl w:val="6"/>
        <w:numId w:val="3"/>
      </w:numPr>
      <w:tabs>
        <w:tab w:val="num" w:pos="2551"/>
      </w:tabs>
      <w:ind w:left="2551" w:hanging="567"/>
      <w:jc w:val="both"/>
    </w:pPr>
    <w:rPr>
      <w:lang w:eastAsia="en-US"/>
    </w:rPr>
  </w:style>
  <w:style w:type="paragraph" w:customStyle="1" w:styleId="Point0letter">
    <w:name w:val="Point 0 (letter)"/>
    <w:basedOn w:val="Normal"/>
    <w:rsid w:val="008462CE"/>
    <w:pPr>
      <w:numPr>
        <w:ilvl w:val="1"/>
        <w:numId w:val="3"/>
      </w:numPr>
      <w:tabs>
        <w:tab w:val="num" w:pos="850"/>
      </w:tabs>
      <w:ind w:left="850" w:hanging="850"/>
      <w:jc w:val="both"/>
    </w:pPr>
    <w:rPr>
      <w:lang w:eastAsia="en-US"/>
    </w:rPr>
  </w:style>
  <w:style w:type="paragraph" w:customStyle="1" w:styleId="Point1letter">
    <w:name w:val="Point 1 (letter)"/>
    <w:basedOn w:val="Normal"/>
    <w:rsid w:val="008462CE"/>
    <w:pPr>
      <w:numPr>
        <w:ilvl w:val="3"/>
        <w:numId w:val="3"/>
      </w:numPr>
      <w:tabs>
        <w:tab w:val="num" w:pos="1417"/>
      </w:tabs>
      <w:ind w:left="1417" w:hanging="567"/>
      <w:jc w:val="both"/>
    </w:pPr>
    <w:rPr>
      <w:lang w:eastAsia="en-US"/>
    </w:rPr>
  </w:style>
  <w:style w:type="paragraph" w:customStyle="1" w:styleId="Point2letter">
    <w:name w:val="Point 2 (letter)"/>
    <w:basedOn w:val="Normal"/>
    <w:rsid w:val="008462CE"/>
    <w:pPr>
      <w:numPr>
        <w:ilvl w:val="5"/>
        <w:numId w:val="3"/>
      </w:numPr>
      <w:tabs>
        <w:tab w:val="num" w:pos="1984"/>
      </w:tabs>
      <w:ind w:left="1984" w:hanging="567"/>
      <w:jc w:val="both"/>
    </w:pPr>
    <w:rPr>
      <w:lang w:eastAsia="en-US"/>
    </w:rPr>
  </w:style>
  <w:style w:type="paragraph" w:customStyle="1" w:styleId="Point3letter">
    <w:name w:val="Point 3 (letter)"/>
    <w:basedOn w:val="Normal"/>
    <w:rsid w:val="008462CE"/>
    <w:pPr>
      <w:numPr>
        <w:ilvl w:val="7"/>
        <w:numId w:val="3"/>
      </w:numPr>
      <w:tabs>
        <w:tab w:val="num" w:pos="2551"/>
      </w:tabs>
      <w:ind w:left="2551" w:hanging="567"/>
      <w:jc w:val="both"/>
    </w:pPr>
    <w:rPr>
      <w:lang w:eastAsia="en-US"/>
    </w:rPr>
  </w:style>
  <w:style w:type="paragraph" w:customStyle="1" w:styleId="Point4letter">
    <w:name w:val="Point 4 (letter)"/>
    <w:basedOn w:val="Normal"/>
    <w:rsid w:val="008462CE"/>
    <w:pPr>
      <w:numPr>
        <w:ilvl w:val="8"/>
        <w:numId w:val="3"/>
      </w:numPr>
      <w:tabs>
        <w:tab w:val="num" w:pos="3118"/>
      </w:tabs>
      <w:ind w:left="3118" w:hanging="567"/>
      <w:jc w:val="both"/>
    </w:pPr>
    <w:rPr>
      <w:lang w:eastAsia="en-US"/>
    </w:rPr>
  </w:style>
  <w:style w:type="paragraph" w:customStyle="1" w:styleId="Annexetitre">
    <w:name w:val="Annexe titre"/>
    <w:basedOn w:val="Normal"/>
    <w:next w:val="Normal"/>
    <w:rsid w:val="008462CE"/>
    <w:pPr>
      <w:jc w:val="center"/>
    </w:pPr>
    <w:rPr>
      <w:b/>
      <w:u w:val="single"/>
    </w:rPr>
  </w:style>
  <w:style w:type="paragraph" w:customStyle="1" w:styleId="Fait">
    <w:name w:val="Fait à"/>
    <w:basedOn w:val="Normal"/>
    <w:next w:val="Institutionquisigne"/>
    <w:rsid w:val="008462CE"/>
    <w:pPr>
      <w:keepNext/>
      <w:spacing w:after="0"/>
      <w:jc w:val="both"/>
    </w:pPr>
  </w:style>
  <w:style w:type="paragraph" w:customStyle="1" w:styleId="Institutionquisigne">
    <w:name w:val="Institution qui signe"/>
    <w:basedOn w:val="Normal"/>
    <w:next w:val="Personnequisigne"/>
    <w:rsid w:val="008462CE"/>
    <w:pPr>
      <w:keepNext/>
      <w:tabs>
        <w:tab w:val="left" w:pos="4252"/>
      </w:tabs>
      <w:spacing w:before="720" w:after="0"/>
      <w:jc w:val="both"/>
    </w:pPr>
    <w:rPr>
      <w:i/>
    </w:rPr>
  </w:style>
  <w:style w:type="paragraph" w:customStyle="1" w:styleId="Personnequisigne">
    <w:name w:val="Personne qui signe"/>
    <w:basedOn w:val="Normal"/>
    <w:next w:val="Institutionquisigne"/>
    <w:rsid w:val="008462CE"/>
    <w:pPr>
      <w:tabs>
        <w:tab w:val="left" w:pos="4252"/>
      </w:tabs>
      <w:spacing w:before="0" w:after="0"/>
      <w:jc w:val="left"/>
    </w:pPr>
    <w:rPr>
      <w:i/>
    </w:rPr>
  </w:style>
  <w:style w:type="paragraph" w:customStyle="1" w:styleId="Typedudocument">
    <w:name w:val="Type du document"/>
    <w:basedOn w:val="Normal"/>
    <w:next w:val="Titreobjet"/>
    <w:rsid w:val="008462CE"/>
    <w:pPr>
      <w:spacing w:before="360" w:after="0"/>
      <w:jc w:val="center"/>
    </w:pPr>
    <w:rPr>
      <w:b/>
    </w:rPr>
  </w:style>
  <w:style w:type="paragraph" w:customStyle="1" w:styleId="Titreobjet">
    <w:name w:val="Titre objet"/>
    <w:basedOn w:val="Normal"/>
    <w:next w:val="Normal"/>
    <w:rsid w:val="008462CE"/>
    <w:pPr>
      <w:spacing w:before="360" w:after="360"/>
      <w:jc w:val="center"/>
    </w:pPr>
    <w:rPr>
      <w:b/>
    </w:rPr>
  </w:style>
  <w:style w:type="paragraph" w:customStyle="1" w:styleId="Considrant">
    <w:name w:val="Considérant"/>
    <w:basedOn w:val="Normal"/>
    <w:rsid w:val="008462CE"/>
    <w:pPr>
      <w:numPr>
        <w:numId w:val="2"/>
      </w:numPr>
      <w:tabs>
        <w:tab w:val="num" w:pos="709"/>
      </w:tabs>
      <w:ind w:left="709" w:hanging="709"/>
      <w:jc w:val="both"/>
    </w:pPr>
  </w:style>
  <w:style w:type="paragraph" w:customStyle="1" w:styleId="Formuledadoption">
    <w:name w:val="Formule d'adoption"/>
    <w:basedOn w:val="Normal"/>
    <w:next w:val="Titrearticle"/>
    <w:rsid w:val="008462CE"/>
    <w:pPr>
      <w:keepNext/>
      <w:jc w:val="both"/>
    </w:pPr>
  </w:style>
  <w:style w:type="paragraph" w:customStyle="1" w:styleId="Titrearticle">
    <w:name w:val="Titre article"/>
    <w:basedOn w:val="Normal"/>
    <w:next w:val="Normal"/>
    <w:rsid w:val="008462CE"/>
    <w:pPr>
      <w:keepNext/>
      <w:spacing w:before="360"/>
      <w:jc w:val="center"/>
    </w:pPr>
    <w:rPr>
      <w:i/>
    </w:rPr>
  </w:style>
  <w:style w:type="paragraph" w:customStyle="1" w:styleId="Institutionquiagit">
    <w:name w:val="Institution qui agit"/>
    <w:basedOn w:val="Normal"/>
    <w:next w:val="Normal"/>
    <w:rsid w:val="008462CE"/>
    <w:pPr>
      <w:keepNext/>
      <w:spacing w:before="600"/>
      <w:jc w:val="both"/>
    </w:pPr>
  </w:style>
  <w:style w:type="paragraph" w:customStyle="1" w:styleId="Rfrenceinterinstitutionnelle">
    <w:name w:val="Référence interinstitutionnelle"/>
    <w:basedOn w:val="Normal"/>
    <w:next w:val="Statut"/>
    <w:rsid w:val="008462CE"/>
    <w:pPr>
      <w:spacing w:before="0" w:after="0"/>
      <w:ind w:left="5103"/>
      <w:jc w:val="left"/>
    </w:pPr>
  </w:style>
  <w:style w:type="paragraph" w:customStyle="1" w:styleId="Statut">
    <w:name w:val="Statut"/>
    <w:basedOn w:val="Normal"/>
    <w:next w:val="Typedudocument"/>
    <w:rsid w:val="008462CE"/>
    <w:pPr>
      <w:spacing w:before="360" w:after="0"/>
      <w:jc w:val="center"/>
    </w:pPr>
  </w:style>
  <w:style w:type="paragraph" w:styleId="ListParagraph">
    <w:name w:val="List Paragraph"/>
    <w:basedOn w:val="Normal"/>
    <w:uiPriority w:val="34"/>
    <w:qFormat/>
    <w:rsid w:val="008462CE"/>
    <w:pPr>
      <w:ind w:left="720"/>
      <w:contextualSpacing/>
      <w:jc w:val="both"/>
    </w:pPr>
  </w:style>
  <w:style w:type="paragraph" w:styleId="NoSpacing">
    <w:name w:val="No Spacing"/>
    <w:uiPriority w:val="1"/>
    <w:qFormat/>
    <w:rsid w:val="002C4F9B"/>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paragraph" w:customStyle="1" w:styleId="CarCharCharCharCharChar">
    <w:name w:val="Car Char Char Char Char Char"/>
    <w:basedOn w:val="Normal"/>
    <w:uiPriority w:val="99"/>
    <w:rsid w:val="002C4F9B"/>
    <w:pPr>
      <w:spacing w:before="0" w:after="160" w:line="240" w:lineRule="exact"/>
      <w:jc w:val="left"/>
    </w:pPr>
    <w:rPr>
      <w:rFonts w:ascii="Tahoma" w:hAnsi="Tahoma" w:cs="Tahoma"/>
      <w:sz w:val="20"/>
      <w:szCs w:val="20"/>
      <w:lang w:val="en-US" w:eastAsia="en-US"/>
    </w:rPr>
  </w:style>
  <w:style w:type="character" w:customStyle="1" w:styleId="NormalAlignedCharCharChar">
    <w:name w:val="NormalAligned Char Char Char"/>
    <w:basedOn w:val="DefaultParagraphFont"/>
    <w:uiPriority w:val="99"/>
    <w:rsid w:val="002C4F9B"/>
    <w:rPr>
      <w:rFonts w:cs="Times New Roman"/>
      <w:sz w:val="24"/>
      <w:szCs w:val="24"/>
      <w:rtl w:val="0"/>
      <w:cs w:val="0"/>
      <w:lang w:val="sk-SK" w:eastAsia="sk-SK"/>
    </w:rPr>
  </w:style>
  <w:style w:type="character" w:customStyle="1" w:styleId="st1">
    <w:name w:val="st1"/>
    <w:basedOn w:val="DefaultParagraphFont"/>
    <w:rsid w:val="00FE33EB"/>
    <w:rPr>
      <w:rFonts w:cs="Times New Roman"/>
      <w:rtl w:val="0"/>
      <w:cs w:val="0"/>
    </w:rPr>
  </w:style>
  <w:style w:type="paragraph" w:customStyle="1" w:styleId="Text1">
    <w:name w:val="Text 1"/>
    <w:basedOn w:val="Normal"/>
    <w:rsid w:val="000D7FBD"/>
    <w:pPr>
      <w:ind w:left="850"/>
      <w:jc w:val="both"/>
    </w:pPr>
  </w:style>
  <w:style w:type="character" w:styleId="Hyperlink">
    <w:name w:val="Hyperlink"/>
    <w:basedOn w:val="DefaultParagraphFont"/>
    <w:uiPriority w:val="99"/>
    <w:unhideWhenUsed/>
    <w:rsid w:val="009213A5"/>
    <w:rPr>
      <w:rFonts w:cs="Times New Roman"/>
      <w:color w:val="0000FF" w:themeColor="hlink" w:themeShade="FF"/>
      <w:u w:val="single"/>
      <w:rtl w:val="0"/>
      <w:cs w:val="0"/>
    </w:rPr>
  </w:style>
  <w:style w:type="paragraph" w:styleId="BalloonText">
    <w:name w:val="Balloon Text"/>
    <w:basedOn w:val="Normal"/>
    <w:link w:val="TextbublinyChar"/>
    <w:uiPriority w:val="99"/>
    <w:semiHidden/>
    <w:unhideWhenUsed/>
    <w:rsid w:val="0088648F"/>
    <w:pPr>
      <w:spacing w:before="0" w:after="0"/>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8648F"/>
    <w:rPr>
      <w:rFonts w:ascii="Tahoma" w:hAnsi="Tahoma" w:cs="Tahoma"/>
      <w:sz w:val="16"/>
      <w:szCs w:val="16"/>
      <w:rtl w:val="0"/>
      <w:cs w:val="0"/>
      <w:lang w:val="x-none" w:eastAsia="sk-SK"/>
    </w:rPr>
  </w:style>
  <w:style w:type="paragraph" w:styleId="NormalWeb">
    <w:name w:val="Normal (Web)"/>
    <w:basedOn w:val="Normal"/>
    <w:uiPriority w:val="99"/>
    <w:semiHidden/>
    <w:unhideWhenUsed/>
    <w:rsid w:val="00CA43BA"/>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www.ebrd.com/pages/research/publications/institutional/basicdocs.shtml"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39270-6EBA-497F-9A75-8B39F286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416</TotalTime>
  <Pages>7</Pages>
  <Words>2472</Words>
  <Characters>14097</Characters>
  <Application>Microsoft Office Word</Application>
  <DocSecurity>0</DocSecurity>
  <Lines>0</Lines>
  <Paragraphs>0</Paragraphs>
  <ScaleCrop>false</ScaleCrop>
  <Company>MF SR</Company>
  <LinksUpToDate>false</LinksUpToDate>
  <CharactersWithSpaces>16536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ilukacova</dc:creator>
  <cp:lastModifiedBy>ilukacova</cp:lastModifiedBy>
  <cp:revision>20</cp:revision>
  <cp:lastPrinted>2012-02-23T12:38:00Z</cp:lastPrinted>
  <dcterms:created xsi:type="dcterms:W3CDTF">2012-02-21T15:49:00Z</dcterms:created>
  <dcterms:modified xsi:type="dcterms:W3CDTF">2012-04-20T09:19:00Z</dcterms:modified>
</cp:coreProperties>
</file>