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711F" w:rsidRPr="00687C25" w:rsidP="00352279">
      <w:pPr>
        <w:bidi w:val="0"/>
        <w:jc w:val="center"/>
        <w:rPr>
          <w:rFonts w:ascii="Times New Roman" w:hAnsi="Times New Roman"/>
          <w:b/>
        </w:rPr>
      </w:pPr>
      <w:r w:rsidR="0029056D">
        <w:rPr>
          <w:rFonts w:ascii="Times New Roman" w:hAnsi="Times New Roman"/>
          <w:b/>
        </w:rPr>
        <w:t>PREDKLADACIA SPRÁVA</w:t>
      </w:r>
    </w:p>
    <w:p w:rsidR="00D7711F" w:rsidRPr="00687C25" w:rsidP="00352279">
      <w:pPr>
        <w:bidi w:val="0"/>
        <w:jc w:val="center"/>
        <w:rPr>
          <w:rFonts w:ascii="Times New Roman" w:hAnsi="Times New Roman"/>
          <w:b/>
        </w:rPr>
      </w:pPr>
    </w:p>
    <w:p w:rsidR="006D55C5" w:rsidRPr="0020593E" w:rsidP="00352279">
      <w:pPr>
        <w:bidi w:val="0"/>
        <w:jc w:val="both"/>
        <w:rPr>
          <w:rFonts w:ascii="Times New Roman" w:hAnsi="Times New Roman"/>
        </w:rPr>
      </w:pPr>
    </w:p>
    <w:p w:rsidR="00D34440" w:rsidP="00D34440">
      <w:pPr>
        <w:bidi w:val="0"/>
        <w:ind w:firstLine="708"/>
        <w:jc w:val="both"/>
        <w:rPr>
          <w:rFonts w:ascii="Times New Roman" w:hAnsi="Times New Roman"/>
          <w:sz w:val="22"/>
          <w:szCs w:val="22"/>
        </w:rPr>
      </w:pPr>
      <w:r w:rsidR="00F76164">
        <w:rPr>
          <w:rFonts w:ascii="Times New Roman" w:hAnsi="Times New Roman"/>
        </w:rPr>
        <w:t xml:space="preserve">Predkladaný materiál obsahuje text Zmluvy o založení Európskeho mechanizmu pre stabilitu </w:t>
      </w:r>
      <w:r w:rsidRPr="00DB287D" w:rsidR="00F76164">
        <w:rPr>
          <w:rFonts w:ascii="Times New Roman" w:hAnsi="Times New Roman"/>
        </w:rPr>
        <w:t>medzi Belgickým kráľovstvom, Spolkovou republikou Nemecko,</w:t>
      </w:r>
      <w:r w:rsidR="00F76164">
        <w:rPr>
          <w:rFonts w:ascii="Times New Roman" w:hAnsi="Times New Roman"/>
        </w:rPr>
        <w:t xml:space="preserve"> Estónskou republikou, Írskom, Helénskou republikou, </w:t>
      </w:r>
      <w:r w:rsidRPr="00DB287D" w:rsidR="00F76164">
        <w:rPr>
          <w:rFonts w:ascii="Times New Roman" w:hAnsi="Times New Roman"/>
        </w:rPr>
        <w:t>Španielskym kráľovstvom, Francúzskou republikou, Talianskou republikou, Cyperskou republikou, Luxemburským veľkovojvodstvom, Mal</w:t>
      </w:r>
      <w:r w:rsidR="00F76164">
        <w:rPr>
          <w:rFonts w:ascii="Times New Roman" w:hAnsi="Times New Roman"/>
        </w:rPr>
        <w:t>tou</w:t>
      </w:r>
      <w:r w:rsidRPr="00DB287D" w:rsidR="00F76164">
        <w:rPr>
          <w:rFonts w:ascii="Times New Roman" w:hAnsi="Times New Roman"/>
        </w:rPr>
        <w:t>, Holandským kráľovstvom, Rakúskou republikou, Portugalskou republikou, Slovinskou repu</w:t>
      </w:r>
      <w:r w:rsidR="00F76164">
        <w:rPr>
          <w:rFonts w:ascii="Times New Roman" w:hAnsi="Times New Roman"/>
        </w:rPr>
        <w:t xml:space="preserve">blikou, Slovenskou republikou a </w:t>
      </w:r>
      <w:r w:rsidRPr="00DB287D" w:rsidR="00F76164">
        <w:rPr>
          <w:rFonts w:ascii="Times New Roman" w:hAnsi="Times New Roman"/>
        </w:rPr>
        <w:t>Fínskou republikou</w:t>
      </w:r>
      <w:r w:rsidR="00F76164">
        <w:rPr>
          <w:rFonts w:ascii="Times New Roman" w:hAnsi="Times New Roman"/>
        </w:rPr>
        <w:t xml:space="preserve"> (ďalej len „zmluva“). </w:t>
      </w:r>
    </w:p>
    <w:p w:rsidR="00D34440" w:rsidP="00D34440">
      <w:pPr>
        <w:bidi w:val="0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D34440" w:rsidP="00D34440">
      <w:pPr>
        <w:bidi w:val="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Zmluva upravuje vzťahy medzi akcionármi </w:t>
      </w:r>
      <w:r w:rsidRPr="00AD4243">
        <w:rPr>
          <w:rFonts w:ascii="Times New Roman" w:hAnsi="Times New Roman"/>
        </w:rPr>
        <w:t>medzinárodn</w:t>
      </w:r>
      <w:r>
        <w:rPr>
          <w:rFonts w:ascii="Times New Roman" w:hAnsi="Times New Roman"/>
        </w:rPr>
        <w:t>ej finančnej</w:t>
      </w:r>
      <w:r w:rsidRPr="00AD4243">
        <w:rPr>
          <w:rFonts w:ascii="Times New Roman" w:hAnsi="Times New Roman"/>
        </w:rPr>
        <w:t xml:space="preserve"> inštitúci</w:t>
      </w:r>
      <w:r>
        <w:rPr>
          <w:rFonts w:ascii="Times New Roman" w:hAnsi="Times New Roman"/>
        </w:rPr>
        <w:t>e</w:t>
      </w:r>
      <w:r w:rsidRPr="00AD4243">
        <w:rPr>
          <w:rFonts w:ascii="Times New Roman" w:hAnsi="Times New Roman"/>
        </w:rPr>
        <w:t>, ktorá sa bude nazývať Európsky mechanizmus pre stabilitu</w:t>
      </w:r>
      <w:r>
        <w:rPr>
          <w:rFonts w:ascii="Times New Roman" w:hAnsi="Times New Roman"/>
        </w:rPr>
        <w:t xml:space="preserve"> (ďalej len „EMS“) a podmienky poskytovania podpory pre </w:t>
      </w:r>
      <w:r w:rsidRPr="00AD4243">
        <w:rPr>
          <w:rFonts w:ascii="Times New Roman" w:hAnsi="Times New Roman"/>
        </w:rPr>
        <w:t xml:space="preserve">stabilitu v prospech členov EMS, ktorí majú závažné finančné problémy, alebo im takéto problémy hrozia, ak je to nevyhnutné na ochranu finančnej stability eurozóny ako celku a jednotlivých členských štátov. Táto zmluva podlieha ratifikácii, schváleniu alebo prijatiu zo strany signatárov. </w:t>
      </w:r>
      <w:r>
        <w:rPr>
          <w:rFonts w:ascii="Times New Roman" w:hAnsi="Times New Roman"/>
        </w:rPr>
        <w:t xml:space="preserve">Jej signatármi sú členské štáty eurozóny. </w:t>
      </w:r>
    </w:p>
    <w:p w:rsidR="00D34440" w:rsidP="00D34440">
      <w:pPr>
        <w:bidi w:val="0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D34440" w:rsidP="00D34440">
      <w:pPr>
        <w:bidi w:val="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Z</w:t>
      </w:r>
      <w:r w:rsidRPr="00AD4243">
        <w:rPr>
          <w:rFonts w:ascii="Times New Roman" w:hAnsi="Times New Roman"/>
        </w:rPr>
        <w:t xml:space="preserve">mluva nadobúda platnosť dňom, keď budú ratifikačné listiny, listiny o schválení alebo prijatí uložené signatármi, ktorých primárne upísané akcie predstavujú najmenej 90 % </w:t>
      </w:r>
      <w:r>
        <w:rPr>
          <w:rFonts w:ascii="Times New Roman" w:hAnsi="Times New Roman"/>
        </w:rPr>
        <w:t xml:space="preserve"> </w:t>
      </w:r>
      <w:r w:rsidRPr="00AD4243">
        <w:rPr>
          <w:rFonts w:ascii="Times New Roman" w:hAnsi="Times New Roman"/>
        </w:rPr>
        <w:t>z celkového počtu upísaných akcií uvedených v prílohe II</w:t>
      </w:r>
      <w:r>
        <w:rPr>
          <w:rFonts w:ascii="Times New Roman" w:hAnsi="Times New Roman"/>
        </w:rPr>
        <w:t xml:space="preserve"> zmluvy</w:t>
      </w:r>
      <w:r w:rsidRPr="00AD4243">
        <w:rPr>
          <w:rFonts w:ascii="Times New Roman" w:hAnsi="Times New Roman"/>
        </w:rPr>
        <w:t xml:space="preserve">. V prípade potreby sa zoznam členov EMS upraví. </w:t>
      </w:r>
      <w:r w:rsidRPr="002A6EED">
        <w:rPr>
          <w:rFonts w:ascii="Times New Roman" w:hAnsi="Times New Roman"/>
        </w:rPr>
        <w:t>Kľúč v prílohe I sa potom prepočíta a celkové schválené základné imanie v článku 8 ods. 1 a v prílohe II a</w:t>
      </w:r>
      <w:r w:rsidRPr="002A6EED" w:rsidR="00C945C3">
        <w:rPr>
          <w:rFonts w:ascii="Times New Roman" w:hAnsi="Times New Roman"/>
        </w:rPr>
        <w:t>ko aj</w:t>
      </w:r>
      <w:r w:rsidRPr="002A6EED">
        <w:rPr>
          <w:rFonts w:ascii="Times New Roman" w:hAnsi="Times New Roman"/>
        </w:rPr>
        <w:t xml:space="preserve"> počiatočná celková úhrnná nominálna hodnota splatených akcií v článku 8 ods. 2 sa zodpovedajúcim spôsobom zníži.</w:t>
      </w:r>
    </w:p>
    <w:p w:rsidR="00D34440" w:rsidP="00D34440">
      <w:pPr>
        <w:bidi w:val="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Z</w:t>
      </w:r>
      <w:r w:rsidRPr="00AD4243">
        <w:rPr>
          <w:rFonts w:ascii="Times New Roman" w:hAnsi="Times New Roman"/>
        </w:rPr>
        <w:t xml:space="preserve">mluva nadobudne platnosť pre každého signatára, ktorý následne uloží svoju ratifikačnú listinu, listinu o schválení alebo prijatí, deň nasledujúci po dni uloženia. </w:t>
      </w:r>
    </w:p>
    <w:p w:rsidR="00D34440" w:rsidP="00D34440">
      <w:pPr>
        <w:bidi w:val="0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D34440" w:rsidRPr="00AD4243" w:rsidP="00D3444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Zmluva umožňuje pristúpenie nových členov do EMS. </w:t>
      </w:r>
      <w:r w:rsidRPr="00AD4243">
        <w:rPr>
          <w:rFonts w:ascii="Times New Roman" w:hAnsi="Times New Roman"/>
        </w:rPr>
        <w:t xml:space="preserve">Členstvo v EMS je otvorené ostatným členským štátom Európskej únie, a to od nadobudnutia účinnosti rozhodnutia Rady Európskej únie prijatého v súlade s článkom 140 ods. 2 </w:t>
      </w:r>
      <w:r w:rsidR="002A6EED">
        <w:rPr>
          <w:rFonts w:ascii="Times New Roman" w:hAnsi="Times New Roman"/>
        </w:rPr>
        <w:t>Zmluvy o fungovaní Európskej únie (ďalej len „</w:t>
      </w:r>
      <w:r w:rsidRPr="002A6EED">
        <w:rPr>
          <w:rFonts w:ascii="Times New Roman" w:hAnsi="Times New Roman"/>
        </w:rPr>
        <w:t>ZFEÚ</w:t>
      </w:r>
      <w:r w:rsidRPr="002A6EED" w:rsidR="002A6EED">
        <w:rPr>
          <w:rFonts w:ascii="Times New Roman" w:hAnsi="Times New Roman"/>
        </w:rPr>
        <w:t>“</w:t>
      </w:r>
      <w:r w:rsidR="002A6EED">
        <w:rPr>
          <w:rFonts w:ascii="Times New Roman" w:hAnsi="Times New Roman"/>
        </w:rPr>
        <w:t>)</w:t>
      </w:r>
      <w:r w:rsidRPr="002A6EED">
        <w:rPr>
          <w:rFonts w:ascii="Times New Roman" w:hAnsi="Times New Roman"/>
        </w:rPr>
        <w:t xml:space="preserve"> o zrušení ich výnimky z prijatia eura. Noví členovia EMS sa v súlade                    s článkom 44 prijímajú za rovnakých</w:t>
      </w:r>
      <w:r w:rsidRPr="00AD4243">
        <w:rPr>
          <w:rFonts w:ascii="Times New Roman" w:hAnsi="Times New Roman"/>
        </w:rPr>
        <w:t xml:space="preserve"> podmienok ako súčasní členovia EMS.</w:t>
      </w:r>
      <w:r>
        <w:rPr>
          <w:rFonts w:ascii="Times New Roman" w:hAnsi="Times New Roman"/>
        </w:rPr>
        <w:t xml:space="preserve"> </w:t>
      </w:r>
      <w:r w:rsidRPr="00AD4243">
        <w:rPr>
          <w:rFonts w:ascii="Times New Roman" w:hAnsi="Times New Roman"/>
        </w:rPr>
        <w:t>Nový člen pristupujúci k EMS po jeho zriadení dostane akcie EMS výmenou za svoj podiel na základnom imaní EMS vypočítaný na základe kľúča na určenie príspevkov, ktorý je stanovený v článku 11.</w:t>
      </w:r>
    </w:p>
    <w:p w:rsidR="00D34440" w:rsidP="00352279">
      <w:pPr>
        <w:bidi w:val="0"/>
        <w:ind w:firstLine="709"/>
        <w:jc w:val="both"/>
        <w:rPr>
          <w:rFonts w:ascii="Times New Roman" w:hAnsi="Times New Roman"/>
        </w:rPr>
      </w:pPr>
    </w:p>
    <w:p w:rsidR="00785239" w:rsidP="00352279">
      <w:pPr>
        <w:bidi w:val="0"/>
        <w:ind w:firstLine="709"/>
        <w:jc w:val="both"/>
        <w:rPr>
          <w:rFonts w:ascii="Times New Roman" w:hAnsi="Times New Roman"/>
        </w:rPr>
      </w:pPr>
      <w:r w:rsidR="00D34440">
        <w:rPr>
          <w:rFonts w:ascii="Times New Roman" w:hAnsi="Times New Roman"/>
        </w:rPr>
        <w:t>EMS</w:t>
      </w:r>
      <w:r w:rsidR="006D55C5">
        <w:rPr>
          <w:rFonts w:ascii="Times New Roman" w:hAnsi="Times New Roman"/>
        </w:rPr>
        <w:t xml:space="preserve"> tvorí súčasť druhej vlny balíka opatrení určených na poskytovanie pomoci členským štátom eurozóny vo vážnych finančných problémoch s cieľom zabezpečiť stabilitu eurozóny samotnej. </w:t>
      </w:r>
      <w:r w:rsidR="0029056D">
        <w:rPr>
          <w:rFonts w:ascii="Times New Roman" w:hAnsi="Times New Roman"/>
        </w:rPr>
        <w:t>Za cieľ si kladie nahradiť Európsky finančný stabilizačný nástroj</w:t>
      </w:r>
      <w:r w:rsidR="006D55C5">
        <w:rPr>
          <w:rFonts w:ascii="Times New Roman" w:hAnsi="Times New Roman"/>
        </w:rPr>
        <w:t xml:space="preserve"> (ďalej len „EFSF“) v poskytovaní stabilizačnej pomoci</w:t>
      </w:r>
      <w:r w:rsidR="0029056D">
        <w:rPr>
          <w:rFonts w:ascii="Times New Roman" w:hAnsi="Times New Roman"/>
        </w:rPr>
        <w:t>, nakoľko tento svoju funkciu k júnu 2013 ukončí.</w:t>
      </w:r>
      <w:r w:rsidR="00D34440">
        <w:rPr>
          <w:rFonts w:ascii="Times New Roman" w:hAnsi="Times New Roman"/>
        </w:rPr>
        <w:t xml:space="preserve"> </w:t>
      </w:r>
      <w:r w:rsidR="007D40EB">
        <w:rPr>
          <w:rFonts w:ascii="Times New Roman" w:hAnsi="Times New Roman"/>
        </w:rPr>
        <w:t xml:space="preserve">EMS bude založený ako medzivládna organizácia založená na základe medzivládnej zmluvy. EMS bude samostatnou organizáciou, napojenou na Európsku úniu prostredníctvom spolupráce s Európskou komisiou a Európskou centrálnou bankou, pričom v prípade, že tak Rada guvernérov EMS rozhodne, jej bude predsedať predseda Euroskupiny. Toto napojenie EMS na Európsku úniu umožní upravený článok </w:t>
      </w:r>
      <w:r w:rsidRPr="002A6EED" w:rsidR="007D40EB">
        <w:rPr>
          <w:rFonts w:ascii="Times New Roman" w:hAnsi="Times New Roman"/>
        </w:rPr>
        <w:t>136 ods. 3 Z</w:t>
      </w:r>
      <w:r w:rsidRPr="002A6EED" w:rsidR="00C945C3">
        <w:rPr>
          <w:rFonts w:ascii="Times New Roman" w:hAnsi="Times New Roman"/>
        </w:rPr>
        <w:t>FEÚ.</w:t>
      </w:r>
    </w:p>
    <w:p w:rsidR="00C945C3" w:rsidP="00352279">
      <w:pPr>
        <w:bidi w:val="0"/>
        <w:ind w:firstLine="709"/>
        <w:jc w:val="both"/>
        <w:rPr>
          <w:rFonts w:ascii="Times New Roman" w:hAnsi="Times New Roman"/>
        </w:rPr>
      </w:pPr>
    </w:p>
    <w:p w:rsidR="00B67F7B" w:rsidP="002A6EED">
      <w:pPr>
        <w:bidi w:val="0"/>
        <w:jc w:val="both"/>
        <w:rPr>
          <w:rFonts w:ascii="Times New Roman" w:hAnsi="Times New Roman"/>
        </w:rPr>
      </w:pPr>
      <w:r w:rsidR="007D40EB">
        <w:rPr>
          <w:rFonts w:ascii="Times New Roman" w:hAnsi="Times New Roman"/>
        </w:rPr>
        <w:t>EMS bude</w:t>
      </w:r>
      <w:r w:rsidR="00225825">
        <w:rPr>
          <w:rFonts w:ascii="Times New Roman" w:hAnsi="Times New Roman"/>
        </w:rPr>
        <w:t xml:space="preserve"> mať sídlo v Luxemburgu s možnosťou vytvoriť si kontaktný úrad aj v Bruseli. EMS bude požívať, podobne ako EFSF, oslobodenie od daní vo všetkých jeho členských krajinách a zároveň bude EMS ako organizácia, jej personál v určenom rozsahu a jej majetok požívať imunitu. </w:t>
      </w:r>
      <w:r w:rsidR="008045A5">
        <w:rPr>
          <w:rFonts w:ascii="Times New Roman" w:hAnsi="Times New Roman"/>
        </w:rPr>
        <w:t xml:space="preserve">O sporoch vo výklade </w:t>
      </w:r>
      <w:r w:rsidR="00D34440">
        <w:rPr>
          <w:rFonts w:ascii="Times New Roman" w:hAnsi="Times New Roman"/>
        </w:rPr>
        <w:t>z</w:t>
      </w:r>
      <w:r w:rsidR="008045A5">
        <w:rPr>
          <w:rFonts w:ascii="Times New Roman" w:hAnsi="Times New Roman"/>
        </w:rPr>
        <w:t>mluvy bude rozhodovať Súdny dvor Európskej únie.</w:t>
      </w:r>
      <w:r w:rsidR="00785239">
        <w:rPr>
          <w:rFonts w:ascii="Times New Roman" w:hAnsi="Times New Roman"/>
        </w:rPr>
        <w:t xml:space="preserve"> </w:t>
      </w:r>
      <w:r w:rsidRPr="002A6EED">
        <w:rPr>
          <w:rFonts w:ascii="Times New Roman" w:hAnsi="Times New Roman"/>
        </w:rPr>
        <w:t>Z</w:t>
      </w:r>
      <w:r w:rsidRPr="002A6EED" w:rsidR="00C945C3">
        <w:rPr>
          <w:rFonts w:ascii="Times New Roman" w:hAnsi="Times New Roman"/>
        </w:rPr>
        <w:t>m</w:t>
      </w:r>
      <w:r w:rsidR="00C945C3">
        <w:rPr>
          <w:rFonts w:ascii="Times New Roman" w:hAnsi="Times New Roman"/>
        </w:rPr>
        <w:t xml:space="preserve">luva </w:t>
      </w:r>
      <w:r>
        <w:rPr>
          <w:rFonts w:ascii="Times New Roman" w:hAnsi="Times New Roman"/>
        </w:rPr>
        <w:t>bude zároveň napojená na pripravovanú zm</w:t>
      </w:r>
      <w:r w:rsidR="00785239">
        <w:rPr>
          <w:rFonts w:ascii="Times New Roman" w:hAnsi="Times New Roman"/>
        </w:rPr>
        <w:t>luvu o posilnenej fiškálnej únie</w:t>
      </w:r>
      <w:r>
        <w:rPr>
          <w:rFonts w:ascii="Times New Roman" w:hAnsi="Times New Roman"/>
        </w:rPr>
        <w:t>,</w:t>
      </w:r>
      <w:r w:rsidR="007852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ktorá</w:t>
      </w:r>
      <w:r w:rsidR="00785239">
        <w:rPr>
          <w:rFonts w:ascii="Times New Roman" w:hAnsi="Times New Roman"/>
        </w:rPr>
        <w:t xml:space="preserve"> si kladie za cieľ v</w:t>
      </w:r>
      <w:r>
        <w:rPr>
          <w:rFonts w:ascii="Times New Roman" w:hAnsi="Times New Roman"/>
        </w:rPr>
        <w:t xml:space="preserve">ytvoriť užšiu fiškálnu spoluprácu, zaviesť dlhové brzdy pre členské krajiny eurozóny, ako aj stanoviť pravidlá pre postupné znižovanie deficitov ich verejných financií. </w:t>
      </w:r>
      <w:r w:rsidRPr="002A6EED" w:rsidR="00785239">
        <w:rPr>
          <w:rFonts w:ascii="Times New Roman" w:hAnsi="Times New Roman"/>
        </w:rPr>
        <w:t>Č</w:t>
      </w:r>
      <w:r w:rsidRPr="002A6EED">
        <w:rPr>
          <w:rFonts w:ascii="Times New Roman" w:hAnsi="Times New Roman"/>
        </w:rPr>
        <w:t>len</w:t>
      </w:r>
      <w:r>
        <w:rPr>
          <w:rFonts w:ascii="Times New Roman" w:hAnsi="Times New Roman"/>
        </w:rPr>
        <w:t xml:space="preserve"> EMS, ktorý má záujem požiadať o program finančnej pomoci, musí </w:t>
      </w:r>
      <w:r w:rsidR="002A6EED">
        <w:rPr>
          <w:rFonts w:ascii="Times New Roman" w:hAnsi="Times New Roman"/>
        </w:rPr>
        <w:t>Z</w:t>
      </w:r>
      <w:r>
        <w:rPr>
          <w:rFonts w:ascii="Times New Roman" w:hAnsi="Times New Roman"/>
        </w:rPr>
        <w:t>mluvu o </w:t>
      </w:r>
      <w:r w:rsidRPr="002A6EED" w:rsidR="002A6EED">
        <w:rPr>
          <w:rFonts w:ascii="Times New Roman" w:hAnsi="Times New Roman"/>
        </w:rPr>
        <w:t>stabilite, koordinácii a správe v hospodárskej a menovej únii</w:t>
      </w:r>
      <w:r>
        <w:rPr>
          <w:rFonts w:ascii="Times New Roman" w:hAnsi="Times New Roman"/>
        </w:rPr>
        <w:t xml:space="preserve"> podpísať a ratifikovať ju v</w:t>
      </w:r>
      <w:r w:rsidR="00C945C3">
        <w:rPr>
          <w:rFonts w:ascii="Times New Roman" w:hAnsi="Times New Roman"/>
        </w:rPr>
        <w:t xml:space="preserve"> nej </w:t>
      </w:r>
      <w:r>
        <w:rPr>
          <w:rFonts w:ascii="Times New Roman" w:hAnsi="Times New Roman"/>
        </w:rPr>
        <w:t>stanovenom čase.</w:t>
      </w:r>
    </w:p>
    <w:p w:rsidR="00352279" w:rsidP="00352279">
      <w:pPr>
        <w:bidi w:val="0"/>
        <w:ind w:firstLine="709"/>
        <w:jc w:val="both"/>
        <w:rPr>
          <w:rFonts w:ascii="Times New Roman" w:hAnsi="Times New Roman"/>
        </w:rPr>
      </w:pPr>
    </w:p>
    <w:p w:rsidR="00CF386C" w:rsidP="00785239">
      <w:pPr>
        <w:bidi w:val="0"/>
        <w:ind w:firstLine="709"/>
        <w:jc w:val="both"/>
        <w:rPr>
          <w:rFonts w:ascii="Times New Roman" w:hAnsi="Times New Roman"/>
        </w:rPr>
      </w:pPr>
      <w:r w:rsidR="00225825">
        <w:rPr>
          <w:rFonts w:ascii="Times New Roman" w:hAnsi="Times New Roman"/>
        </w:rPr>
        <w:t>EMS bude rozhodovať prostredníctvom Rady guvernérov, pričom guvernérmi budú ministri financií členských kraj</w:t>
      </w:r>
      <w:r w:rsidR="00CA2CE1">
        <w:rPr>
          <w:rFonts w:ascii="Times New Roman" w:hAnsi="Times New Roman"/>
        </w:rPr>
        <w:t xml:space="preserve">ín, Správnej rady </w:t>
      </w:r>
      <w:r w:rsidR="00ED35A6">
        <w:rPr>
          <w:rFonts w:ascii="Times New Roman" w:hAnsi="Times New Roman"/>
        </w:rPr>
        <w:t xml:space="preserve">EMS </w:t>
      </w:r>
      <w:r w:rsidR="00CA2CE1">
        <w:rPr>
          <w:rFonts w:ascii="Times New Roman" w:hAnsi="Times New Roman"/>
        </w:rPr>
        <w:t>a generálneho</w:t>
      </w:r>
      <w:r w:rsidR="00225825">
        <w:rPr>
          <w:rFonts w:ascii="Times New Roman" w:hAnsi="Times New Roman"/>
        </w:rPr>
        <w:t xml:space="preserve"> riaditeľa. O poskytnutí finančnej pomoci členskému štátu</w:t>
      </w:r>
      <w:r w:rsidR="009B55BA">
        <w:rPr>
          <w:rFonts w:ascii="Times New Roman" w:hAnsi="Times New Roman"/>
        </w:rPr>
        <w:t>,</w:t>
      </w:r>
      <w:r w:rsidR="008045A5">
        <w:rPr>
          <w:rFonts w:ascii="Times New Roman" w:hAnsi="Times New Roman"/>
        </w:rPr>
        <w:t xml:space="preserve"> ako aj o ďalších dôležitých otázkach</w:t>
      </w:r>
      <w:r w:rsidR="00225825">
        <w:rPr>
          <w:rFonts w:ascii="Times New Roman" w:hAnsi="Times New Roman"/>
        </w:rPr>
        <w:t xml:space="preserve"> sa bude rozhodovať jednohlasne</w:t>
      </w:r>
      <w:r w:rsidR="00B67F7B">
        <w:rPr>
          <w:rFonts w:ascii="Times New Roman" w:hAnsi="Times New Roman"/>
        </w:rPr>
        <w:t>,</w:t>
      </w:r>
      <w:r w:rsidRPr="00B67F7B" w:rsidR="00B67F7B">
        <w:rPr>
          <w:rFonts w:ascii="Times New Roman" w:hAnsi="Times New Roman"/>
        </w:rPr>
        <w:t xml:space="preserve"> </w:t>
      </w:r>
      <w:r w:rsidR="00B67F7B">
        <w:rPr>
          <w:rFonts w:ascii="Times New Roman" w:hAnsi="Times New Roman"/>
        </w:rPr>
        <w:t>vo výnimočných prípadoch, kedy bude vážne narušená stabilita eurozóny núdzovou procedúrou, ktorá vyžaduje 85</w:t>
      </w:r>
      <w:r w:rsidR="002A6EED">
        <w:rPr>
          <w:rFonts w:ascii="Times New Roman" w:hAnsi="Times New Roman"/>
        </w:rPr>
        <w:t xml:space="preserve"> </w:t>
      </w:r>
      <w:r w:rsidR="00B67F7B">
        <w:rPr>
          <w:rFonts w:ascii="Times New Roman" w:hAnsi="Times New Roman"/>
        </w:rPr>
        <w:t xml:space="preserve">% väčšinu. </w:t>
      </w:r>
      <w:r w:rsidR="00CD205B">
        <w:rPr>
          <w:rFonts w:ascii="Times New Roman" w:hAnsi="Times New Roman"/>
        </w:rPr>
        <w:t xml:space="preserve">Každý členský štát bude môcť menovať okrem guvernéra aj jedného jeho alternáta, pričom menovania je možné okamžite odvolať. </w:t>
      </w:r>
      <w:r w:rsidR="00DF40BC">
        <w:rPr>
          <w:rFonts w:ascii="Times New Roman" w:hAnsi="Times New Roman"/>
        </w:rPr>
        <w:t>Riaditeľ a jeho alternát z</w:t>
      </w:r>
      <w:r w:rsidR="005A7EC7">
        <w:rPr>
          <w:rFonts w:ascii="Times New Roman" w:hAnsi="Times New Roman"/>
        </w:rPr>
        <w:t xml:space="preserve">a členskú krajinu bude vybratý spomedzi kompetentných ľudí s adekvátnymi ekonomickými a finančnými znalosťami. Riaditeľa a jeho alternáta je rovnako možné kedykoľvek odvolať. Každodenný chod EMS bude zabezpečovať </w:t>
      </w:r>
      <w:r w:rsidR="00CA2CE1">
        <w:rPr>
          <w:rFonts w:ascii="Times New Roman" w:hAnsi="Times New Roman"/>
        </w:rPr>
        <w:t>generálny</w:t>
      </w:r>
      <w:r>
        <w:rPr>
          <w:rFonts w:ascii="Times New Roman" w:hAnsi="Times New Roman"/>
        </w:rPr>
        <w:t xml:space="preserve"> riaditeľ, ktorého vyberie Rada guvernérov. Bude vedúcim pracovníkom EMS ako aj konajúcim orgánom spoločnosti podpisujúcim zmluvy EMS na základe rozhodnutí Správnej rady EMS.</w:t>
      </w:r>
    </w:p>
    <w:p w:rsidR="00352279" w:rsidP="00352279">
      <w:pPr>
        <w:bidi w:val="0"/>
        <w:ind w:firstLine="709"/>
        <w:jc w:val="both"/>
        <w:rPr>
          <w:rFonts w:ascii="Times New Roman" w:hAnsi="Times New Roman"/>
        </w:rPr>
      </w:pPr>
    </w:p>
    <w:p w:rsidR="0015070E" w:rsidP="00352279">
      <w:pPr>
        <w:bidi w:val="0"/>
        <w:ind w:firstLine="705"/>
        <w:jc w:val="both"/>
        <w:rPr>
          <w:rFonts w:ascii="Times New Roman" w:hAnsi="Times New Roman"/>
        </w:rPr>
      </w:pPr>
      <w:r w:rsidR="00CF386C">
        <w:rPr>
          <w:rFonts w:ascii="Times New Roman" w:hAnsi="Times New Roman"/>
        </w:rPr>
        <w:t>Na rozdiel od EFSF, ktorý fun</w:t>
      </w:r>
      <w:r w:rsidR="00785239">
        <w:rPr>
          <w:rFonts w:ascii="Times New Roman" w:hAnsi="Times New Roman"/>
        </w:rPr>
        <w:t>goval na báze záruk</w:t>
      </w:r>
      <w:r w:rsidR="00CF386C">
        <w:rPr>
          <w:rFonts w:ascii="Times New Roman" w:hAnsi="Times New Roman"/>
        </w:rPr>
        <w:t>, sa do EMS bude prispievať priamo</w:t>
      </w:r>
      <w:r w:rsidR="00ED35A6">
        <w:rPr>
          <w:rFonts w:ascii="Times New Roman" w:hAnsi="Times New Roman"/>
        </w:rPr>
        <w:t>,</w:t>
      </w:r>
      <w:r w:rsidR="00CF386C">
        <w:rPr>
          <w:rFonts w:ascii="Times New Roman" w:hAnsi="Times New Roman"/>
        </w:rPr>
        <w:t xml:space="preserve"> formou upisovania akcií na základnom imaní spoločnosti, ktoré bude predstavovať 700 mld. eur. Z toho 80 mld. eur bude vo forme splatených akcií a zvyšných 620 mld. </w:t>
      </w:r>
      <w:r w:rsidR="00ED35A6">
        <w:rPr>
          <w:rFonts w:ascii="Times New Roman" w:hAnsi="Times New Roman"/>
        </w:rPr>
        <w:t>e</w:t>
      </w:r>
      <w:r w:rsidR="00CF386C">
        <w:rPr>
          <w:rFonts w:ascii="Times New Roman" w:hAnsi="Times New Roman"/>
        </w:rPr>
        <w:t xml:space="preserve">ur </w:t>
      </w:r>
      <w:r w:rsidR="00334B8F">
        <w:rPr>
          <w:rFonts w:ascii="Times New Roman" w:hAnsi="Times New Roman"/>
        </w:rPr>
        <w:t xml:space="preserve">záruk </w:t>
      </w:r>
      <w:r w:rsidR="00CF386C">
        <w:rPr>
          <w:rFonts w:ascii="Times New Roman" w:hAnsi="Times New Roman"/>
        </w:rPr>
        <w:t xml:space="preserve">vo forme akcií splatných na vyzvanie. </w:t>
      </w:r>
      <w:r w:rsidR="00CA2CE1">
        <w:rPr>
          <w:rFonts w:ascii="Times New Roman" w:hAnsi="Times New Roman"/>
        </w:rPr>
        <w:t xml:space="preserve">V prípade, ak úroveň splateného imania klesne pod schválených 80 mld. eur absorbovaním strát spoločnosti, Správna rada </w:t>
      </w:r>
      <w:r w:rsidR="00ED35A6">
        <w:rPr>
          <w:rFonts w:ascii="Times New Roman" w:hAnsi="Times New Roman"/>
        </w:rPr>
        <w:t xml:space="preserve">EMS </w:t>
      </w:r>
      <w:r w:rsidR="00CA2CE1">
        <w:rPr>
          <w:rFonts w:ascii="Times New Roman" w:hAnsi="Times New Roman"/>
        </w:rPr>
        <w:t>vyzve na jeho splatenie jednoduchou väčšinou. Tento proces sa týka iba poklesu splateného imania pod úroveň schváleného zaplateného imania, ktorý by mal v prípade jeho nedoplnenia za následok stratu „AAA“ ratingu EMS. Druhou formou výzvy na úhradu upísaného imania je výzva generálneho riaditeľa</w:t>
      </w:r>
      <w:r w:rsidR="00ED35A6">
        <w:rPr>
          <w:rFonts w:ascii="Times New Roman" w:hAnsi="Times New Roman"/>
        </w:rPr>
        <w:t>.</w:t>
      </w:r>
      <w:r w:rsidR="00CA2C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Ten </w:t>
      </w:r>
      <w:r w:rsidRPr="00D765EC" w:rsidR="00CA2CE1">
        <w:rPr>
          <w:rStyle w:val="hps"/>
          <w:rFonts w:ascii="Times New Roman" w:hAnsi="Times New Roman"/>
          <w:shd w:val="clear" w:color="auto" w:fill="auto"/>
        </w:rPr>
        <w:t>vyzve na splatenie schváleného</w:t>
      </w:r>
      <w:r w:rsidRPr="00D765EC" w:rsidR="00CA2CE1">
        <w:rPr>
          <w:rFonts w:ascii="Times New Roman" w:hAnsi="Times New Roman"/>
        </w:rPr>
        <w:t xml:space="preserve"> </w:t>
      </w:r>
      <w:r w:rsidRPr="00D765EC" w:rsidR="00CA2CE1">
        <w:rPr>
          <w:rStyle w:val="hps"/>
          <w:rFonts w:ascii="Times New Roman" w:hAnsi="Times New Roman"/>
          <w:shd w:val="clear" w:color="auto" w:fill="auto"/>
        </w:rPr>
        <w:t>nesplateného</w:t>
      </w:r>
      <w:r w:rsidRPr="00D765EC" w:rsidR="00CA2CE1">
        <w:rPr>
          <w:rFonts w:ascii="Times New Roman" w:hAnsi="Times New Roman"/>
        </w:rPr>
        <w:t xml:space="preserve"> </w:t>
      </w:r>
      <w:r w:rsidR="00CA2CE1">
        <w:rPr>
          <w:rFonts w:ascii="Times New Roman" w:hAnsi="Times New Roman"/>
        </w:rPr>
        <w:t>imania</w:t>
      </w:r>
      <w:r w:rsidRPr="00D765EC" w:rsidR="00CA2C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 je to potrebné k zabráneniu omeškania EMS v platení povinností voči svojim veriteľom. Členovia EMS sú takúto výzvu na úhradu príspevku povinní splatiť do siedmich dní od doručenia výzvy generálneho riaditeľa.</w:t>
      </w:r>
    </w:p>
    <w:p w:rsidR="00352279" w:rsidP="00352279">
      <w:pPr>
        <w:bidi w:val="0"/>
        <w:ind w:firstLine="705"/>
        <w:jc w:val="both"/>
        <w:rPr>
          <w:rFonts w:ascii="Times New Roman" w:hAnsi="Times New Roman"/>
        </w:rPr>
      </w:pPr>
    </w:p>
    <w:p w:rsidR="00542B44" w:rsidP="00352279">
      <w:pPr>
        <w:bidi w:val="0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Straty EMS sa však v prvom rade budú kryť z rezervného fond</w:t>
      </w:r>
      <w:r w:rsidRPr="002A6EED">
        <w:rPr>
          <w:rFonts w:ascii="Times New Roman" w:hAnsi="Times New Roman"/>
        </w:rPr>
        <w:t>u</w:t>
      </w:r>
      <w:r w:rsidRPr="002A6EED" w:rsidR="00E13D0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do ktorého poputujú výnosy z finančných operácií EMS alebo sankčné poplatky členov eurozóny za neplnenie finančnej disciplíny.</w:t>
      </w:r>
    </w:p>
    <w:p w:rsidR="00352279" w:rsidP="00785239">
      <w:pPr>
        <w:bidi w:val="0"/>
        <w:jc w:val="both"/>
        <w:rPr>
          <w:rFonts w:ascii="Times New Roman" w:hAnsi="Times New Roman"/>
        </w:rPr>
      </w:pPr>
    </w:p>
    <w:p w:rsidR="00823654" w:rsidP="00F92A5F">
      <w:pPr>
        <w:autoSpaceDE w:val="0"/>
        <w:autoSpaceDN w:val="0"/>
        <w:bidi w:val="0"/>
        <w:adjustRightInd w:val="0"/>
        <w:ind w:firstLine="705"/>
        <w:jc w:val="both"/>
        <w:rPr>
          <w:rFonts w:ascii="Times New Roman" w:hAnsi="Times New Roman"/>
        </w:rPr>
      </w:pPr>
      <w:r w:rsidR="0015070E">
        <w:rPr>
          <w:rFonts w:ascii="Times New Roman" w:hAnsi="Times New Roman"/>
        </w:rPr>
        <w:t>Medzi zásady poskytnutia finančnej pomoci patrí prísna podmienenosť hospodárskej politiky pr</w:t>
      </w:r>
      <w:r w:rsidR="00334B8F">
        <w:rPr>
          <w:rFonts w:ascii="Times New Roman" w:hAnsi="Times New Roman"/>
        </w:rPr>
        <w:t>ijí</w:t>
      </w:r>
      <w:r w:rsidR="0015070E">
        <w:rPr>
          <w:rFonts w:ascii="Times New Roman" w:hAnsi="Times New Roman"/>
        </w:rPr>
        <w:t xml:space="preserve">mateľského štátu, ako aj zavedenie doložiek spoločného postupu </w:t>
      </w:r>
      <w:r w:rsidR="008174E3">
        <w:rPr>
          <w:rFonts w:ascii="Times New Roman" w:hAnsi="Times New Roman"/>
        </w:rPr>
        <w:t xml:space="preserve">(tzv. „collective action clause“ alebo „CAC“) </w:t>
      </w:r>
      <w:r w:rsidR="0015070E">
        <w:rPr>
          <w:rFonts w:ascii="Times New Roman" w:hAnsi="Times New Roman"/>
        </w:rPr>
        <w:t xml:space="preserve">do dlhopisov vydaných členskými štátmi eurozóny </w:t>
      </w:r>
      <w:r w:rsidR="00B67F7B">
        <w:rPr>
          <w:rFonts w:ascii="Times New Roman" w:hAnsi="Times New Roman"/>
        </w:rPr>
        <w:t xml:space="preserve">od </w:t>
      </w:r>
      <w:r w:rsidR="004600E2">
        <w:rPr>
          <w:rFonts w:ascii="Times New Roman" w:hAnsi="Times New Roman"/>
        </w:rPr>
        <w:t>1. januára</w:t>
      </w:r>
      <w:r w:rsidR="00B67F7B">
        <w:rPr>
          <w:rFonts w:ascii="Times New Roman" w:hAnsi="Times New Roman"/>
        </w:rPr>
        <w:t xml:space="preserve"> </w:t>
      </w:r>
      <w:r w:rsidR="0015070E">
        <w:rPr>
          <w:rFonts w:ascii="Times New Roman" w:hAnsi="Times New Roman"/>
        </w:rPr>
        <w:t xml:space="preserve">2013.  </w:t>
      </w:r>
      <w:r w:rsidRPr="008174E3" w:rsidR="004600E2">
        <w:rPr>
          <w:rFonts w:ascii="Times New Roman" w:hAnsi="Times New Roman"/>
        </w:rPr>
        <w:t>Nebude sa teda uplatňovať retroaktívne na nesplatenú časť dlhopisov vydaných pred rokom 2013.</w:t>
      </w:r>
    </w:p>
    <w:p w:rsidR="00F92A5F" w:rsidP="00F92A5F">
      <w:pPr>
        <w:autoSpaceDE w:val="0"/>
        <w:autoSpaceDN w:val="0"/>
        <w:bidi w:val="0"/>
        <w:adjustRightInd w:val="0"/>
        <w:ind w:firstLine="705"/>
        <w:jc w:val="both"/>
        <w:rPr>
          <w:rFonts w:ascii="Times New Roman" w:hAnsi="Times New Roman"/>
        </w:rPr>
      </w:pPr>
    </w:p>
    <w:p w:rsidR="004266A4" w:rsidP="00352279">
      <w:pPr>
        <w:bidi w:val="0"/>
        <w:ind w:firstLine="705"/>
        <w:jc w:val="both"/>
        <w:rPr>
          <w:rFonts w:ascii="Times New Roman" w:hAnsi="Times New Roman"/>
        </w:rPr>
      </w:pPr>
      <w:r w:rsidR="00542B44">
        <w:rPr>
          <w:rFonts w:ascii="Times New Roman" w:hAnsi="Times New Roman"/>
        </w:rPr>
        <w:t>Žiadosť o poskytnutie finančnej pomoci sa adresuje predsedovi rady guvernérov</w:t>
      </w:r>
      <w:r w:rsidR="000C0057">
        <w:rPr>
          <w:rFonts w:ascii="Times New Roman" w:hAnsi="Times New Roman"/>
        </w:rPr>
        <w:t>,</w:t>
      </w:r>
      <w:r w:rsidR="00542B44">
        <w:rPr>
          <w:rFonts w:ascii="Times New Roman" w:hAnsi="Times New Roman"/>
        </w:rPr>
        <w:t xml:space="preserve"> ktorý následne poverí Európsku komisiu a Európsku centrálnu banku, aby zhodnotila riziká a možnosti poskytnutia takejto pomoci. O poskytnutí finančnej pomoci rozhoduje Rada guvernérov jednohlasne.</w:t>
      </w:r>
      <w:r w:rsidR="000C0057">
        <w:rPr>
          <w:rFonts w:ascii="Times New Roman" w:hAnsi="Times New Roman"/>
        </w:rPr>
        <w:t xml:space="preserve"> Zdržanie sa hlasovania nebráni prijatiu rozhodnutia na základe vzájomnej dohody.</w:t>
      </w:r>
      <w:r w:rsidR="00542B44">
        <w:rPr>
          <w:rFonts w:ascii="Times New Roman" w:hAnsi="Times New Roman"/>
        </w:rPr>
        <w:t xml:space="preserve"> Európska komisia v </w:t>
      </w:r>
      <w:r w:rsidRPr="002A6EED" w:rsidR="00542B44">
        <w:rPr>
          <w:rFonts w:ascii="Times New Roman" w:hAnsi="Times New Roman"/>
        </w:rPr>
        <w:t>spolupráci s</w:t>
      </w:r>
      <w:r w:rsidR="002A6EED">
        <w:rPr>
          <w:rFonts w:ascii="Times New Roman" w:hAnsi="Times New Roman"/>
        </w:rPr>
        <w:t> Európskou centrálnou bankou</w:t>
      </w:r>
      <w:r w:rsidRPr="002A6EED" w:rsidR="00542B44">
        <w:rPr>
          <w:rFonts w:ascii="Times New Roman" w:hAnsi="Times New Roman"/>
        </w:rPr>
        <w:t xml:space="preserve"> a MMF následne</w:t>
      </w:r>
      <w:r w:rsidR="00542B44">
        <w:rPr>
          <w:rFonts w:ascii="Times New Roman" w:hAnsi="Times New Roman"/>
        </w:rPr>
        <w:t xml:space="preserve"> </w:t>
      </w:r>
      <w:r w:rsidR="00334B8F">
        <w:rPr>
          <w:rFonts w:ascii="Times New Roman" w:hAnsi="Times New Roman"/>
        </w:rPr>
        <w:t>dohodne</w:t>
      </w:r>
      <w:r w:rsidR="00542B44">
        <w:rPr>
          <w:rFonts w:ascii="Times New Roman" w:hAnsi="Times New Roman"/>
        </w:rPr>
        <w:t xml:space="preserve"> memorandum o porozumení, ktoré obsahuje konkrétne detaily pomoci. Dohodu o poskytnutí finančnej pomoci schvaľuje správna rada EMS.  </w:t>
      </w:r>
      <w:r w:rsidR="002A6EED">
        <w:rPr>
          <w:rFonts w:ascii="Times New Roman" w:hAnsi="Times New Roman"/>
        </w:rPr>
        <w:t>Komisia a ak je to možné, aj Európska centrálna banka</w:t>
      </w:r>
      <w:r w:rsidR="00542B44">
        <w:rPr>
          <w:rFonts w:ascii="Times New Roman" w:hAnsi="Times New Roman"/>
        </w:rPr>
        <w:t xml:space="preserve"> a MMF sledujú dodržiavanie podmienok poskytnutia finančnej pomoci.</w:t>
      </w:r>
      <w:r w:rsidR="00F92A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Preventívnu pomoc poskytuje EMS vo forme úverových liniek a okrem štandardných úverov tak, ako sme ich poznali u</w:t>
      </w:r>
      <w:r w:rsidR="009B55BA">
        <w:rPr>
          <w:rFonts w:ascii="Times New Roman" w:hAnsi="Times New Roman"/>
        </w:rPr>
        <w:t> </w:t>
      </w:r>
      <w:r>
        <w:rPr>
          <w:rFonts w:ascii="Times New Roman" w:hAnsi="Times New Roman"/>
        </w:rPr>
        <w:t>EFSF</w:t>
      </w:r>
      <w:r w:rsidR="009B55B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bolo EMS </w:t>
      </w:r>
      <w:r w:rsidR="009B55BA">
        <w:rPr>
          <w:rFonts w:ascii="Times New Roman" w:hAnsi="Times New Roman"/>
        </w:rPr>
        <w:t>doplnené</w:t>
      </w:r>
      <w:r>
        <w:rPr>
          <w:rFonts w:ascii="Times New Roman" w:hAnsi="Times New Roman"/>
        </w:rPr>
        <w:t xml:space="preserve"> o balík dlhových nástrojov</w:t>
      </w:r>
      <w:r w:rsidR="00E13D0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ktoré získalo aj EFSF po svojej zmene. EMS teda môže členskému štátu poskytnúť úver na rekapitalizáciu svojich finančných inštitúcií a realizovať intervencie na primárnych aj sekundárnych trhoch. Každý druh nástroja je podmienený podpísaním Memoranda o porozumení a Zmluvy o poskytnutí finančnej pomoci s prílohou reflektujúcou špecifiká konkrétnej formy tejto pomoci.</w:t>
      </w:r>
    </w:p>
    <w:p w:rsidR="004266A4" w:rsidP="004266A4">
      <w:pPr>
        <w:bidi w:val="0"/>
        <w:jc w:val="both"/>
        <w:rPr>
          <w:rFonts w:ascii="Times New Roman" w:hAnsi="Times New Roman"/>
        </w:rPr>
      </w:pPr>
    </w:p>
    <w:p w:rsidR="00AE3626" w:rsidRPr="00464D25" w:rsidP="00F92A5F">
      <w:pPr>
        <w:bidi w:val="0"/>
        <w:ind w:firstLine="705"/>
        <w:jc w:val="both"/>
        <w:rPr>
          <w:rFonts w:ascii="Times New Roman" w:hAnsi="Times New Roman"/>
          <w:b/>
        </w:rPr>
      </w:pPr>
      <w:r w:rsidR="00823654">
        <w:rPr>
          <w:rFonts w:ascii="Times New Roman" w:hAnsi="Times New Roman"/>
        </w:rPr>
        <w:t xml:space="preserve">Prostriedky na poskytnutie pomoci sa použijú zo základného imania EMS. </w:t>
      </w:r>
      <w:r w:rsidR="008C321A">
        <w:rPr>
          <w:rFonts w:ascii="Times New Roman" w:hAnsi="Times New Roman"/>
        </w:rPr>
        <w:t>Ručenie, resp. ručiteľské prísľuby sa vzťahujú len na záväzok prispieť na zvýšenie základného imania EMS. Dôležité je</w:t>
      </w:r>
      <w:r w:rsidR="00DC3EBF">
        <w:rPr>
          <w:rFonts w:ascii="Times New Roman" w:hAnsi="Times New Roman"/>
        </w:rPr>
        <w:t xml:space="preserve"> spomenúť, že EMS spolu s MMF bude používať prednostné postavenie veriteľa (tzv. „preferred creditor status“) voči ostatným veriteľom. </w:t>
      </w:r>
    </w:p>
    <w:p w:rsidR="002944F8" w:rsidP="00352279">
      <w:pPr>
        <w:bidi w:val="0"/>
        <w:ind w:firstLine="709"/>
        <w:jc w:val="both"/>
        <w:rPr>
          <w:rFonts w:ascii="Times New Roman" w:hAnsi="Times New Roman"/>
        </w:rPr>
      </w:pPr>
    </w:p>
    <w:p w:rsidR="00AE3626" w:rsidRPr="002A6EED" w:rsidP="002A6EED">
      <w:pPr>
        <w:bidi w:val="0"/>
        <w:ind w:firstLine="709"/>
        <w:jc w:val="both"/>
        <w:rPr>
          <w:rFonts w:ascii="Times New Roman" w:hAnsi="Times New Roman"/>
        </w:rPr>
      </w:pPr>
      <w:r w:rsidR="006D55C5">
        <w:rPr>
          <w:rFonts w:ascii="Times New Roman" w:hAnsi="Times New Roman"/>
        </w:rPr>
        <w:t>EMS, ak tak rozhodne Správna rada EFSF, môže prevziať majetok a činnosť EFSF, pričom v čase súbežného fungovania obidvoch týchto subjektov ich spoločná efektívna úverová kapacita nepresiahne 500 mld. eur.</w:t>
      </w:r>
      <w:r>
        <w:rPr>
          <w:rFonts w:ascii="Times New Roman" w:hAnsi="Times New Roman"/>
        </w:rPr>
        <w:t xml:space="preserve"> Okrem toho môže rada guvernérov rozhodnúť</w:t>
      </w:r>
      <w:r w:rsidR="00ED35A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ž</w:t>
      </w:r>
      <w:r w:rsidRPr="00D765EC">
        <w:rPr>
          <w:rStyle w:val="hps"/>
          <w:rFonts w:ascii="Times New Roman" w:hAnsi="Times New Roman"/>
          <w:shd w:val="clear" w:color="auto" w:fill="auto"/>
        </w:rPr>
        <w:t>e</w:t>
      </w:r>
      <w:r w:rsidRPr="00D765EC">
        <w:rPr>
          <w:rFonts w:ascii="Times New Roman" w:hAnsi="Times New Roman"/>
        </w:rPr>
        <w:t xml:space="preserve"> </w:t>
      </w:r>
      <w:r w:rsidRPr="00D765EC">
        <w:rPr>
          <w:rStyle w:val="hps"/>
          <w:rFonts w:ascii="Times New Roman" w:hAnsi="Times New Roman"/>
          <w:shd w:val="clear" w:color="auto" w:fill="auto"/>
        </w:rPr>
        <w:t>záväzky</w:t>
      </w:r>
      <w:r w:rsidRPr="00D765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EFSF</w:t>
      </w:r>
      <w:r w:rsidR="00ED35A6">
        <w:rPr>
          <w:rFonts w:ascii="Times New Roman" w:hAnsi="Times New Roman"/>
        </w:rPr>
        <w:t xml:space="preserve"> po</w:t>
      </w:r>
      <w:r>
        <w:rPr>
          <w:rFonts w:ascii="Times New Roman" w:hAnsi="Times New Roman"/>
        </w:rPr>
        <w:t xml:space="preserve"> </w:t>
      </w:r>
      <w:r w:rsidRPr="00D765EC">
        <w:rPr>
          <w:rStyle w:val="hps"/>
          <w:rFonts w:ascii="Times New Roman" w:hAnsi="Times New Roman"/>
          <w:shd w:val="clear" w:color="auto" w:fill="auto"/>
        </w:rPr>
        <w:t>poskytnutí</w:t>
      </w:r>
      <w:r w:rsidRPr="00D765EC">
        <w:rPr>
          <w:rFonts w:ascii="Times New Roman" w:hAnsi="Times New Roman"/>
        </w:rPr>
        <w:t xml:space="preserve"> </w:t>
      </w:r>
      <w:r w:rsidRPr="00D765EC">
        <w:rPr>
          <w:rStyle w:val="hps"/>
          <w:rFonts w:ascii="Times New Roman" w:hAnsi="Times New Roman"/>
          <w:shd w:val="clear" w:color="auto" w:fill="auto"/>
        </w:rPr>
        <w:t>finančnej</w:t>
      </w:r>
      <w:r w:rsidRPr="00D765EC">
        <w:rPr>
          <w:rFonts w:ascii="Times New Roman" w:hAnsi="Times New Roman"/>
        </w:rPr>
        <w:t xml:space="preserve"> </w:t>
      </w:r>
      <w:r w:rsidRPr="00D765EC">
        <w:rPr>
          <w:rStyle w:val="hps"/>
          <w:rFonts w:ascii="Times New Roman" w:hAnsi="Times New Roman"/>
          <w:shd w:val="clear" w:color="auto" w:fill="auto"/>
        </w:rPr>
        <w:t>pomoci</w:t>
      </w:r>
      <w:r w:rsidRPr="00D765EC">
        <w:rPr>
          <w:rFonts w:ascii="Times New Roman" w:hAnsi="Times New Roman"/>
        </w:rPr>
        <w:t xml:space="preserve"> </w:t>
      </w:r>
      <w:r w:rsidRPr="00D765EC">
        <w:rPr>
          <w:rStyle w:val="hps"/>
          <w:rFonts w:ascii="Times New Roman" w:hAnsi="Times New Roman"/>
          <w:shd w:val="clear" w:color="auto" w:fill="auto"/>
        </w:rPr>
        <w:t>členovi EMS</w:t>
      </w:r>
      <w:r w:rsidRPr="00D765EC">
        <w:rPr>
          <w:rFonts w:ascii="Times New Roman" w:hAnsi="Times New Roman"/>
        </w:rPr>
        <w:t xml:space="preserve"> </w:t>
      </w:r>
      <w:r w:rsidRPr="00D765EC">
        <w:rPr>
          <w:rStyle w:val="hps"/>
          <w:rFonts w:ascii="Times New Roman" w:hAnsi="Times New Roman"/>
          <w:shd w:val="clear" w:color="auto" w:fill="auto"/>
        </w:rPr>
        <w:t>podľa dohody s týmto</w:t>
      </w:r>
      <w:r w:rsidRPr="00D765EC">
        <w:rPr>
          <w:rFonts w:ascii="Times New Roman" w:hAnsi="Times New Roman"/>
        </w:rPr>
        <w:t xml:space="preserve"> </w:t>
      </w:r>
      <w:r w:rsidRPr="00D765EC">
        <w:rPr>
          <w:rStyle w:val="hps"/>
          <w:rFonts w:ascii="Times New Roman" w:hAnsi="Times New Roman"/>
          <w:shd w:val="clear" w:color="auto" w:fill="auto"/>
        </w:rPr>
        <w:t>členom</w:t>
      </w:r>
      <w:r w:rsidRPr="00D765EC">
        <w:rPr>
          <w:rFonts w:ascii="Times New Roman" w:hAnsi="Times New Roman"/>
        </w:rPr>
        <w:t xml:space="preserve"> </w:t>
      </w:r>
      <w:r w:rsidRPr="002A6EED">
        <w:rPr>
          <w:rStyle w:val="hpsatn"/>
          <w:rFonts w:ascii="Times New Roman" w:hAnsi="Times New Roman"/>
          <w:shd w:val="clear" w:color="auto" w:fill="auto"/>
        </w:rPr>
        <w:t>prevezme</w:t>
      </w:r>
      <w:r w:rsidRPr="002A6EED">
        <w:rPr>
          <w:rFonts w:ascii="Times New Roman" w:hAnsi="Times New Roman"/>
        </w:rPr>
        <w:t xml:space="preserve">  </w:t>
      </w:r>
      <w:r w:rsidRPr="002A6EED">
        <w:rPr>
          <w:rStyle w:val="hps"/>
          <w:rFonts w:ascii="Times New Roman" w:hAnsi="Times New Roman"/>
          <w:shd w:val="clear" w:color="auto" w:fill="auto"/>
        </w:rPr>
        <w:t>EMS</w:t>
      </w:r>
      <w:r w:rsidRPr="002A6EED">
        <w:rPr>
          <w:rFonts w:ascii="Times New Roman" w:hAnsi="Times New Roman"/>
        </w:rPr>
        <w:t xml:space="preserve">, </w:t>
      </w:r>
      <w:r w:rsidRPr="002A6EED">
        <w:rPr>
          <w:rStyle w:val="hps"/>
          <w:rFonts w:ascii="Times New Roman" w:hAnsi="Times New Roman"/>
          <w:shd w:val="clear" w:color="auto" w:fill="auto"/>
        </w:rPr>
        <w:t>ak</w:t>
      </w:r>
      <w:r w:rsidRPr="002A6EED">
        <w:rPr>
          <w:rFonts w:ascii="Times New Roman" w:hAnsi="Times New Roman"/>
        </w:rPr>
        <w:t xml:space="preserve"> </w:t>
      </w:r>
      <w:r w:rsidRPr="002A6EED">
        <w:rPr>
          <w:rStyle w:val="hps"/>
          <w:rFonts w:ascii="Times New Roman" w:hAnsi="Times New Roman"/>
          <w:shd w:val="clear" w:color="auto" w:fill="auto"/>
        </w:rPr>
        <w:t>sa</w:t>
      </w:r>
      <w:r w:rsidRPr="002A6EED">
        <w:rPr>
          <w:rFonts w:ascii="Times New Roman" w:hAnsi="Times New Roman"/>
        </w:rPr>
        <w:t xml:space="preserve"> uvedené záväzky </w:t>
      </w:r>
      <w:r w:rsidRPr="002A6EED">
        <w:rPr>
          <w:rStyle w:val="hps"/>
          <w:rFonts w:ascii="Times New Roman" w:hAnsi="Times New Roman"/>
          <w:shd w:val="clear" w:color="auto" w:fill="auto"/>
        </w:rPr>
        <w:t>týkajú</w:t>
      </w:r>
      <w:r w:rsidRPr="002A6EED">
        <w:rPr>
          <w:rFonts w:ascii="Times New Roman" w:hAnsi="Times New Roman"/>
        </w:rPr>
        <w:t xml:space="preserve"> </w:t>
      </w:r>
      <w:r w:rsidRPr="002A6EED">
        <w:rPr>
          <w:rStyle w:val="hps"/>
          <w:rFonts w:ascii="Times New Roman" w:hAnsi="Times New Roman"/>
          <w:shd w:val="clear" w:color="auto" w:fill="auto"/>
        </w:rPr>
        <w:t>neuhradených</w:t>
      </w:r>
      <w:r w:rsidRPr="002A6EED">
        <w:rPr>
          <w:rFonts w:ascii="Times New Roman" w:hAnsi="Times New Roman"/>
        </w:rPr>
        <w:t xml:space="preserve"> </w:t>
      </w:r>
      <w:r w:rsidRPr="002A6EED">
        <w:rPr>
          <w:rStyle w:val="hps"/>
          <w:rFonts w:ascii="Times New Roman" w:hAnsi="Times New Roman"/>
          <w:shd w:val="clear" w:color="auto" w:fill="auto"/>
        </w:rPr>
        <w:t>a</w:t>
      </w:r>
      <w:r w:rsidRPr="002A6EED">
        <w:rPr>
          <w:rFonts w:ascii="Times New Roman" w:hAnsi="Times New Roman"/>
        </w:rPr>
        <w:t xml:space="preserve"> </w:t>
      </w:r>
      <w:r w:rsidRPr="002A6EED">
        <w:rPr>
          <w:rStyle w:val="hps"/>
          <w:rFonts w:ascii="Times New Roman" w:hAnsi="Times New Roman"/>
          <w:shd w:val="clear" w:color="auto" w:fill="auto"/>
        </w:rPr>
        <w:t>kapitálovo nekrytých</w:t>
      </w:r>
      <w:r w:rsidRPr="002A6EED">
        <w:rPr>
          <w:rFonts w:ascii="Times New Roman" w:hAnsi="Times New Roman"/>
        </w:rPr>
        <w:t xml:space="preserve"> </w:t>
      </w:r>
      <w:r w:rsidRPr="002A6EED">
        <w:rPr>
          <w:rStyle w:val="hps"/>
          <w:rFonts w:ascii="Times New Roman" w:hAnsi="Times New Roman"/>
          <w:shd w:val="clear" w:color="auto" w:fill="auto"/>
        </w:rPr>
        <w:t>častí</w:t>
      </w:r>
      <w:r w:rsidRPr="002A6EED">
        <w:rPr>
          <w:rFonts w:ascii="Times New Roman" w:hAnsi="Times New Roman"/>
        </w:rPr>
        <w:t xml:space="preserve"> </w:t>
      </w:r>
      <w:r w:rsidRPr="002A6EED">
        <w:rPr>
          <w:rStyle w:val="hps"/>
          <w:rFonts w:ascii="Times New Roman" w:hAnsi="Times New Roman"/>
          <w:shd w:val="clear" w:color="auto" w:fill="auto"/>
        </w:rPr>
        <w:t>úverových nástrojov</w:t>
      </w:r>
      <w:r w:rsidRPr="002A6EED">
        <w:rPr>
          <w:rFonts w:ascii="Times New Roman" w:hAnsi="Times New Roman"/>
        </w:rPr>
        <w:t>.</w:t>
      </w:r>
      <w:r w:rsidRPr="002A6EED" w:rsidR="004266A4">
        <w:rPr>
          <w:rFonts w:ascii="Times New Roman" w:hAnsi="Times New Roman"/>
        </w:rPr>
        <w:t xml:space="preserve"> Po podpísaní Zmluvy o EMS a pred jej vstupom do platnosti ešte Rada guvernérov prehodnotí to, či stanovená úverová kapacita postačuje a prípadne ju môže navýšiť.</w:t>
      </w:r>
    </w:p>
    <w:p w:rsidR="00AD5446" w:rsidRPr="002A6EED" w:rsidP="002A6EED">
      <w:pPr>
        <w:bidi w:val="0"/>
        <w:jc w:val="both"/>
        <w:rPr>
          <w:rFonts w:ascii="Times New Roman" w:hAnsi="Times New Roman"/>
        </w:rPr>
      </w:pPr>
    </w:p>
    <w:p w:rsidR="002A6EED" w:rsidRPr="002A6EED" w:rsidP="002A6EED">
      <w:pPr>
        <w:bidi w:val="0"/>
        <w:ind w:firstLine="708"/>
        <w:jc w:val="both"/>
        <w:rPr>
          <w:rFonts w:ascii="Times New Roman" w:hAnsi="Times New Roman"/>
        </w:rPr>
      </w:pPr>
      <w:r w:rsidRPr="002A6EED" w:rsidR="00DD4B4D">
        <w:rPr>
          <w:rFonts w:ascii="Times New Roman" w:hAnsi="Times New Roman"/>
        </w:rPr>
        <w:t xml:space="preserve">Zmluvu za Slovenskú republiky podpísal </w:t>
      </w:r>
      <w:r w:rsidRPr="002A6EED">
        <w:rPr>
          <w:rStyle w:val="Zvraznenie1"/>
          <w:rFonts w:ascii="Times New Roman" w:hAnsi="Times New Roman"/>
          <w:b w:val="0"/>
          <w:i w:val="0"/>
          <w:iCs w:val="0"/>
          <w:color w:val="auto"/>
        </w:rPr>
        <w:t>Ivan</w:t>
      </w:r>
      <w:r w:rsidRPr="002A6EED">
        <w:rPr>
          <w:rStyle w:val="st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K</w:t>
      </w:r>
      <w:r>
        <w:rPr>
          <w:rStyle w:val="st1"/>
          <w:rFonts w:ascii="Times New Roman" w:hAnsi="Times New Roman"/>
          <w:b w:val="0"/>
          <w:bCs w:val="0"/>
          <w:color w:val="auto"/>
          <w:sz w:val="24"/>
          <w:szCs w:val="24"/>
        </w:rPr>
        <w:t>orčok</w:t>
      </w:r>
      <w:r w:rsidRPr="002A6EED">
        <w:rPr>
          <w:rStyle w:val="st1"/>
          <w:rFonts w:ascii="Times New Roman" w:hAnsi="Times New Roman"/>
          <w:b w:val="0"/>
          <w:bCs w:val="0"/>
          <w:color w:val="auto"/>
          <w:sz w:val="24"/>
          <w:szCs w:val="24"/>
        </w:rPr>
        <w:t>, stály predstaviteľ SR pri EÚ, veľvyslanec</w:t>
      </w:r>
      <w:r>
        <w:rPr>
          <w:rStyle w:val="st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dňa </w:t>
      </w:r>
      <w:r w:rsidRPr="002A6EED">
        <w:rPr>
          <w:rStyle w:val="st1"/>
          <w:rFonts w:ascii="Times New Roman" w:hAnsi="Times New Roman"/>
          <w:b w:val="0"/>
          <w:bCs w:val="0"/>
          <w:color w:val="auto"/>
          <w:sz w:val="24"/>
          <w:szCs w:val="24"/>
        </w:rPr>
        <w:t>2.</w:t>
      </w:r>
      <w:r>
        <w:rPr>
          <w:rStyle w:val="st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februára </w:t>
      </w:r>
      <w:r w:rsidRPr="002A6EED">
        <w:rPr>
          <w:rStyle w:val="st1"/>
          <w:rFonts w:ascii="Times New Roman" w:hAnsi="Times New Roman"/>
          <w:b w:val="0"/>
          <w:bCs w:val="0"/>
          <w:color w:val="auto"/>
          <w:sz w:val="24"/>
          <w:szCs w:val="24"/>
        </w:rPr>
        <w:t>2012</w:t>
      </w:r>
      <w:r>
        <w:rPr>
          <w:rStyle w:val="st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v Bruseli.</w:t>
      </w:r>
    </w:p>
    <w:p w:rsidR="008F6127" w:rsidRPr="002A6EED" w:rsidP="002A6EED">
      <w:pPr>
        <w:pStyle w:val="NormalWeb"/>
        <w:bidi w:val="0"/>
        <w:spacing w:before="0" w:beforeAutospacing="0" w:after="0" w:afterAutospacing="0"/>
        <w:ind w:firstLine="705"/>
        <w:jc w:val="both"/>
        <w:rPr>
          <w:rFonts w:ascii="Times New Roman" w:hAnsi="Times New Roman"/>
        </w:rPr>
      </w:pPr>
      <w:r w:rsidR="002A6EED">
        <w:rPr>
          <w:rFonts w:ascii="Times New Roman" w:hAnsi="Times New Roman"/>
        </w:rPr>
        <w:t xml:space="preserve"> </w:t>
      </w:r>
    </w:p>
    <w:p w:rsidR="00DD4B4D" w:rsidRPr="0020593E" w:rsidP="002A6EE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2A6EED">
        <w:rPr>
          <w:rFonts w:ascii="Times New Roman" w:hAnsi="Times New Roman"/>
        </w:rPr>
        <w:t>Zmluva je prezidentskou zmluvou, na vykonanie ktorej je potrebný zákon. Podľa článku 7 odseku 4 Ústavy Slovenskej republiky sa pred ratifikáciou zmluvy vyžaduje súhlas Národnej rady Slovenskej</w:t>
      </w:r>
      <w:r>
        <w:rPr>
          <w:rFonts w:ascii="Times New Roman" w:hAnsi="Times New Roman"/>
        </w:rPr>
        <w:t xml:space="preserve"> republiky. Na jej</w:t>
      </w:r>
      <w:r w:rsidRPr="0020593E">
        <w:rPr>
          <w:rFonts w:ascii="Times New Roman" w:hAnsi="Times New Roman"/>
        </w:rPr>
        <w:t xml:space="preserve"> vykonateľnosť a záväznosť z hľadiska záväzkov </w:t>
      </w:r>
      <w:r>
        <w:rPr>
          <w:rFonts w:ascii="Times New Roman" w:hAnsi="Times New Roman"/>
        </w:rPr>
        <w:t>zaplatiť upísané akcie bude potrebné vytvoriť nový legislatívny rámec v značne širšom spektre než bol pôvodný zákon č. 381/2010 Z. z. o špecifických štátnych zárukách a o zmene a doplnení niektorých zákonov</w:t>
      </w:r>
      <w:r w:rsidRPr="0020593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Zmluva nemá </w:t>
      </w:r>
      <w:r w:rsidRPr="0020593E">
        <w:rPr>
          <w:rFonts w:ascii="Times New Roman" w:hAnsi="Times New Roman"/>
        </w:rPr>
        <w:t xml:space="preserve">prednosť pred zákonmi podľa článku 7 odseku 5 Ústavy Slovenskej republiky. </w:t>
      </w:r>
    </w:p>
    <w:p w:rsidR="00DD4B4D" w:rsidP="006D55C5">
      <w:pPr>
        <w:pStyle w:val="NormalWeb"/>
        <w:bidi w:val="0"/>
        <w:spacing w:before="0" w:beforeAutospacing="0" w:after="0" w:afterAutospacing="0" w:line="360" w:lineRule="auto"/>
        <w:ind w:firstLine="705"/>
        <w:jc w:val="both"/>
        <w:rPr>
          <w:rFonts w:ascii="Times New Roman" w:hAnsi="Times New Roman"/>
        </w:rPr>
      </w:pPr>
    </w:p>
    <w:p w:rsidR="00DD4B4D" w:rsidP="00DD4B4D">
      <w:pPr>
        <w:bidi w:val="0"/>
        <w:ind w:firstLine="708"/>
        <w:jc w:val="both"/>
        <w:rPr>
          <w:rStyle w:val="apple-style-span"/>
          <w:rFonts w:ascii="Times New Roman" w:hAnsi="Times New Roman"/>
          <w:color w:val="000000"/>
        </w:rPr>
      </w:pPr>
      <w:r>
        <w:rPr>
          <w:rStyle w:val="apple-style-span"/>
          <w:rFonts w:ascii="Times New Roman" w:hAnsi="Times New Roman"/>
          <w:color w:val="000000"/>
        </w:rPr>
        <w:t xml:space="preserve">Slovenská republika bude musieť do pätnástich dní od nadobudnutia účinnosti vykonávacieho zákona uhradiť prvú splátku vo výške 131,84 mil. eur a následne počas roka 2012 (predpokladáme október) druhú splátku vo výške 131,84 mil. eur. V priebehu rokov 2013 a 2014 by Slovenská republika mala uhradiť aj ďalšie tri splátky upísaného základného imania v celkovej výške 395,52 eur. </w:t>
      </w:r>
    </w:p>
    <w:p w:rsidR="00DD4B4D" w:rsidRPr="00C82EE7" w:rsidP="00DD4B4D">
      <w:pPr>
        <w:bidi w:val="0"/>
        <w:jc w:val="both"/>
        <w:rPr>
          <w:rStyle w:val="apple-style-span"/>
          <w:rFonts w:ascii="Times New Roman" w:hAnsi="Times New Roman"/>
          <w:color w:val="000000"/>
        </w:rPr>
      </w:pPr>
    </w:p>
    <w:p w:rsidR="00DD4B4D" w:rsidRPr="00C82EE7" w:rsidP="00DD4B4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úhradu prvej splátky vo výške 131,84 mil. eur sa použijú </w:t>
      </w:r>
      <w:r w:rsidRPr="00C82EE7">
        <w:rPr>
          <w:rFonts w:ascii="Times New Roman" w:hAnsi="Times New Roman"/>
        </w:rPr>
        <w:t>štátn</w:t>
      </w:r>
      <w:r>
        <w:rPr>
          <w:rFonts w:ascii="Times New Roman" w:hAnsi="Times New Roman"/>
        </w:rPr>
        <w:t>e</w:t>
      </w:r>
      <w:r w:rsidRPr="00C82EE7">
        <w:rPr>
          <w:rFonts w:ascii="Times New Roman" w:hAnsi="Times New Roman"/>
        </w:rPr>
        <w:t xml:space="preserve"> finančn</w:t>
      </w:r>
      <w:r>
        <w:rPr>
          <w:rFonts w:ascii="Times New Roman" w:hAnsi="Times New Roman"/>
        </w:rPr>
        <w:t>é</w:t>
      </w:r>
      <w:r w:rsidRPr="00C82EE7">
        <w:rPr>
          <w:rFonts w:ascii="Times New Roman" w:hAnsi="Times New Roman"/>
        </w:rPr>
        <w:t xml:space="preserve"> aktív</w:t>
      </w:r>
      <w:r>
        <w:rPr>
          <w:rFonts w:ascii="Times New Roman" w:hAnsi="Times New Roman"/>
        </w:rPr>
        <w:t>a, a to</w:t>
      </w:r>
      <w:r w:rsidRPr="00C82EE7">
        <w:rPr>
          <w:rFonts w:ascii="Times New Roman" w:hAnsi="Times New Roman"/>
        </w:rPr>
        <w:t xml:space="preserve"> bez potreby ich posilnenia</w:t>
      </w:r>
      <w:r>
        <w:rPr>
          <w:rFonts w:ascii="Times New Roman" w:hAnsi="Times New Roman"/>
        </w:rPr>
        <w:t xml:space="preserve"> prostredníctvom zvýšenia zdrojov financovania štátneho dlhu podľa</w:t>
      </w:r>
      <w:r w:rsidRPr="00C82EE7">
        <w:rPr>
          <w:rFonts w:ascii="Times New Roman" w:hAnsi="Times New Roman"/>
        </w:rPr>
        <w:t xml:space="preserve"> zákona č. 386/2002 Z. z. o štátnom dlhu a štátnych zárukách</w:t>
      </w:r>
      <w:r>
        <w:rPr>
          <w:rFonts w:ascii="Times New Roman" w:hAnsi="Times New Roman"/>
        </w:rPr>
        <w:t xml:space="preserve"> a ktorým sa dopĺňa zákon              č. 291/2002 Z. z. o Štátnej pokladnici a o zmene a doplnení niektorých zákonov</w:t>
      </w:r>
      <w:r w:rsidRPr="00C82EE7">
        <w:rPr>
          <w:rFonts w:ascii="Times New Roman" w:hAnsi="Times New Roman"/>
        </w:rPr>
        <w:t xml:space="preserve"> v znení neskorších predpisov</w:t>
      </w:r>
      <w:r>
        <w:rPr>
          <w:rFonts w:ascii="Times New Roman" w:hAnsi="Times New Roman"/>
        </w:rPr>
        <w:t xml:space="preserve"> (ďalej len „zákon o štátnom dlhu a štátnych zárukách). T</w:t>
      </w:r>
      <w:r w:rsidRPr="00C82EE7">
        <w:rPr>
          <w:rFonts w:ascii="Times New Roman" w:hAnsi="Times New Roman"/>
        </w:rPr>
        <w:t>oto upísanie kapitálu splatného na vyzvanie</w:t>
      </w:r>
      <w:r w:rsidR="001245D8">
        <w:rPr>
          <w:rFonts w:ascii="Times New Roman" w:hAnsi="Times New Roman"/>
        </w:rPr>
        <w:t>,</w:t>
      </w:r>
      <w:r w:rsidRPr="00C82EE7">
        <w:rPr>
          <w:rFonts w:ascii="Times New Roman" w:hAnsi="Times New Roman"/>
        </w:rPr>
        <w:t xml:space="preserve"> z pohľadu metodiky ESA 95</w:t>
      </w:r>
      <w:r w:rsidR="001245D8">
        <w:rPr>
          <w:rFonts w:ascii="Times New Roman" w:hAnsi="Times New Roman"/>
        </w:rPr>
        <w:t>,</w:t>
      </w:r>
      <w:r w:rsidRPr="00C82EE7">
        <w:rPr>
          <w:rFonts w:ascii="Times New Roman" w:hAnsi="Times New Roman"/>
        </w:rPr>
        <w:t xml:space="preserve"> nebude mať vplyv na schodok alebo dlh verejných financií. Podľa metodiky ESA 95 bude uvedená suma zaznamenaná ako finančná operácia bez vplyvu na schodok rozpočtu verejnej správy a verejný dlh.</w:t>
      </w:r>
    </w:p>
    <w:p w:rsidR="00DD4B4D" w:rsidRPr="00C82EE7" w:rsidP="00DD4B4D">
      <w:pPr>
        <w:bidi w:val="0"/>
        <w:jc w:val="both"/>
        <w:rPr>
          <w:rFonts w:ascii="Times New Roman" w:hAnsi="Times New Roman"/>
        </w:rPr>
      </w:pPr>
    </w:p>
    <w:p w:rsidR="00DD4B4D" w:rsidP="00DD4B4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Pokiaľ ide o ďalšie splátky základného imania a prípadnej </w:t>
      </w:r>
      <w:r w:rsidRPr="00C82EE7">
        <w:rPr>
          <w:rFonts w:ascii="Times New Roman" w:hAnsi="Times New Roman"/>
        </w:rPr>
        <w:t>výzv</w:t>
      </w:r>
      <w:r>
        <w:rPr>
          <w:rFonts w:ascii="Times New Roman" w:hAnsi="Times New Roman"/>
        </w:rPr>
        <w:t>y</w:t>
      </w:r>
      <w:r w:rsidRPr="00C82EE7">
        <w:rPr>
          <w:rFonts w:ascii="Times New Roman" w:hAnsi="Times New Roman"/>
        </w:rPr>
        <w:t xml:space="preserve"> na splatenie kapitálu</w:t>
      </w:r>
      <w:r>
        <w:rPr>
          <w:rFonts w:ascii="Times New Roman" w:hAnsi="Times New Roman"/>
        </w:rPr>
        <w:t xml:space="preserve"> na vyzvanie </w:t>
      </w:r>
      <w:r w:rsidRPr="00C82EE7">
        <w:rPr>
          <w:rFonts w:ascii="Times New Roman" w:hAnsi="Times New Roman"/>
        </w:rPr>
        <w:t xml:space="preserve">bude potrebné </w:t>
      </w:r>
      <w:r>
        <w:rPr>
          <w:rFonts w:ascii="Times New Roman" w:hAnsi="Times New Roman"/>
        </w:rPr>
        <w:t>zvýšiť objem zdrojov financovania štátneho dlhu podľa</w:t>
      </w:r>
      <w:r w:rsidRPr="00C82EE7">
        <w:rPr>
          <w:rFonts w:ascii="Times New Roman" w:hAnsi="Times New Roman"/>
        </w:rPr>
        <w:t xml:space="preserve"> zákona</w:t>
      </w:r>
      <w:r>
        <w:rPr>
          <w:rFonts w:ascii="Times New Roman" w:hAnsi="Times New Roman"/>
        </w:rPr>
        <w:t xml:space="preserve">          o š</w:t>
      </w:r>
      <w:r w:rsidRPr="00C82EE7">
        <w:rPr>
          <w:rFonts w:ascii="Times New Roman" w:hAnsi="Times New Roman"/>
        </w:rPr>
        <w:t>tátnom dlhu a štátnych zárukách</w:t>
      </w:r>
      <w:r>
        <w:rPr>
          <w:rFonts w:ascii="Times New Roman" w:hAnsi="Times New Roman"/>
        </w:rPr>
        <w:t>. Táto skutočnosť</w:t>
      </w:r>
      <w:r w:rsidRPr="00C82EE7">
        <w:rPr>
          <w:rFonts w:ascii="Times New Roman" w:hAnsi="Times New Roman"/>
        </w:rPr>
        <w:t xml:space="preserve"> bude mať negatívny vplyv na výšku štátneho dlhu Slovenskej republiky.</w:t>
      </w:r>
    </w:p>
    <w:p w:rsidR="00DD4B4D" w:rsidRPr="00C82EE7" w:rsidP="00DD4B4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rozdiel od EFSF bude mať EMS iné postavenie. V prípade EFSF ide o obchodnú spoločnosť a preto akékoľvek finančné pomoci poskytnuté dlžníckym členským štátom eurozóny prostredníctvom EFSF sú zaúčtované ako úvery poskytnuté  veriteľskými členskými štátmi eurozóny. Naproti tomu sa o EMS bude účtovať ako o medzinárodnej inštitúcii, podobnej akou je Medzinárodný menový fond. Finančné pomoci poskytnut</w:t>
      </w:r>
      <w:r w:rsidR="001245D8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z EMS budú zaúčtované ako priame úvery tejto medzinárodnej inštitúcie. Riziko nesplatenia zdrojov, ktoré si požičia EMS, bude znášať samotné EMS, nie jeho akcionári. Z toho dôvodu nebudú finančné pomoci poskytnuté EMS priamo presmerované na národné účty veriteľských členských štátov eurozóny a nebudú tak zvyšovať ich dlh verejnej správy.</w:t>
      </w:r>
    </w:p>
    <w:p w:rsidR="00DD4B4D" w:rsidRPr="00C82EE7" w:rsidP="00DD4B4D">
      <w:pPr>
        <w:pStyle w:val="BodyText"/>
        <w:bidi w:val="0"/>
        <w:jc w:val="both"/>
        <w:rPr>
          <w:rFonts w:ascii="Times New Roman" w:hAnsi="Times New Roman"/>
          <w:bCs/>
        </w:rPr>
      </w:pPr>
    </w:p>
    <w:p w:rsidR="00DD4B4D" w:rsidRPr="00687C25" w:rsidP="006D55C5">
      <w:pPr>
        <w:pStyle w:val="NormalWeb"/>
        <w:bidi w:val="0"/>
        <w:spacing w:before="0" w:beforeAutospacing="0" w:after="0" w:afterAutospacing="0" w:line="360" w:lineRule="auto"/>
        <w:ind w:firstLine="705"/>
        <w:jc w:val="both"/>
        <w:rPr>
          <w:rFonts w:ascii="Times New Roman" w:hAnsi="Times New Roman"/>
        </w:rPr>
      </w:pPr>
    </w:p>
    <w:sectPr w:rsidSect="00CC7441">
      <w:footerReference w:type="even" r:id="rId4"/>
      <w:footerReference w:type="default" r:id="rId5"/>
      <w:pgSz w:w="11906" w:h="16838"/>
      <w:pgMar w:top="1276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39" w:rsidP="0029257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85239" w:rsidP="001B50F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39" w:rsidP="0029257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E61F1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85239" w:rsidP="001B50FF">
    <w:pPr>
      <w:pStyle w:val="Footer"/>
      <w:bidi w:val="0"/>
      <w:ind w:right="360"/>
      <w:jc w:val="right"/>
      <w:rPr>
        <w:rFonts w:ascii="Times New Roman" w:hAnsi="Times New Roman"/>
      </w:rPr>
    </w:pPr>
  </w:p>
  <w:p w:rsidR="0078523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5131"/>
    <w:multiLevelType w:val="hybridMultilevel"/>
    <w:tmpl w:val="1C7626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92018E"/>
    <w:multiLevelType w:val="hybridMultilevel"/>
    <w:tmpl w:val="5E0E950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D96D03"/>
    <w:multiLevelType w:val="hybridMultilevel"/>
    <w:tmpl w:val="B6BA93F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284759DE"/>
    <w:multiLevelType w:val="hybridMultilevel"/>
    <w:tmpl w:val="8470546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9DC29D4"/>
    <w:multiLevelType w:val="hybridMultilevel"/>
    <w:tmpl w:val="4BAED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06A2160"/>
    <w:multiLevelType w:val="hybridMultilevel"/>
    <w:tmpl w:val="FAFADC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68C4B66"/>
    <w:multiLevelType w:val="hybridMultilevel"/>
    <w:tmpl w:val="08C2778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44D3A"/>
    <w:multiLevelType w:val="hybridMultilevel"/>
    <w:tmpl w:val="1B46A1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DF4714A"/>
    <w:multiLevelType w:val="hybridMultilevel"/>
    <w:tmpl w:val="0B7C1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200CA"/>
    <w:multiLevelType w:val="hybridMultilevel"/>
    <w:tmpl w:val="6CCEAF0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25D8C"/>
    <w:multiLevelType w:val="hybridMultilevel"/>
    <w:tmpl w:val="3A6CBD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57464E4F"/>
    <w:multiLevelType w:val="hybridMultilevel"/>
    <w:tmpl w:val="D54C6F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59DB659B"/>
    <w:multiLevelType w:val="hybridMultilevel"/>
    <w:tmpl w:val="C4FC7ED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">
    <w:nsid w:val="5C1F5AD5"/>
    <w:multiLevelType w:val="hybridMultilevel"/>
    <w:tmpl w:val="D638E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D3DC8"/>
    <w:multiLevelType w:val="hybridMultilevel"/>
    <w:tmpl w:val="D54C6F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682F1DF1"/>
    <w:multiLevelType w:val="hybridMultilevel"/>
    <w:tmpl w:val="BF827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437B8"/>
    <w:multiLevelType w:val="hybridMultilevel"/>
    <w:tmpl w:val="A5483D92"/>
    <w:lvl w:ilvl="0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14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13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A7CA9"/>
    <w:rsid w:val="00050147"/>
    <w:rsid w:val="00052D4D"/>
    <w:rsid w:val="00056EE3"/>
    <w:rsid w:val="00095C05"/>
    <w:rsid w:val="000A7CA9"/>
    <w:rsid w:val="000C0057"/>
    <w:rsid w:val="00100821"/>
    <w:rsid w:val="00120CC7"/>
    <w:rsid w:val="00122033"/>
    <w:rsid w:val="001245D8"/>
    <w:rsid w:val="001414DB"/>
    <w:rsid w:val="00145474"/>
    <w:rsid w:val="0015070E"/>
    <w:rsid w:val="00151141"/>
    <w:rsid w:val="001620CB"/>
    <w:rsid w:val="0016306B"/>
    <w:rsid w:val="00182E92"/>
    <w:rsid w:val="001917E4"/>
    <w:rsid w:val="001A16C6"/>
    <w:rsid w:val="001B50FF"/>
    <w:rsid w:val="001D028B"/>
    <w:rsid w:val="001E162B"/>
    <w:rsid w:val="001E63B7"/>
    <w:rsid w:val="0020593E"/>
    <w:rsid w:val="00216BA9"/>
    <w:rsid w:val="00225825"/>
    <w:rsid w:val="00260C7C"/>
    <w:rsid w:val="002802DE"/>
    <w:rsid w:val="0029056D"/>
    <w:rsid w:val="002920DE"/>
    <w:rsid w:val="00292572"/>
    <w:rsid w:val="002938DC"/>
    <w:rsid w:val="002944F8"/>
    <w:rsid w:val="002A0480"/>
    <w:rsid w:val="002A6EED"/>
    <w:rsid w:val="002B02A1"/>
    <w:rsid w:val="002C574C"/>
    <w:rsid w:val="00307E79"/>
    <w:rsid w:val="00316077"/>
    <w:rsid w:val="00326550"/>
    <w:rsid w:val="003278CB"/>
    <w:rsid w:val="00334B8F"/>
    <w:rsid w:val="00342C49"/>
    <w:rsid w:val="00352279"/>
    <w:rsid w:val="00353CAD"/>
    <w:rsid w:val="003B6B34"/>
    <w:rsid w:val="003D1DC3"/>
    <w:rsid w:val="003E29E4"/>
    <w:rsid w:val="00407348"/>
    <w:rsid w:val="00411A7F"/>
    <w:rsid w:val="004266A4"/>
    <w:rsid w:val="004600E2"/>
    <w:rsid w:val="00464D25"/>
    <w:rsid w:val="00467A1D"/>
    <w:rsid w:val="00487810"/>
    <w:rsid w:val="004A11DD"/>
    <w:rsid w:val="004A1A89"/>
    <w:rsid w:val="004D1704"/>
    <w:rsid w:val="004D6243"/>
    <w:rsid w:val="004D6658"/>
    <w:rsid w:val="004E3E82"/>
    <w:rsid w:val="004E79F8"/>
    <w:rsid w:val="004F2E3E"/>
    <w:rsid w:val="004F4B10"/>
    <w:rsid w:val="00507068"/>
    <w:rsid w:val="00542B44"/>
    <w:rsid w:val="0055176A"/>
    <w:rsid w:val="005529B0"/>
    <w:rsid w:val="00563C8A"/>
    <w:rsid w:val="005839E5"/>
    <w:rsid w:val="005A7EC7"/>
    <w:rsid w:val="005C1EC1"/>
    <w:rsid w:val="005C449F"/>
    <w:rsid w:val="005D4E0C"/>
    <w:rsid w:val="005E3D57"/>
    <w:rsid w:val="005F1B4C"/>
    <w:rsid w:val="00614FAD"/>
    <w:rsid w:val="00617B41"/>
    <w:rsid w:val="00663828"/>
    <w:rsid w:val="00665635"/>
    <w:rsid w:val="00687C25"/>
    <w:rsid w:val="006D55C5"/>
    <w:rsid w:val="006E1350"/>
    <w:rsid w:val="00702F0C"/>
    <w:rsid w:val="00704A56"/>
    <w:rsid w:val="00725EB1"/>
    <w:rsid w:val="00726CB7"/>
    <w:rsid w:val="00744B89"/>
    <w:rsid w:val="00766EB8"/>
    <w:rsid w:val="00784867"/>
    <w:rsid w:val="00785239"/>
    <w:rsid w:val="0078780D"/>
    <w:rsid w:val="007A6AD2"/>
    <w:rsid w:val="007C12EA"/>
    <w:rsid w:val="007D40EB"/>
    <w:rsid w:val="007E69F7"/>
    <w:rsid w:val="007F1296"/>
    <w:rsid w:val="008045A5"/>
    <w:rsid w:val="00806B48"/>
    <w:rsid w:val="008174E3"/>
    <w:rsid w:val="00823654"/>
    <w:rsid w:val="00837A6F"/>
    <w:rsid w:val="0086494E"/>
    <w:rsid w:val="008738EF"/>
    <w:rsid w:val="00875C50"/>
    <w:rsid w:val="0089612A"/>
    <w:rsid w:val="008A3E60"/>
    <w:rsid w:val="008B7C23"/>
    <w:rsid w:val="008C321A"/>
    <w:rsid w:val="008E0A0A"/>
    <w:rsid w:val="008F6127"/>
    <w:rsid w:val="009062E6"/>
    <w:rsid w:val="009157B7"/>
    <w:rsid w:val="00990D41"/>
    <w:rsid w:val="00990EC5"/>
    <w:rsid w:val="0099222E"/>
    <w:rsid w:val="009B55BA"/>
    <w:rsid w:val="009B715C"/>
    <w:rsid w:val="009B7C1A"/>
    <w:rsid w:val="009E3901"/>
    <w:rsid w:val="009E703C"/>
    <w:rsid w:val="009F091B"/>
    <w:rsid w:val="00A004D0"/>
    <w:rsid w:val="00A17C03"/>
    <w:rsid w:val="00A2197C"/>
    <w:rsid w:val="00A25D27"/>
    <w:rsid w:val="00A33D0E"/>
    <w:rsid w:val="00A3621A"/>
    <w:rsid w:val="00A37F51"/>
    <w:rsid w:val="00A8359B"/>
    <w:rsid w:val="00AB7B31"/>
    <w:rsid w:val="00AD4243"/>
    <w:rsid w:val="00AD5446"/>
    <w:rsid w:val="00AE3626"/>
    <w:rsid w:val="00AE5207"/>
    <w:rsid w:val="00AE6B72"/>
    <w:rsid w:val="00AF5A34"/>
    <w:rsid w:val="00B17568"/>
    <w:rsid w:val="00B51F07"/>
    <w:rsid w:val="00B67F7B"/>
    <w:rsid w:val="00B76695"/>
    <w:rsid w:val="00B83194"/>
    <w:rsid w:val="00B91A2C"/>
    <w:rsid w:val="00B956E5"/>
    <w:rsid w:val="00BA2F42"/>
    <w:rsid w:val="00BC7F67"/>
    <w:rsid w:val="00BE5B00"/>
    <w:rsid w:val="00BE5C71"/>
    <w:rsid w:val="00BE61F1"/>
    <w:rsid w:val="00C26197"/>
    <w:rsid w:val="00C322A7"/>
    <w:rsid w:val="00C4118E"/>
    <w:rsid w:val="00C64CA1"/>
    <w:rsid w:val="00C82EE7"/>
    <w:rsid w:val="00C93C6D"/>
    <w:rsid w:val="00C945C3"/>
    <w:rsid w:val="00C9729D"/>
    <w:rsid w:val="00C979CB"/>
    <w:rsid w:val="00CA1F27"/>
    <w:rsid w:val="00CA2CE1"/>
    <w:rsid w:val="00CC7441"/>
    <w:rsid w:val="00CD205B"/>
    <w:rsid w:val="00CE52EC"/>
    <w:rsid w:val="00CF386C"/>
    <w:rsid w:val="00D064B0"/>
    <w:rsid w:val="00D1730C"/>
    <w:rsid w:val="00D34440"/>
    <w:rsid w:val="00D42910"/>
    <w:rsid w:val="00D47765"/>
    <w:rsid w:val="00D51F14"/>
    <w:rsid w:val="00D62670"/>
    <w:rsid w:val="00D65009"/>
    <w:rsid w:val="00D765EC"/>
    <w:rsid w:val="00D7711F"/>
    <w:rsid w:val="00D825A6"/>
    <w:rsid w:val="00D84DF1"/>
    <w:rsid w:val="00D977E7"/>
    <w:rsid w:val="00D97E50"/>
    <w:rsid w:val="00DB287D"/>
    <w:rsid w:val="00DC1669"/>
    <w:rsid w:val="00DC31CD"/>
    <w:rsid w:val="00DC3EBF"/>
    <w:rsid w:val="00DC5C77"/>
    <w:rsid w:val="00DC7D61"/>
    <w:rsid w:val="00DD4B4D"/>
    <w:rsid w:val="00DF2A15"/>
    <w:rsid w:val="00DF40BC"/>
    <w:rsid w:val="00DF53A2"/>
    <w:rsid w:val="00E0592E"/>
    <w:rsid w:val="00E13D0F"/>
    <w:rsid w:val="00E167B2"/>
    <w:rsid w:val="00E21D14"/>
    <w:rsid w:val="00E24AF3"/>
    <w:rsid w:val="00E45DB9"/>
    <w:rsid w:val="00E751B1"/>
    <w:rsid w:val="00E96DE9"/>
    <w:rsid w:val="00EA7AAE"/>
    <w:rsid w:val="00EC6528"/>
    <w:rsid w:val="00ED35A6"/>
    <w:rsid w:val="00EE4144"/>
    <w:rsid w:val="00F028AB"/>
    <w:rsid w:val="00F068CD"/>
    <w:rsid w:val="00F4528F"/>
    <w:rsid w:val="00F76164"/>
    <w:rsid w:val="00F84C43"/>
    <w:rsid w:val="00F92A5F"/>
    <w:rsid w:val="00FA59CC"/>
    <w:rsid w:val="00FA7ED6"/>
    <w:rsid w:val="00FB00F9"/>
    <w:rsid w:val="00FB185C"/>
    <w:rsid w:val="00FB3ABD"/>
    <w:rsid w:val="00FB684B"/>
    <w:rsid w:val="00FC42C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0A7CA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semiHidden/>
    <w:unhideWhenUsed/>
    <w:rsid w:val="000A7CA9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A7CA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CA9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A7C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CA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CA9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Odsekzoznamu">
    <w:name w:val="Odsek zoznamu"/>
    <w:basedOn w:val="Normal"/>
    <w:uiPriority w:val="34"/>
    <w:qFormat/>
    <w:rsid w:val="00C26197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semiHidden/>
    <w:unhideWhenUsed/>
    <w:rsid w:val="005F1B4C"/>
    <w:pPr>
      <w:tabs>
        <w:tab w:val="center" w:pos="4703"/>
        <w:tab w:val="right" w:pos="9406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1B4C"/>
    <w:rPr>
      <w:rFonts w:ascii="Times New Roman" w:hAnsi="Times New Roman" w:cs="Times New Roman"/>
      <w:sz w:val="24"/>
      <w:szCs w:val="24"/>
      <w:rtl w:val="0"/>
      <w:cs w:val="0"/>
      <w:lang w:val="sk-SK" w:eastAsia="sk-SK"/>
    </w:rPr>
  </w:style>
  <w:style w:type="paragraph" w:styleId="Footer">
    <w:name w:val="footer"/>
    <w:basedOn w:val="Normal"/>
    <w:link w:val="FooterChar"/>
    <w:uiPriority w:val="99"/>
    <w:unhideWhenUsed/>
    <w:rsid w:val="005F1B4C"/>
    <w:pPr>
      <w:tabs>
        <w:tab w:val="center" w:pos="4703"/>
        <w:tab w:val="right" w:pos="9406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1B4C"/>
    <w:rPr>
      <w:rFonts w:ascii="Times New Roman" w:hAnsi="Times New Roman" w:cs="Times New Roman"/>
      <w:sz w:val="24"/>
      <w:szCs w:val="24"/>
      <w:rtl w:val="0"/>
      <w:cs w:val="0"/>
      <w:lang w:val="sk-SK" w:eastAsia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1D14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21D14"/>
    <w:rPr>
      <w:rFonts w:ascii="Times New Roman" w:hAnsi="Times New Roman" w:cs="Times New Roman"/>
      <w:rtl w:val="0"/>
      <w:cs w:val="0"/>
      <w:lang w:val="sk-SK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E21D14"/>
    <w:rPr>
      <w:rFonts w:cs="Times New Roman"/>
      <w:vertAlign w:val="superscript"/>
      <w:rtl w:val="0"/>
      <w:cs w:val="0"/>
    </w:rPr>
  </w:style>
  <w:style w:type="character" w:styleId="PageNumber">
    <w:name w:val="page number"/>
    <w:basedOn w:val="DefaultParagraphFont"/>
    <w:rsid w:val="001B50FF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1D028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DefaultParagraphFont"/>
    <w:rsid w:val="001D028B"/>
    <w:rPr>
      <w:rFonts w:cs="Times New Roman"/>
      <w:rtl w:val="0"/>
      <w:cs w:val="0"/>
    </w:rPr>
  </w:style>
  <w:style w:type="character" w:customStyle="1" w:styleId="apple-style-span">
    <w:name w:val="apple-style-span"/>
    <w:basedOn w:val="DefaultParagraphFont"/>
    <w:rsid w:val="001D028B"/>
    <w:rPr>
      <w:rFonts w:cs="Times New Roman"/>
      <w:rtl w:val="0"/>
      <w:cs w:val="0"/>
    </w:rPr>
  </w:style>
  <w:style w:type="character" w:customStyle="1" w:styleId="PlainTextChar">
    <w:name w:val="Plain Text Char"/>
    <w:basedOn w:val="DefaultParagraphFont"/>
    <w:link w:val="PlainText"/>
    <w:semiHidden/>
    <w:locked/>
    <w:rsid w:val="00D62670"/>
    <w:rPr>
      <w:rFonts w:ascii="Arial Narrow" w:hAnsi="Arial Narrow" w:cs="Times New Roman"/>
      <w:sz w:val="22"/>
      <w:szCs w:val="22"/>
      <w:rtl w:val="0"/>
      <w:cs w:val="0"/>
    </w:rPr>
  </w:style>
  <w:style w:type="paragraph" w:styleId="PlainText">
    <w:name w:val="Plain Text"/>
    <w:basedOn w:val="Normal"/>
    <w:link w:val="PlainTextChar"/>
    <w:semiHidden/>
    <w:rsid w:val="00D62670"/>
    <w:pPr>
      <w:jc w:val="left"/>
    </w:pPr>
    <w:rPr>
      <w:rFonts w:ascii="Arial Narrow" w:eastAsia="Calibri" w:hAnsi="Arial Narrow"/>
      <w:sz w:val="22"/>
      <w:szCs w:val="22"/>
    </w:rPr>
  </w:style>
  <w:style w:type="character" w:customStyle="1" w:styleId="ObyajntextChar1">
    <w:name w:val="Obyčajný text Char1"/>
    <w:basedOn w:val="DefaultParagraphFont"/>
    <w:link w:val="PlainText"/>
    <w:uiPriority w:val="99"/>
    <w:semiHidden/>
    <w:locked/>
    <w:rsid w:val="00D62670"/>
    <w:rPr>
      <w:rFonts w:ascii="Courier New" w:hAnsi="Courier New" w:cs="Courier New"/>
      <w:rtl w:val="0"/>
      <w:cs w:val="0"/>
    </w:rPr>
  </w:style>
  <w:style w:type="paragraph" w:styleId="BodyTextIndent">
    <w:name w:val="Body Text Indent"/>
    <w:basedOn w:val="Normal"/>
    <w:link w:val="BodyTextIndentChar"/>
    <w:rsid w:val="006D55C5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locked/>
    <w:rsid w:val="006D55C5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Zkladntext">
    <w:name w:val="Základní text"/>
    <w:rsid w:val="006D55C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7D40EB"/>
    <w:pPr>
      <w:jc w:val="left"/>
    </w:pPr>
    <w:rPr>
      <w:lang w:val="pl-PL" w:eastAsia="pl-PL"/>
    </w:rPr>
  </w:style>
  <w:style w:type="character" w:customStyle="1" w:styleId="hps">
    <w:name w:val="hps"/>
    <w:basedOn w:val="DefaultParagraphFont"/>
    <w:rsid w:val="00CA2CE1"/>
    <w:rPr>
      <w:rFonts w:cs="Times New Roman"/>
      <w:shd w:val="clear" w:color="auto" w:fill="auto"/>
      <w:rtl w:val="0"/>
      <w:cs w:val="0"/>
    </w:rPr>
  </w:style>
  <w:style w:type="paragraph" w:styleId="TOC5">
    <w:name w:val="toc 5"/>
    <w:basedOn w:val="Normal"/>
    <w:next w:val="Normal"/>
    <w:rsid w:val="00AE3626"/>
    <w:pPr>
      <w:widowControl w:val="0"/>
      <w:tabs>
        <w:tab w:val="left" w:pos="2835"/>
        <w:tab w:val="right" w:leader="dot" w:pos="9639"/>
      </w:tabs>
      <w:spacing w:line="360" w:lineRule="auto"/>
      <w:ind w:left="2835" w:right="567" w:hanging="567"/>
      <w:jc w:val="left"/>
    </w:pPr>
    <w:rPr>
      <w:szCs w:val="20"/>
      <w:lang w:eastAsia="fr-BE"/>
    </w:rPr>
  </w:style>
  <w:style w:type="character" w:customStyle="1" w:styleId="hpsatn">
    <w:name w:val="hps atn"/>
    <w:basedOn w:val="DefaultParagraphFont"/>
    <w:rsid w:val="00AE3626"/>
    <w:rPr>
      <w:rFonts w:cs="Times New Roman"/>
      <w:shd w:val="clear" w:color="auto" w:fill="auto"/>
      <w:rtl w:val="0"/>
      <w:cs w:val="0"/>
    </w:rPr>
  </w:style>
  <w:style w:type="paragraph" w:styleId="BodyText">
    <w:name w:val="Body Text"/>
    <w:basedOn w:val="Normal"/>
    <w:rsid w:val="00DD4B4D"/>
    <w:pPr>
      <w:spacing w:after="120"/>
      <w:jc w:val="left"/>
    </w:pPr>
  </w:style>
  <w:style w:type="character" w:customStyle="1" w:styleId="Zvraznenie1">
    <w:name w:val="Zvýraznenie1"/>
    <w:basedOn w:val="DefaultParagraphFont"/>
    <w:rsid w:val="002A6EED"/>
    <w:rPr>
      <w:rFonts w:cs="Times New Roman"/>
      <w:b/>
      <w:bCs/>
      <w:i w:val="0"/>
      <w:iCs w:val="0"/>
      <w:color w:val="000000"/>
      <w:rtl w:val="0"/>
      <w:cs w:val="0"/>
    </w:rPr>
  </w:style>
  <w:style w:type="character" w:customStyle="1" w:styleId="st1">
    <w:name w:val="st1"/>
    <w:basedOn w:val="DefaultParagraphFont"/>
    <w:rsid w:val="002A6EED"/>
    <w:rPr>
      <w:rFonts w:cs="Times New Roman"/>
      <w:b w:val="0"/>
      <w:bCs w:val="0"/>
      <w:color w:val="222222"/>
      <w:sz w:val="27"/>
      <w:szCs w:val="27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1696</Words>
  <Characters>9672</Characters>
  <Application>Microsoft Office Word</Application>
  <DocSecurity>0</DocSecurity>
  <Lines>0</Lines>
  <Paragraphs>0</Paragraphs>
  <ScaleCrop>false</ScaleCrop>
  <Company>mfsr</Company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Európsky finančný stabilizačný mechanizmus</dc:title>
  <dc:creator>msapak</dc:creator>
  <cp:lastModifiedBy>Gašparíková, Jarmila</cp:lastModifiedBy>
  <cp:revision>2</cp:revision>
  <cp:lastPrinted>2012-05-17T09:41:00Z</cp:lastPrinted>
  <dcterms:created xsi:type="dcterms:W3CDTF">2012-05-17T15:49:00Z</dcterms:created>
  <dcterms:modified xsi:type="dcterms:W3CDTF">2012-05-17T15:49:00Z</dcterms:modified>
</cp:coreProperties>
</file>