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4591B">
      <w:pPr>
        <w:pStyle w:val="Heading5"/>
        <w:bidi w:val="0"/>
        <w:rPr>
          <w:rFonts w:ascii="Times New Roman" w:hAnsi="Times New Roman"/>
          <w:spacing w:val="20"/>
        </w:rPr>
      </w:pPr>
      <w:r>
        <w:rPr>
          <w:rFonts w:ascii="Times New Roman" w:hAnsi="Times New Roman"/>
          <w:spacing w:val="20"/>
        </w:rPr>
        <w:t>Správa</w:t>
      </w:r>
    </w:p>
    <w:p w:rsidR="0004591B">
      <w:pPr>
        <w:pStyle w:val="T1"/>
        <w:bidi w:val="0"/>
        <w:spacing w:before="0" w:after="0"/>
        <w:rPr>
          <w:rFonts w:ascii="Times New Roman" w:hAnsi="Times New Roman"/>
          <w:bCs/>
          <w:sz w:val="20"/>
        </w:rPr>
      </w:pPr>
    </w:p>
    <w:p w:rsidR="0004591B">
      <w:pPr>
        <w:bidi w:val="0"/>
        <w:jc w:val="center"/>
        <w:rPr>
          <w:rFonts w:ascii="Times New Roman" w:hAnsi="Times New Roman"/>
          <w:b/>
          <w:bCs/>
          <w:sz w:val="28"/>
        </w:rPr>
      </w:pPr>
      <w:r>
        <w:rPr>
          <w:rFonts w:ascii="Times New Roman" w:hAnsi="Times New Roman"/>
          <w:b/>
          <w:bCs/>
          <w:sz w:val="28"/>
        </w:rPr>
        <w:t xml:space="preserve"> o stave jadrovej bezpečnosti jadrových zariadení na území Slovenskej republiky a o činnosti Úradu jadrového dozoru Slovenskej republiky </w:t>
      </w:r>
    </w:p>
    <w:p w:rsidR="0004591B">
      <w:pPr>
        <w:bidi w:val="0"/>
        <w:jc w:val="center"/>
        <w:rPr>
          <w:rFonts w:ascii="Times New Roman" w:hAnsi="Times New Roman"/>
          <w:b/>
          <w:bCs/>
          <w:sz w:val="28"/>
        </w:rPr>
      </w:pPr>
      <w:r w:rsidR="007954C2">
        <w:rPr>
          <w:rFonts w:ascii="Times New Roman" w:hAnsi="Times New Roman"/>
          <w:b/>
          <w:bCs/>
          <w:sz w:val="28"/>
        </w:rPr>
        <w:t>za rok 20</w:t>
      </w:r>
      <w:r w:rsidR="005504F0">
        <w:rPr>
          <w:rFonts w:ascii="Times New Roman" w:hAnsi="Times New Roman"/>
          <w:b/>
          <w:bCs/>
          <w:sz w:val="28"/>
        </w:rPr>
        <w:t>1</w:t>
      </w:r>
      <w:r w:rsidR="00196C31">
        <w:rPr>
          <w:rFonts w:ascii="Times New Roman" w:hAnsi="Times New Roman"/>
          <w:b/>
          <w:bCs/>
          <w:sz w:val="28"/>
        </w:rPr>
        <w:t>1</w:t>
      </w:r>
    </w:p>
    <w:p w:rsidR="0004591B">
      <w:pPr>
        <w:pStyle w:val="BodyText32"/>
        <w:bidi w:val="0"/>
        <w:rPr>
          <w:rFonts w:ascii="Times New Roman" w:hAnsi="Times New Roman"/>
          <w:bCs/>
          <w:caps/>
          <w:sz w:val="28"/>
        </w:rPr>
      </w:pPr>
    </w:p>
    <w:p w:rsidR="002941F6">
      <w:pPr>
        <w:pStyle w:val="BodyText32"/>
        <w:bidi w:val="0"/>
        <w:rPr>
          <w:rFonts w:ascii="Times New Roman" w:hAnsi="Times New Roman"/>
          <w:bCs/>
          <w:caps/>
          <w:sz w:val="28"/>
        </w:rPr>
      </w:pPr>
    </w:p>
    <w:p w:rsidR="002941F6">
      <w:pPr>
        <w:pStyle w:val="BodyText32"/>
        <w:bidi w:val="0"/>
        <w:rPr>
          <w:rFonts w:ascii="Times New Roman" w:hAnsi="Times New Roman"/>
          <w:bCs/>
          <w:caps/>
          <w:sz w:val="28"/>
        </w:rPr>
      </w:pPr>
    </w:p>
    <w:p w:rsidR="0004591B">
      <w:pPr>
        <w:pStyle w:val="BodyText32"/>
        <w:bidi w:val="0"/>
        <w:rPr>
          <w:rFonts w:ascii="Times New Roman" w:hAnsi="Times New Roman"/>
          <w:bCs/>
          <w:caps/>
          <w:sz w:val="28"/>
        </w:rPr>
      </w:pPr>
      <w:r>
        <w:rPr>
          <w:rFonts w:ascii="Times New Roman" w:hAnsi="Times New Roman"/>
          <w:bCs/>
          <w:caps/>
          <w:sz w:val="28"/>
        </w:rPr>
        <w:t>Úvod</w:t>
      </w:r>
    </w:p>
    <w:p w:rsidR="0004591B">
      <w:pPr>
        <w:bidi w:val="0"/>
        <w:rPr>
          <w:rFonts w:ascii="Times New Roman" w:hAnsi="Times New Roman"/>
          <w:b/>
          <w:bCs/>
        </w:rPr>
      </w:pPr>
    </w:p>
    <w:p w:rsidR="0004591B">
      <w:pPr>
        <w:pStyle w:val="BodyText"/>
        <w:bidi w:val="0"/>
        <w:rPr>
          <w:rFonts w:ascii="Times New Roman" w:hAnsi="Times New Roman"/>
        </w:rPr>
      </w:pPr>
      <w:r>
        <w:rPr>
          <w:rFonts w:ascii="Times New Roman" w:hAnsi="Times New Roman"/>
        </w:rPr>
        <w:t xml:space="preserve">Správa Úradu jadrového dozoru Slovenskej republiky (ďalej len </w:t>
      </w:r>
      <w:r w:rsidR="00D37941">
        <w:rPr>
          <w:rFonts w:ascii="Times New Roman" w:hAnsi="Times New Roman"/>
          <w:lang w:val="sk-SK"/>
        </w:rPr>
        <w:t>„</w:t>
      </w:r>
      <w:r>
        <w:rPr>
          <w:rFonts w:ascii="Times New Roman" w:hAnsi="Times New Roman"/>
        </w:rPr>
        <w:t>ÚJD SR</w:t>
      </w:r>
      <w:r w:rsidR="00D37941">
        <w:rPr>
          <w:rFonts w:ascii="Times New Roman" w:hAnsi="Times New Roman"/>
          <w:lang w:val="sk-SK"/>
        </w:rPr>
        <w:t>“</w:t>
      </w:r>
      <w:r>
        <w:rPr>
          <w:rFonts w:ascii="Times New Roman" w:hAnsi="Times New Roman"/>
        </w:rPr>
        <w:t>) za rok 20</w:t>
      </w:r>
      <w:r w:rsidR="005504F0">
        <w:rPr>
          <w:rFonts w:ascii="Times New Roman" w:hAnsi="Times New Roman"/>
        </w:rPr>
        <w:t>1</w:t>
      </w:r>
      <w:r w:rsidR="00196C31">
        <w:rPr>
          <w:rFonts w:ascii="Times New Roman" w:hAnsi="Times New Roman"/>
          <w:lang w:val="sk-SK"/>
        </w:rPr>
        <w:t>1</w:t>
      </w:r>
      <w:r>
        <w:rPr>
          <w:rFonts w:ascii="Times New Roman" w:hAnsi="Times New Roman"/>
        </w:rPr>
        <w:t xml:space="preserve"> je spracovaná podľa </w:t>
      </w:r>
      <w:r w:rsidR="00B028BB">
        <w:rPr>
          <w:rFonts w:ascii="Times New Roman" w:hAnsi="Times New Roman"/>
          <w:lang w:val="sk-SK"/>
        </w:rPr>
        <w:t>z</w:t>
      </w:r>
      <w:r>
        <w:rPr>
          <w:rFonts w:ascii="Times New Roman" w:hAnsi="Times New Roman"/>
        </w:rPr>
        <w:t>ákona č.</w:t>
      </w:r>
      <w:r w:rsidR="008F74FF">
        <w:rPr>
          <w:rFonts w:ascii="Times New Roman" w:hAnsi="Times New Roman"/>
          <w:lang w:val="sk-SK"/>
        </w:rPr>
        <w:t> </w:t>
      </w:r>
      <w:r>
        <w:rPr>
          <w:rFonts w:ascii="Times New Roman" w:hAnsi="Times New Roman"/>
        </w:rPr>
        <w:t>541/2004 Z. z. o mierovom využívaní jadrovej energie</w:t>
      </w:r>
      <w:r w:rsidR="00D37941">
        <w:rPr>
          <w:rFonts w:ascii="Times New Roman" w:hAnsi="Times New Roman"/>
          <w:lang w:val="sk-SK"/>
        </w:rPr>
        <w:t xml:space="preserve"> </w:t>
      </w:r>
      <w:r w:rsidR="00B028BB">
        <w:rPr>
          <w:rFonts w:ascii="Times New Roman" w:hAnsi="Times New Roman"/>
        </w:rPr>
        <w:t xml:space="preserve">(atómový zákon) </w:t>
      </w:r>
      <w:r>
        <w:rPr>
          <w:rFonts w:ascii="Times New Roman" w:hAnsi="Times New Roman"/>
        </w:rPr>
        <w:t>a o zmene a doplnení niektorých zákonov</w:t>
      </w:r>
      <w:r w:rsidR="00B028BB">
        <w:rPr>
          <w:rFonts w:ascii="Times New Roman" w:hAnsi="Times New Roman"/>
          <w:lang w:val="sk-SK"/>
        </w:rPr>
        <w:t xml:space="preserve"> v znení neskorších predpisov</w:t>
      </w:r>
      <w:r w:rsidR="00B028BB">
        <w:rPr>
          <w:rFonts w:ascii="Times New Roman" w:hAnsi="Times New Roman"/>
          <w:lang w:val="sk-SK"/>
        </w:rPr>
        <w:t xml:space="preserve"> </w:t>
      </w:r>
      <w:r>
        <w:rPr>
          <w:rFonts w:ascii="Times New Roman" w:hAnsi="Times New Roman"/>
        </w:rPr>
        <w:t xml:space="preserve">a podáva súhrnnú informáciu o činnosti ÚJD SR a o hodnotení a kontrole stavu jadrovej bezpečnosti jadrových zariadení na území Slovenskej republiky </w:t>
      </w:r>
      <w:r w:rsidR="007D61F0">
        <w:rPr>
          <w:rFonts w:ascii="Times New Roman" w:hAnsi="Times New Roman"/>
          <w:lang w:val="sk-SK"/>
        </w:rPr>
        <w:t xml:space="preserve">(ďalej len „SR“) </w:t>
      </w:r>
      <w:r w:rsidR="00981F1F">
        <w:rPr>
          <w:rFonts w:ascii="Times New Roman" w:hAnsi="Times New Roman"/>
        </w:rPr>
        <w:t>za</w:t>
      </w:r>
      <w:r>
        <w:rPr>
          <w:rFonts w:ascii="Times New Roman" w:hAnsi="Times New Roman"/>
        </w:rPr>
        <w:t> rok</w:t>
      </w:r>
      <w:r w:rsidR="00F71D73">
        <w:rPr>
          <w:rFonts w:ascii="Times New Roman" w:hAnsi="Times New Roman"/>
          <w:lang w:val="sk-SK"/>
        </w:rPr>
        <w:t xml:space="preserve"> 201</w:t>
      </w:r>
      <w:r w:rsidR="00BF590D">
        <w:rPr>
          <w:rFonts w:ascii="Times New Roman" w:hAnsi="Times New Roman"/>
          <w:lang w:val="sk-SK"/>
        </w:rPr>
        <w:t>1</w:t>
      </w:r>
      <w:r>
        <w:rPr>
          <w:rFonts w:ascii="Times New Roman" w:hAnsi="Times New Roman"/>
        </w:rPr>
        <w:t xml:space="preserve">. </w:t>
      </w:r>
    </w:p>
    <w:p w:rsidR="0004591B">
      <w:pPr>
        <w:pStyle w:val="BodyText"/>
        <w:bidi w:val="0"/>
        <w:rPr>
          <w:rFonts w:ascii="Times New Roman" w:hAnsi="Times New Roman"/>
        </w:rPr>
      </w:pPr>
      <w:r>
        <w:rPr>
          <w:rFonts w:ascii="Times New Roman" w:hAnsi="Times New Roman"/>
        </w:rPr>
        <w:t xml:space="preserve">ÚJD SR vykonáva podľa </w:t>
      </w:r>
      <w:r w:rsidR="00B028BB">
        <w:rPr>
          <w:rFonts w:ascii="Times New Roman" w:hAnsi="Times New Roman"/>
          <w:lang w:val="sk-SK"/>
        </w:rPr>
        <w:t>z</w:t>
      </w:r>
      <w:r>
        <w:rPr>
          <w:rFonts w:ascii="Times New Roman" w:hAnsi="Times New Roman"/>
        </w:rPr>
        <w:t xml:space="preserve">ákona </w:t>
      </w:r>
      <w:r w:rsidR="00B028BB">
        <w:rPr>
          <w:rFonts w:ascii="Times New Roman" w:hAnsi="Times New Roman"/>
          <w:lang w:val="sk-SK"/>
        </w:rPr>
        <w:t>č.</w:t>
      </w:r>
      <w:r w:rsidR="008F74FF">
        <w:rPr>
          <w:rFonts w:ascii="Times New Roman" w:hAnsi="Times New Roman"/>
          <w:lang w:val="sk-SK"/>
        </w:rPr>
        <w:t> </w:t>
      </w:r>
      <w:r>
        <w:rPr>
          <w:rFonts w:ascii="Times New Roman" w:hAnsi="Times New Roman"/>
        </w:rPr>
        <w:t xml:space="preserve">575/2001 Z. z. o organizácii činnosti vlády a organizácii ústrednej štátnej správy </w:t>
      </w:r>
      <w:r w:rsidR="00B028BB">
        <w:rPr>
          <w:rFonts w:ascii="Times New Roman" w:hAnsi="Times New Roman"/>
          <w:lang w:val="sk-SK"/>
        </w:rPr>
        <w:t xml:space="preserve">v znení neskorších predpisov </w:t>
      </w:r>
      <w:r>
        <w:rPr>
          <w:rFonts w:ascii="Times New Roman" w:hAnsi="Times New Roman"/>
        </w:rPr>
        <w:t>a atómového zákona štátny dozor v oblasti využívania jadrovej energie a bezpečného nakladania s vyhoretým jadrovým palivom a rádioaktívnymi odpadmi, pri fyzickej ochrane jadrových materiálov,</w:t>
      </w:r>
      <w:r w:rsidR="00C64AEC">
        <w:rPr>
          <w:rFonts w:ascii="Times New Roman" w:hAnsi="Times New Roman"/>
        </w:rPr>
        <w:t xml:space="preserve"> </w:t>
      </w:r>
      <w:r>
        <w:rPr>
          <w:rFonts w:ascii="Times New Roman" w:hAnsi="Times New Roman"/>
        </w:rPr>
        <w:t>pri havarijnom plánovaní</w:t>
      </w:r>
      <w:r w:rsidR="00B61AC5">
        <w:rPr>
          <w:rFonts w:ascii="Times New Roman" w:hAnsi="Times New Roman"/>
          <w:lang w:val="sk-SK"/>
        </w:rPr>
        <w:t xml:space="preserve"> </w:t>
      </w:r>
      <w:r>
        <w:rPr>
          <w:rFonts w:ascii="Times New Roman" w:hAnsi="Times New Roman"/>
        </w:rPr>
        <w:t>v SR pre prípad radiačného ohrozenia a z</w:t>
      </w:r>
      <w:r w:rsidR="00F71D73">
        <w:rPr>
          <w:rFonts w:ascii="Times New Roman" w:hAnsi="Times New Roman"/>
          <w:lang w:val="sk-SK"/>
        </w:rPr>
        <w:t>abezpečuje</w:t>
      </w:r>
      <w:r>
        <w:rPr>
          <w:rFonts w:ascii="Times New Roman" w:hAnsi="Times New Roman"/>
        </w:rPr>
        <w:t xml:space="preserve"> plnenie povinností vyplývajúcich z medzinárodných zmlúv a dohôd v oblasti mierového využívania jadrovej energie. </w:t>
      </w:r>
    </w:p>
    <w:p w:rsidR="0004591B">
      <w:pPr>
        <w:pStyle w:val="BodyText"/>
        <w:bidi w:val="0"/>
        <w:rPr>
          <w:rFonts w:ascii="Times New Roman" w:hAnsi="Times New Roman"/>
          <w:lang w:val="sk-SK"/>
        </w:rPr>
      </w:pPr>
    </w:p>
    <w:p w:rsidR="00877FEB" w:rsidRPr="00877FEB">
      <w:pPr>
        <w:pStyle w:val="BodyText"/>
        <w:bidi w:val="0"/>
        <w:rPr>
          <w:rFonts w:ascii="Times New Roman" w:hAnsi="Times New Roman"/>
          <w:lang w:val="sk-SK"/>
        </w:rPr>
      </w:pPr>
    </w:p>
    <w:p w:rsidR="0004591B" w:rsidP="006D0191">
      <w:pPr>
        <w:pStyle w:val="Heading1"/>
        <w:tabs>
          <w:tab w:val="num" w:pos="426"/>
          <w:tab w:val="clear" w:pos="5747"/>
        </w:tabs>
        <w:bidi w:val="0"/>
        <w:ind w:left="357" w:hanging="357"/>
        <w:rPr>
          <w:rFonts w:ascii="Times New Roman" w:hAnsi="Times New Roman"/>
        </w:rPr>
      </w:pPr>
      <w:bookmarkStart w:id="0" w:name="_Toc158112578"/>
      <w:bookmarkStart w:id="1" w:name="_Toc162317347"/>
      <w:bookmarkStart w:id="2" w:name="_Toc285032436"/>
      <w:bookmarkStart w:id="3" w:name="_Toc320719708"/>
      <w:r>
        <w:rPr>
          <w:rFonts w:ascii="Times New Roman" w:hAnsi="Times New Roman"/>
        </w:rPr>
        <w:t>Výkon dozoru</w:t>
      </w:r>
      <w:bookmarkEnd w:id="0"/>
      <w:bookmarkEnd w:id="1"/>
      <w:bookmarkEnd w:id="2"/>
      <w:bookmarkEnd w:id="3"/>
    </w:p>
    <w:p w:rsidR="0004591B">
      <w:pPr>
        <w:pStyle w:val="BodyText"/>
        <w:bidi w:val="0"/>
        <w:rPr>
          <w:rFonts w:ascii="Times New Roman" w:hAnsi="Times New Roman"/>
        </w:rPr>
      </w:pPr>
    </w:p>
    <w:p w:rsidR="0004591B">
      <w:pPr>
        <w:pStyle w:val="BodyText"/>
        <w:bidi w:val="0"/>
        <w:rPr>
          <w:rFonts w:ascii="Times New Roman" w:hAnsi="Times New Roman"/>
        </w:rPr>
      </w:pPr>
      <w:r>
        <w:rPr>
          <w:rFonts w:ascii="Times New Roman" w:hAnsi="Times New Roman"/>
        </w:rPr>
        <w:t>Výkon dozoru nad jadrovou bezpečnosťou sa realizuje v</w:t>
      </w:r>
      <w:r w:rsidR="00C64AEC">
        <w:rPr>
          <w:rFonts w:ascii="Times New Roman" w:hAnsi="Times New Roman"/>
        </w:rPr>
        <w:t xml:space="preserve"> </w:t>
      </w:r>
      <w:r>
        <w:rPr>
          <w:rFonts w:ascii="Times New Roman" w:hAnsi="Times New Roman"/>
        </w:rPr>
        <w:t>nasledovných hlavných oblastiach:</w:t>
      </w:r>
    </w:p>
    <w:p w:rsidR="0004591B" w:rsidP="00A4278F">
      <w:pPr>
        <w:pStyle w:val="ListBullet"/>
        <w:bidi w:val="0"/>
        <w:rPr>
          <w:rFonts w:ascii="Times New Roman" w:hAnsi="Times New Roman"/>
        </w:rPr>
      </w:pPr>
    </w:p>
    <w:p w:rsidR="0004591B" w:rsidRPr="00492887" w:rsidP="00E700F5">
      <w:pPr>
        <w:pStyle w:val="ListBullet"/>
        <w:numPr>
          <w:numId w:val="11"/>
        </w:numPr>
        <w:bidi w:val="0"/>
        <w:jc w:val="left"/>
        <w:rPr>
          <w:rFonts w:ascii="Times New Roman" w:hAnsi="Times New Roman"/>
          <w:sz w:val="24"/>
          <w:szCs w:val="24"/>
        </w:rPr>
      </w:pPr>
      <w:r w:rsidRPr="00492887">
        <w:rPr>
          <w:rFonts w:ascii="Times New Roman" w:hAnsi="Times New Roman"/>
          <w:sz w:val="24"/>
          <w:szCs w:val="24"/>
        </w:rPr>
        <w:t xml:space="preserve">legislatíva, </w:t>
      </w:r>
    </w:p>
    <w:p w:rsidR="0004591B" w:rsidRPr="00492887" w:rsidP="00E700F5">
      <w:pPr>
        <w:pStyle w:val="ListBullet"/>
        <w:numPr>
          <w:numId w:val="11"/>
        </w:numPr>
        <w:bidi w:val="0"/>
        <w:jc w:val="left"/>
        <w:rPr>
          <w:rFonts w:ascii="Times New Roman" w:hAnsi="Times New Roman"/>
          <w:sz w:val="24"/>
          <w:szCs w:val="24"/>
        </w:rPr>
      </w:pPr>
      <w:r w:rsidRPr="00492887">
        <w:rPr>
          <w:rFonts w:ascii="Times New Roman" w:hAnsi="Times New Roman"/>
          <w:sz w:val="24"/>
          <w:szCs w:val="24"/>
        </w:rPr>
        <w:t xml:space="preserve">vydávanie povolení, </w:t>
      </w:r>
    </w:p>
    <w:p w:rsidR="0004591B" w:rsidRPr="00492887" w:rsidP="00E700F5">
      <w:pPr>
        <w:pStyle w:val="ListBullet"/>
        <w:numPr>
          <w:numId w:val="11"/>
        </w:numPr>
        <w:bidi w:val="0"/>
        <w:jc w:val="left"/>
        <w:rPr>
          <w:rFonts w:ascii="Times New Roman" w:hAnsi="Times New Roman"/>
          <w:sz w:val="24"/>
          <w:szCs w:val="24"/>
        </w:rPr>
      </w:pPr>
      <w:r w:rsidRPr="00492887">
        <w:rPr>
          <w:rFonts w:ascii="Times New Roman" w:hAnsi="Times New Roman"/>
          <w:sz w:val="24"/>
          <w:szCs w:val="24"/>
        </w:rPr>
        <w:t xml:space="preserve">posudzovanie a hodnotenie bezpečnostnej dokumentácie, </w:t>
      </w:r>
    </w:p>
    <w:p w:rsidR="0004591B" w:rsidRPr="00492887" w:rsidP="00E700F5">
      <w:pPr>
        <w:pStyle w:val="ListBullet"/>
        <w:numPr>
          <w:numId w:val="11"/>
        </w:numPr>
        <w:bidi w:val="0"/>
        <w:jc w:val="left"/>
        <w:rPr>
          <w:rFonts w:ascii="Times New Roman" w:hAnsi="Times New Roman"/>
          <w:sz w:val="24"/>
          <w:szCs w:val="24"/>
        </w:rPr>
      </w:pPr>
      <w:r w:rsidRPr="00492887">
        <w:rPr>
          <w:rFonts w:ascii="Times New Roman" w:hAnsi="Times New Roman"/>
          <w:sz w:val="24"/>
          <w:szCs w:val="24"/>
        </w:rPr>
        <w:t>kontrolná/inšpekčná činnosť v jadrových zariadeniach a vynucovanie práva.</w:t>
      </w:r>
    </w:p>
    <w:p w:rsidR="0004591B" w:rsidP="00F057EE">
      <w:pPr>
        <w:pStyle w:val="ListBullet2"/>
        <w:numPr>
          <w:numId w:val="0"/>
        </w:numPr>
        <w:tabs>
          <w:tab w:val="clear" w:pos="643"/>
        </w:tabs>
        <w:bidi w:val="0"/>
        <w:ind w:firstLine="0"/>
        <w:rPr>
          <w:rFonts w:ascii="Times New Roman" w:hAnsi="Times New Roman"/>
        </w:rPr>
      </w:pPr>
    </w:p>
    <w:p w:rsidR="0004591B">
      <w:pPr>
        <w:pStyle w:val="BodyText"/>
        <w:bidi w:val="0"/>
        <w:rPr>
          <w:rFonts w:ascii="Times New Roman" w:hAnsi="Times New Roman"/>
        </w:rPr>
      </w:pPr>
      <w:r w:rsidR="00764D6F">
        <w:rPr>
          <w:rFonts w:ascii="Times New Roman" w:hAnsi="Times New Roman"/>
        </w:rPr>
        <w:t>Hlavnými d</w:t>
      </w:r>
      <w:r>
        <w:rPr>
          <w:rFonts w:ascii="Times New Roman" w:hAnsi="Times New Roman"/>
        </w:rPr>
        <w:t>ozorovanými subjektmi sú držitelia povolení na stavbu, uvádzanie do prevádzky, prevádzku a etapu vyraďovania jadrových zariadení</w:t>
      </w:r>
      <w:r w:rsidR="00FE1B4A">
        <w:rPr>
          <w:rFonts w:ascii="Times New Roman" w:hAnsi="Times New Roman"/>
          <w:lang w:val="sk-SK"/>
        </w:rPr>
        <w:t xml:space="preserve"> </w:t>
      </w:r>
      <w:r w:rsidRPr="0018146B" w:rsidR="00C765B8">
        <w:rPr>
          <w:rFonts w:ascii="Times New Roman" w:hAnsi="Times New Roman"/>
          <w:iCs w:val="0"/>
        </w:rPr>
        <w:t>(ďalej len „JZ“)</w:t>
      </w:r>
      <w:r>
        <w:rPr>
          <w:rFonts w:ascii="Times New Roman" w:hAnsi="Times New Roman"/>
        </w:rPr>
        <w:t>. V S</w:t>
      </w:r>
      <w:r w:rsidR="004465D2">
        <w:rPr>
          <w:rFonts w:ascii="Times New Roman" w:hAnsi="Times New Roman"/>
          <w:lang w:val="sk-SK"/>
        </w:rPr>
        <w:t>R</w:t>
      </w:r>
      <w:r>
        <w:rPr>
          <w:rFonts w:ascii="Times New Roman" w:hAnsi="Times New Roman"/>
        </w:rPr>
        <w:t xml:space="preserve"> môžeme </w:t>
      </w:r>
      <w:r w:rsidRPr="0018146B">
        <w:rPr>
          <w:rFonts w:ascii="Times New Roman" w:hAnsi="Times New Roman"/>
          <w:iCs w:val="0"/>
        </w:rPr>
        <w:t>JZ</w:t>
      </w:r>
      <w:r>
        <w:rPr>
          <w:rFonts w:ascii="Times New Roman" w:hAnsi="Times New Roman"/>
        </w:rPr>
        <w:t xml:space="preserve"> rozdeliť na: </w:t>
      </w:r>
    </w:p>
    <w:p w:rsidR="0004591B">
      <w:pPr>
        <w:pStyle w:val="BodyText"/>
        <w:bidi w:val="0"/>
        <w:rPr>
          <w:rFonts w:ascii="Times New Roman" w:hAnsi="Times New Roman"/>
          <w:i/>
          <w:iCs w:val="0"/>
        </w:rPr>
      </w:pPr>
    </w:p>
    <w:p w:rsidR="0004591B">
      <w:pPr>
        <w:pStyle w:val="ListNumber"/>
        <w:numPr>
          <w:numId w:val="0"/>
        </w:numPr>
        <w:tabs>
          <w:tab w:val="clear" w:pos="360"/>
        </w:tabs>
        <w:bidi w:val="0"/>
        <w:ind w:firstLine="0"/>
        <w:rPr>
          <w:rFonts w:ascii="Times New Roman" w:hAnsi="Times New Roman"/>
          <w:i/>
          <w:iCs/>
        </w:rPr>
      </w:pPr>
      <w:r>
        <w:rPr>
          <w:rFonts w:ascii="Times New Roman" w:hAnsi="Times New Roman"/>
          <w:i/>
          <w:iCs/>
        </w:rPr>
        <w:t xml:space="preserve">Atómové elektrárne (ďalej len </w:t>
      </w:r>
      <w:r w:rsidR="0018146B">
        <w:rPr>
          <w:rFonts w:ascii="Times New Roman" w:hAnsi="Times New Roman"/>
          <w:i/>
          <w:iCs/>
        </w:rPr>
        <w:t>„</w:t>
      </w:r>
      <w:r>
        <w:rPr>
          <w:rFonts w:ascii="Times New Roman" w:hAnsi="Times New Roman"/>
          <w:i/>
          <w:iCs/>
        </w:rPr>
        <w:t>AE</w:t>
      </w:r>
      <w:r w:rsidR="0018146B">
        <w:rPr>
          <w:rFonts w:ascii="Times New Roman" w:hAnsi="Times New Roman"/>
          <w:i/>
          <w:iCs/>
        </w:rPr>
        <w:t>“</w:t>
      </w:r>
      <w:r>
        <w:rPr>
          <w:rFonts w:ascii="Times New Roman" w:hAnsi="Times New Roman"/>
          <w:i/>
          <w:iCs/>
        </w:rPr>
        <w:t>):</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Atómové elektrárne Bohunice</w:t>
      </w:r>
      <w:r w:rsidR="00C64AEC">
        <w:rPr>
          <w:rFonts w:ascii="Times New Roman" w:hAnsi="Times New Roman"/>
        </w:rPr>
        <w:t xml:space="preserve"> </w:t>
      </w:r>
      <w:r>
        <w:rPr>
          <w:rFonts w:ascii="Times New Roman" w:hAnsi="Times New Roman"/>
        </w:rPr>
        <w:t xml:space="preserve">V-2 (ďalej len „AE </w:t>
      </w:r>
      <w:r w:rsidR="00C35F03">
        <w:rPr>
          <w:rFonts w:ascii="Times New Roman" w:hAnsi="Times New Roman"/>
        </w:rPr>
        <w:t xml:space="preserve">Bohunice </w:t>
      </w:r>
      <w:r>
        <w:rPr>
          <w:rFonts w:ascii="Times New Roman" w:hAnsi="Times New Roman"/>
        </w:rPr>
        <w:t>V-2“), dva bloky v prevádzke,</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Atómové elektrárne Mochovce 1,2 (ďalej len „AE Mochovce 1,2“), dva bloky v prevádzke,</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Atómové elektrárne Mochovce, 3,4 (ďalej len „AE Mochovce 3,4“),</w:t>
      </w:r>
      <w:r w:rsidR="00C64AEC">
        <w:rPr>
          <w:rFonts w:ascii="Times New Roman" w:hAnsi="Times New Roman"/>
        </w:rPr>
        <w:t xml:space="preserve"> </w:t>
      </w:r>
      <w:r w:rsidR="00F71D73">
        <w:rPr>
          <w:rFonts w:ascii="Times New Roman" w:hAnsi="Times New Roman"/>
        </w:rPr>
        <w:t xml:space="preserve">dva bloky </w:t>
      </w:r>
      <w:r>
        <w:rPr>
          <w:rFonts w:ascii="Times New Roman" w:hAnsi="Times New Roman"/>
        </w:rPr>
        <w:t>vo výstavbe,</w:t>
      </w:r>
    </w:p>
    <w:p w:rsidR="000C7857" w:rsidP="00A925E0">
      <w:pPr>
        <w:pStyle w:val="ListBullet2"/>
        <w:tabs>
          <w:tab w:val="clear" w:pos="643"/>
          <w:tab w:val="num" w:pos="786"/>
        </w:tabs>
        <w:bidi w:val="0"/>
        <w:ind w:left="786"/>
        <w:rPr>
          <w:rFonts w:ascii="Times New Roman" w:hAnsi="Times New Roman"/>
        </w:rPr>
      </w:pPr>
      <w:r w:rsidR="0004591B">
        <w:rPr>
          <w:rFonts w:ascii="Times New Roman" w:hAnsi="Times New Roman"/>
        </w:rPr>
        <w:t xml:space="preserve">Atómové elektrárne Bohunice V-1 (ďalej len „AE </w:t>
      </w:r>
      <w:r w:rsidR="00C35F03">
        <w:rPr>
          <w:rFonts w:ascii="Times New Roman" w:hAnsi="Times New Roman"/>
        </w:rPr>
        <w:t xml:space="preserve">Bohunice </w:t>
      </w:r>
      <w:r w:rsidR="0004591B">
        <w:rPr>
          <w:rFonts w:ascii="Times New Roman" w:hAnsi="Times New Roman"/>
        </w:rPr>
        <w:t>V-1“),</w:t>
      </w:r>
      <w:r w:rsidR="00C64AEC">
        <w:rPr>
          <w:rFonts w:ascii="Times New Roman" w:hAnsi="Times New Roman"/>
        </w:rPr>
        <w:t xml:space="preserve"> </w:t>
      </w:r>
      <w:r>
        <w:rPr>
          <w:rFonts w:ascii="Times New Roman" w:hAnsi="Times New Roman"/>
        </w:rPr>
        <w:t xml:space="preserve">v </w:t>
      </w:r>
      <w:r w:rsidRPr="00DA7E4A">
        <w:rPr>
          <w:rFonts w:ascii="Times New Roman" w:hAnsi="Times New Roman"/>
        </w:rPr>
        <w:t>I. etap</w:t>
      </w:r>
      <w:r>
        <w:rPr>
          <w:rFonts w:ascii="Times New Roman" w:hAnsi="Times New Roman"/>
        </w:rPr>
        <w:t>e</w:t>
      </w:r>
      <w:r w:rsidRPr="00DA7E4A">
        <w:rPr>
          <w:rFonts w:ascii="Times New Roman" w:hAnsi="Times New Roman"/>
        </w:rPr>
        <w:t xml:space="preserve"> vyraďovania </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Atómová elektráreň</w:t>
      </w:r>
      <w:r w:rsidR="00C64AEC">
        <w:rPr>
          <w:rFonts w:ascii="Times New Roman" w:hAnsi="Times New Roman"/>
        </w:rPr>
        <w:t xml:space="preserve"> </w:t>
      </w:r>
      <w:r>
        <w:rPr>
          <w:rFonts w:ascii="Times New Roman" w:hAnsi="Times New Roman"/>
        </w:rPr>
        <w:t xml:space="preserve">A-1, (ďalej len „AE </w:t>
      </w:r>
      <w:r w:rsidR="00C35F03">
        <w:rPr>
          <w:rFonts w:ascii="Times New Roman" w:hAnsi="Times New Roman"/>
        </w:rPr>
        <w:t xml:space="preserve">Bohunice </w:t>
      </w:r>
      <w:r>
        <w:rPr>
          <w:rFonts w:ascii="Times New Roman" w:hAnsi="Times New Roman"/>
        </w:rPr>
        <w:t>A-1“)</w:t>
      </w:r>
      <w:r w:rsidR="003943F1">
        <w:rPr>
          <w:rFonts w:ascii="Times New Roman" w:hAnsi="Times New Roman"/>
        </w:rPr>
        <w:t>, v II. etape vyraďovania</w:t>
      </w:r>
    </w:p>
    <w:p w:rsidR="00FE1B4A">
      <w:pPr>
        <w:pStyle w:val="ListNumber"/>
        <w:numPr>
          <w:numId w:val="0"/>
        </w:numPr>
        <w:tabs>
          <w:tab w:val="clear" w:pos="360"/>
        </w:tabs>
        <w:bidi w:val="0"/>
        <w:ind w:firstLine="0"/>
        <w:rPr>
          <w:rFonts w:ascii="Times New Roman" w:hAnsi="Times New Roman"/>
          <w:i/>
          <w:iCs/>
        </w:rPr>
      </w:pPr>
    </w:p>
    <w:p w:rsidR="0004591B">
      <w:pPr>
        <w:pStyle w:val="ListNumber"/>
        <w:numPr>
          <w:numId w:val="0"/>
        </w:numPr>
        <w:tabs>
          <w:tab w:val="clear" w:pos="360"/>
        </w:tabs>
        <w:bidi w:val="0"/>
        <w:ind w:firstLine="0"/>
        <w:rPr>
          <w:rFonts w:ascii="Times New Roman" w:hAnsi="Times New Roman"/>
          <w:i/>
          <w:iCs/>
        </w:rPr>
      </w:pPr>
      <w:r>
        <w:rPr>
          <w:rFonts w:ascii="Times New Roman" w:hAnsi="Times New Roman"/>
          <w:i/>
          <w:iCs/>
        </w:rPr>
        <w:t>a iné jadrové zariadenia:</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Medzisklad vyhoretého jadrového paliva,</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Technológie na spracovanie a úpravu rádioaktívnych odpadov,</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Finálne spracovanie kvapalných rádioaktívnych odpadov,</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 xml:space="preserve">Republikové </w:t>
      </w:r>
      <w:r w:rsidR="008B6848">
        <w:rPr>
          <w:rFonts w:ascii="Times New Roman" w:hAnsi="Times New Roman"/>
        </w:rPr>
        <w:t>ú</w:t>
      </w:r>
      <w:r>
        <w:rPr>
          <w:rFonts w:ascii="Times New Roman" w:hAnsi="Times New Roman"/>
        </w:rPr>
        <w:t>ložisko rádioaktívnych odpadov,</w:t>
      </w:r>
    </w:p>
    <w:p w:rsidR="0004591B" w:rsidP="00A925E0">
      <w:pPr>
        <w:pStyle w:val="ListBullet2"/>
        <w:tabs>
          <w:tab w:val="clear" w:pos="643"/>
          <w:tab w:val="num" w:pos="786"/>
        </w:tabs>
        <w:bidi w:val="0"/>
        <w:ind w:left="786"/>
        <w:rPr>
          <w:rFonts w:ascii="Times New Roman" w:hAnsi="Times New Roman"/>
        </w:rPr>
      </w:pPr>
      <w:r>
        <w:rPr>
          <w:rFonts w:ascii="Times New Roman" w:hAnsi="Times New Roman"/>
        </w:rPr>
        <w:t>Experimentálna bitúmenačná linka,</w:t>
      </w:r>
    </w:p>
    <w:p w:rsidR="0004591B" w:rsidRPr="007F0665" w:rsidP="00A925E0">
      <w:pPr>
        <w:pStyle w:val="ListBullet2"/>
        <w:tabs>
          <w:tab w:val="clear" w:pos="643"/>
          <w:tab w:val="num" w:pos="786"/>
        </w:tabs>
        <w:bidi w:val="0"/>
        <w:ind w:left="786"/>
        <w:rPr>
          <w:rFonts w:ascii="Times New Roman" w:hAnsi="Times New Roman"/>
          <w:i/>
          <w:iCs/>
        </w:rPr>
      </w:pPr>
      <w:r>
        <w:rPr>
          <w:rFonts w:ascii="Times New Roman" w:hAnsi="Times New Roman"/>
        </w:rPr>
        <w:t>Experimentálna spaľovňa rádioaktívnych odpadov.</w:t>
      </w:r>
    </w:p>
    <w:p w:rsidR="0004591B" w:rsidP="00F057EE">
      <w:pPr>
        <w:pStyle w:val="ListBullet2"/>
        <w:numPr>
          <w:numId w:val="0"/>
        </w:numPr>
        <w:tabs>
          <w:tab w:val="clear" w:pos="643"/>
        </w:tabs>
        <w:bidi w:val="0"/>
        <w:ind w:left="283" w:firstLine="0"/>
        <w:rPr>
          <w:rFonts w:ascii="Times New Roman" w:hAnsi="Times New Roman"/>
        </w:rPr>
      </w:pPr>
    </w:p>
    <w:p w:rsidR="0004591B" w:rsidP="00C92C6E">
      <w:pPr>
        <w:pStyle w:val="Heading2"/>
        <w:bidi w:val="0"/>
        <w:rPr>
          <w:rFonts w:ascii="Times New Roman" w:hAnsi="Times New Roman"/>
        </w:rPr>
      </w:pPr>
      <w:bookmarkStart w:id="4" w:name="_Toc158112579"/>
      <w:bookmarkStart w:id="5" w:name="_Toc162317348"/>
      <w:bookmarkStart w:id="6" w:name="_Toc285032437"/>
      <w:bookmarkStart w:id="7" w:name="_Toc320719709"/>
      <w:r w:rsidRPr="002941F6">
        <w:rPr>
          <w:rFonts w:ascii="Times New Roman" w:hAnsi="Times New Roman"/>
        </w:rPr>
        <w:t>Legislatívna činnosť</w:t>
      </w:r>
      <w:bookmarkEnd w:id="4"/>
      <w:bookmarkEnd w:id="5"/>
      <w:bookmarkEnd w:id="6"/>
      <w:bookmarkEnd w:id="7"/>
    </w:p>
    <w:p w:rsidR="00196C31" w:rsidP="00196C31">
      <w:pPr>
        <w:bidi w:val="0"/>
        <w:jc w:val="both"/>
        <w:rPr>
          <w:rFonts w:ascii="Times New Roman" w:hAnsi="Times New Roman"/>
        </w:rPr>
      </w:pPr>
      <w:bookmarkStart w:id="8" w:name="_Toc158112580"/>
      <w:bookmarkStart w:id="9" w:name="_Toc162317349"/>
      <w:r>
        <w:rPr>
          <w:rFonts w:ascii="Times New Roman" w:hAnsi="Times New Roman"/>
        </w:rPr>
        <w:t>Ú</w:t>
      </w:r>
      <w:r w:rsidR="000C7857">
        <w:rPr>
          <w:rFonts w:ascii="Times New Roman" w:hAnsi="Times New Roman"/>
        </w:rPr>
        <w:t>JD SR</w:t>
      </w:r>
      <w:r>
        <w:rPr>
          <w:rFonts w:ascii="Times New Roman" w:hAnsi="Times New Roman"/>
        </w:rPr>
        <w:t xml:space="preserve"> v rámci legislatívnych činností sústredil svoju pozornosť v roku 2011 na tri ťažiskové legislatívne oblasti. Ako svoju prioritnú úlohu si stanovil novelizáciu zákona č.</w:t>
      </w:r>
      <w:r w:rsidR="00A925E0">
        <w:rPr>
          <w:rFonts w:ascii="Times New Roman" w:hAnsi="Times New Roman"/>
        </w:rPr>
        <w:t> </w:t>
      </w:r>
      <w:r>
        <w:rPr>
          <w:rFonts w:ascii="Times New Roman" w:hAnsi="Times New Roman"/>
        </w:rPr>
        <w:t>541/2004 Z. z. o mierovom využívaní jadrovej energie (atómový zákon) a o zmene a doplnení niektorých zákonov v znení neskorších predpisov</w:t>
      </w:r>
      <w:r w:rsidR="00FE1B4A">
        <w:rPr>
          <w:rFonts w:ascii="Times New Roman" w:hAnsi="Times New Roman"/>
        </w:rPr>
        <w:t xml:space="preserve"> (ďalej len „atómový zákon</w:t>
      </w:r>
      <w:r w:rsidR="00046B22">
        <w:rPr>
          <w:rFonts w:ascii="Times New Roman" w:hAnsi="Times New Roman"/>
        </w:rPr>
        <w:t>“</w:t>
      </w:r>
      <w:r w:rsidR="00FE1B4A">
        <w:rPr>
          <w:rFonts w:ascii="Times New Roman" w:hAnsi="Times New Roman"/>
        </w:rPr>
        <w:t>)</w:t>
      </w:r>
      <w:r>
        <w:rPr>
          <w:rFonts w:ascii="Times New Roman" w:hAnsi="Times New Roman"/>
        </w:rPr>
        <w:t xml:space="preserve">. Potreba uvedenej novelizácie pramenila najmä z </w:t>
      </w:r>
      <w:r w:rsidRPr="00C55B48">
        <w:rPr>
          <w:rFonts w:ascii="Times New Roman" w:hAnsi="Times New Roman"/>
        </w:rPr>
        <w:t xml:space="preserve">dôvodu dôslednej transpozície </w:t>
      </w:r>
      <w:r w:rsidRPr="00C55B48">
        <w:rPr>
          <w:rFonts w:ascii="Times New Roman" w:hAnsi="Times New Roman"/>
          <w:bCs/>
          <w:color w:val="000000"/>
        </w:rPr>
        <w:t>smernice Rady 2009/71/Euratom z 25. júna 2009, ktorou sa zriaďuje rámec Spoločenstva pre jadrovú bezpečnosť jadrových zariadení</w:t>
      </w:r>
      <w:r w:rsidR="00BF590D">
        <w:rPr>
          <w:rFonts w:ascii="Times New Roman" w:hAnsi="Times New Roman"/>
          <w:bCs/>
          <w:color w:val="000000"/>
        </w:rPr>
        <w:t xml:space="preserve"> </w:t>
      </w:r>
      <w:r w:rsidRPr="00C55B48">
        <w:rPr>
          <w:rFonts w:ascii="Times New Roman" w:hAnsi="Times New Roman"/>
          <w:bCs/>
        </w:rPr>
        <w:t>(ďalej len „smernica 2009/71/Euratom“)</w:t>
      </w:r>
      <w:r>
        <w:rPr>
          <w:rFonts w:ascii="Times New Roman" w:hAnsi="Times New Roman"/>
          <w:bCs/>
        </w:rPr>
        <w:t xml:space="preserve">, </w:t>
      </w:r>
      <w:r>
        <w:rPr>
          <w:rFonts w:ascii="Times New Roman" w:hAnsi="Times New Roman"/>
        </w:rPr>
        <w:t>ako aj implementácie požiadaviek združenia WENRA (Western European Nuclear Regulators, ďalej len ,,WENRA”)</w:t>
      </w:r>
      <w:r w:rsidR="00BF590D">
        <w:rPr>
          <w:rFonts w:ascii="Times New Roman" w:hAnsi="Times New Roman"/>
        </w:rPr>
        <w:t>.</w:t>
      </w:r>
      <w:r>
        <w:rPr>
          <w:rFonts w:ascii="Times New Roman" w:hAnsi="Times New Roman"/>
        </w:rPr>
        <w:t xml:space="preserve"> </w:t>
      </w:r>
      <w:r w:rsidR="00BF590D">
        <w:rPr>
          <w:rFonts w:ascii="Times New Roman" w:hAnsi="Times New Roman"/>
        </w:rPr>
        <w:t>U</w:t>
      </w:r>
      <w:r>
        <w:rPr>
          <w:rFonts w:ascii="Times New Roman" w:hAnsi="Times New Roman"/>
        </w:rPr>
        <w:t>znesen</w:t>
      </w:r>
      <w:r w:rsidR="00BF590D">
        <w:rPr>
          <w:rFonts w:ascii="Times New Roman" w:hAnsi="Times New Roman"/>
        </w:rPr>
        <w:t>ím</w:t>
      </w:r>
      <w:r>
        <w:rPr>
          <w:rFonts w:ascii="Times New Roman" w:hAnsi="Times New Roman"/>
        </w:rPr>
        <w:t xml:space="preserve"> vlády </w:t>
      </w:r>
      <w:r w:rsidR="00BF590D">
        <w:rPr>
          <w:rFonts w:ascii="Times New Roman" w:hAnsi="Times New Roman"/>
        </w:rPr>
        <w:t xml:space="preserve">č. </w:t>
      </w:r>
      <w:r>
        <w:rPr>
          <w:rFonts w:ascii="Times New Roman" w:hAnsi="Times New Roman"/>
        </w:rPr>
        <w:t>610/2009</w:t>
      </w:r>
      <w:r w:rsidR="00BF590D">
        <w:rPr>
          <w:rFonts w:ascii="Times New Roman" w:hAnsi="Times New Roman"/>
        </w:rPr>
        <w:t xml:space="preserve"> bolo</w:t>
      </w:r>
      <w:r>
        <w:rPr>
          <w:rFonts w:ascii="Times New Roman" w:hAnsi="Times New Roman"/>
        </w:rPr>
        <w:t xml:space="preserve"> ulož</w:t>
      </w:r>
      <w:r w:rsidR="00BF590D">
        <w:rPr>
          <w:rFonts w:ascii="Times New Roman" w:hAnsi="Times New Roman"/>
        </w:rPr>
        <w:t>ené</w:t>
      </w:r>
      <w:r>
        <w:rPr>
          <w:rFonts w:ascii="Times New Roman" w:hAnsi="Times New Roman"/>
        </w:rPr>
        <w:t xml:space="preserve"> predsedníčke Ú</w:t>
      </w:r>
      <w:r w:rsidR="000C7857">
        <w:rPr>
          <w:rFonts w:ascii="Times New Roman" w:hAnsi="Times New Roman"/>
        </w:rPr>
        <w:t>JD</w:t>
      </w:r>
      <w:r>
        <w:rPr>
          <w:rFonts w:ascii="Times New Roman" w:hAnsi="Times New Roman"/>
        </w:rPr>
        <w:t xml:space="preserve"> SR </w:t>
      </w:r>
      <w:r w:rsidRPr="00590CA2">
        <w:rPr>
          <w:rFonts w:ascii="Times New Roman" w:hAnsi="Times New Roman"/>
          <w:szCs w:val="24"/>
        </w:rPr>
        <w:t>vypracovať novelu atómov</w:t>
      </w:r>
      <w:r w:rsidR="00C765B8">
        <w:rPr>
          <w:rFonts w:ascii="Times New Roman" w:hAnsi="Times New Roman"/>
          <w:szCs w:val="24"/>
        </w:rPr>
        <w:t>ého</w:t>
      </w:r>
      <w:r w:rsidRPr="00590CA2">
        <w:rPr>
          <w:rFonts w:ascii="Times New Roman" w:hAnsi="Times New Roman"/>
          <w:szCs w:val="24"/>
        </w:rPr>
        <w:t xml:space="preserve"> zákon</w:t>
      </w:r>
      <w:r w:rsidR="00C765B8">
        <w:rPr>
          <w:rFonts w:ascii="Times New Roman" w:hAnsi="Times New Roman"/>
          <w:szCs w:val="24"/>
        </w:rPr>
        <w:t>a</w:t>
      </w:r>
      <w:r w:rsidRPr="00590CA2">
        <w:rPr>
          <w:rFonts w:ascii="Times New Roman" w:hAnsi="Times New Roman"/>
          <w:szCs w:val="24"/>
        </w:rPr>
        <w:t xml:space="preserve"> </w:t>
      </w:r>
      <w:r w:rsidR="00C765B8">
        <w:rPr>
          <w:rFonts w:ascii="Times New Roman" w:hAnsi="Times New Roman"/>
          <w:szCs w:val="24"/>
        </w:rPr>
        <w:t>do</w:t>
      </w:r>
      <w:r>
        <w:rPr>
          <w:rFonts w:ascii="Times New Roman" w:hAnsi="Times New Roman"/>
          <w:szCs w:val="24"/>
        </w:rPr>
        <w:t xml:space="preserve"> 31. decembra 2011</w:t>
      </w:r>
      <w:r>
        <w:rPr>
          <w:rFonts w:ascii="Times New Roman" w:hAnsi="Times New Roman"/>
        </w:rPr>
        <w:t>.</w:t>
      </w:r>
      <w:r w:rsidR="00F43A62">
        <w:rPr>
          <w:rFonts w:ascii="Times New Roman" w:hAnsi="Times New Roman"/>
        </w:rPr>
        <w:t xml:space="preserve">  </w:t>
      </w:r>
    </w:p>
    <w:p w:rsidR="00F43A62" w:rsidP="00F43A62">
      <w:pPr>
        <w:bidi w:val="0"/>
        <w:jc w:val="both"/>
        <w:rPr>
          <w:rFonts w:ascii="Times New Roman" w:hAnsi="Times New Roman"/>
          <w:bCs/>
          <w:color w:val="000000"/>
          <w:lang w:eastAsia="cs-CZ"/>
        </w:rPr>
      </w:pPr>
      <w:r w:rsidR="00BF590D">
        <w:rPr>
          <w:rFonts w:ascii="Times New Roman" w:hAnsi="Times New Roman"/>
          <w:bCs/>
          <w:color w:val="000000"/>
          <w:lang w:eastAsia="cs-CZ"/>
        </w:rPr>
        <w:t>Po prerokovaní n</w:t>
      </w:r>
      <w:r w:rsidR="00196C31">
        <w:rPr>
          <w:rFonts w:ascii="Times New Roman" w:hAnsi="Times New Roman"/>
          <w:bCs/>
          <w:color w:val="000000"/>
          <w:lang w:eastAsia="cs-CZ"/>
        </w:rPr>
        <w:t>ávrh</w:t>
      </w:r>
      <w:r w:rsidR="00BF590D">
        <w:rPr>
          <w:rFonts w:ascii="Times New Roman" w:hAnsi="Times New Roman"/>
          <w:bCs/>
          <w:color w:val="000000"/>
          <w:lang w:eastAsia="cs-CZ"/>
        </w:rPr>
        <w:t>u</w:t>
      </w:r>
      <w:r w:rsidR="00196C31">
        <w:rPr>
          <w:rFonts w:ascii="Times New Roman" w:hAnsi="Times New Roman"/>
          <w:bCs/>
          <w:color w:val="000000"/>
          <w:lang w:eastAsia="cs-CZ"/>
        </w:rPr>
        <w:t xml:space="preserve"> novelizácie atómového zákona </w:t>
      </w:r>
      <w:r w:rsidR="00BF590D">
        <w:rPr>
          <w:rFonts w:ascii="Times New Roman" w:hAnsi="Times New Roman"/>
          <w:bCs/>
          <w:color w:val="000000"/>
          <w:lang w:eastAsia="cs-CZ"/>
        </w:rPr>
        <w:t>v</w:t>
      </w:r>
      <w:r w:rsidR="00196C31">
        <w:rPr>
          <w:rFonts w:ascii="Times New Roman" w:hAnsi="Times New Roman"/>
          <w:bCs/>
          <w:color w:val="000000"/>
          <w:lang w:eastAsia="cs-CZ"/>
        </w:rPr>
        <w:t xml:space="preserve"> Legislatívn</w:t>
      </w:r>
      <w:r w:rsidR="00BF590D">
        <w:rPr>
          <w:rFonts w:ascii="Times New Roman" w:hAnsi="Times New Roman"/>
          <w:bCs/>
          <w:color w:val="000000"/>
          <w:lang w:eastAsia="cs-CZ"/>
        </w:rPr>
        <w:t>ej</w:t>
      </w:r>
      <w:r w:rsidR="00196C31">
        <w:rPr>
          <w:rFonts w:ascii="Times New Roman" w:hAnsi="Times New Roman"/>
          <w:bCs/>
          <w:color w:val="000000"/>
          <w:lang w:eastAsia="cs-CZ"/>
        </w:rPr>
        <w:t xml:space="preserve"> rad</w:t>
      </w:r>
      <w:r w:rsidR="00796AD4">
        <w:rPr>
          <w:rFonts w:ascii="Times New Roman" w:hAnsi="Times New Roman"/>
          <w:bCs/>
          <w:color w:val="000000"/>
          <w:lang w:eastAsia="cs-CZ"/>
        </w:rPr>
        <w:t>e</w:t>
      </w:r>
      <w:r w:rsidR="00196C31">
        <w:rPr>
          <w:rFonts w:ascii="Times New Roman" w:hAnsi="Times New Roman"/>
          <w:bCs/>
          <w:color w:val="000000"/>
          <w:lang w:eastAsia="cs-CZ"/>
        </w:rPr>
        <w:t xml:space="preserve"> vlády SR bol </w:t>
      </w:r>
      <w:r>
        <w:rPr>
          <w:rFonts w:ascii="Times New Roman" w:hAnsi="Times New Roman"/>
          <w:bCs/>
          <w:color w:val="000000"/>
          <w:lang w:eastAsia="cs-CZ"/>
        </w:rPr>
        <w:t>tento</w:t>
      </w:r>
      <w:r w:rsidR="00196C31">
        <w:rPr>
          <w:rFonts w:ascii="Times New Roman" w:hAnsi="Times New Roman"/>
          <w:bCs/>
          <w:color w:val="000000"/>
          <w:lang w:eastAsia="cs-CZ"/>
        </w:rPr>
        <w:t xml:space="preserve"> podrobený komunitárnemu pripomienkovému konaniu v rámci </w:t>
      </w:r>
      <w:r w:rsidR="000C7857">
        <w:rPr>
          <w:rFonts w:ascii="Times New Roman" w:hAnsi="Times New Roman"/>
          <w:bCs/>
          <w:color w:val="000000"/>
          <w:lang w:eastAsia="cs-CZ"/>
        </w:rPr>
        <w:t>Európskej únie (ďalej len „</w:t>
      </w:r>
      <w:r w:rsidR="00196C31">
        <w:rPr>
          <w:rFonts w:ascii="Times New Roman" w:hAnsi="Times New Roman"/>
          <w:bCs/>
          <w:color w:val="000000"/>
          <w:lang w:eastAsia="cs-CZ"/>
        </w:rPr>
        <w:t>EÚ</w:t>
      </w:r>
      <w:r w:rsidR="000C7857">
        <w:rPr>
          <w:rFonts w:ascii="Times New Roman" w:hAnsi="Times New Roman"/>
          <w:bCs/>
          <w:color w:val="000000"/>
          <w:lang w:eastAsia="cs-CZ"/>
        </w:rPr>
        <w:t>“)</w:t>
      </w:r>
      <w:r w:rsidR="00196C31">
        <w:rPr>
          <w:rFonts w:ascii="Times New Roman" w:hAnsi="Times New Roman"/>
          <w:bCs/>
          <w:color w:val="000000"/>
          <w:lang w:eastAsia="cs-CZ"/>
        </w:rPr>
        <w:t xml:space="preserve"> podľa Smernice</w:t>
      </w:r>
      <w:r w:rsidR="008F74FF">
        <w:rPr>
          <w:rFonts w:ascii="Times New Roman" w:hAnsi="Times New Roman"/>
          <w:bCs/>
          <w:color w:val="000000"/>
          <w:lang w:eastAsia="cs-CZ"/>
        </w:rPr>
        <w:t> </w:t>
      </w:r>
      <w:r w:rsidR="00196C31">
        <w:rPr>
          <w:rFonts w:ascii="Times New Roman" w:hAnsi="Times New Roman"/>
          <w:bCs/>
          <w:color w:val="000000"/>
          <w:lang w:eastAsia="cs-CZ"/>
        </w:rPr>
        <w:t>98/34 v znení smernice</w:t>
      </w:r>
      <w:r w:rsidR="008F74FF">
        <w:rPr>
          <w:rFonts w:ascii="Times New Roman" w:hAnsi="Times New Roman"/>
          <w:bCs/>
          <w:color w:val="000000"/>
          <w:lang w:eastAsia="cs-CZ"/>
        </w:rPr>
        <w:t> </w:t>
      </w:r>
      <w:r w:rsidR="00196C31">
        <w:rPr>
          <w:rFonts w:ascii="Times New Roman" w:hAnsi="Times New Roman"/>
          <w:bCs/>
          <w:color w:val="000000"/>
          <w:lang w:eastAsia="cs-CZ"/>
        </w:rPr>
        <w:t>98/48</w:t>
      </w:r>
      <w:r w:rsidR="00A925E0">
        <w:rPr>
          <w:rFonts w:ascii="Times New Roman" w:hAnsi="Times New Roman"/>
          <w:bCs/>
          <w:color w:val="000000"/>
          <w:lang w:eastAsia="cs-CZ"/>
        </w:rPr>
        <w:t>,</w:t>
      </w:r>
      <w:r w:rsidR="00196C31">
        <w:rPr>
          <w:rFonts w:ascii="Times New Roman" w:hAnsi="Times New Roman"/>
          <w:bCs/>
          <w:color w:val="000000"/>
          <w:lang w:eastAsia="cs-CZ"/>
        </w:rPr>
        <w:t xml:space="preserve"> ako aj podľa čl. 30 – 33 Zmluvy Euratom. V rámci tohto obdobia ani Európska komisia </w:t>
      </w:r>
      <w:r w:rsidR="000C7857">
        <w:rPr>
          <w:rFonts w:ascii="Times New Roman" w:hAnsi="Times New Roman"/>
          <w:bCs/>
          <w:color w:val="000000"/>
          <w:lang w:eastAsia="cs-CZ"/>
        </w:rPr>
        <w:t xml:space="preserve">(ďalej len „EK“) </w:t>
      </w:r>
      <w:r w:rsidR="00196C31">
        <w:rPr>
          <w:rFonts w:ascii="Times New Roman" w:hAnsi="Times New Roman"/>
          <w:bCs/>
          <w:color w:val="000000"/>
          <w:lang w:eastAsia="cs-CZ"/>
        </w:rPr>
        <w:t>ani ostatné členské štáty EÚ neuplatnili k návrhu zákona žiadne pripomienky. Dňa 11. mája 2011 návrh novelizácie atómového zákona schválila vláda S</w:t>
      </w:r>
      <w:r w:rsidR="000C7857">
        <w:rPr>
          <w:rFonts w:ascii="Times New Roman" w:hAnsi="Times New Roman"/>
          <w:bCs/>
          <w:color w:val="000000"/>
          <w:lang w:eastAsia="cs-CZ"/>
        </w:rPr>
        <w:t>R</w:t>
      </w:r>
      <w:r w:rsidR="00FE1B4A">
        <w:rPr>
          <w:rFonts w:ascii="Times New Roman" w:hAnsi="Times New Roman"/>
          <w:bCs/>
          <w:color w:val="000000"/>
          <w:lang w:eastAsia="cs-CZ"/>
        </w:rPr>
        <w:t>.</w:t>
      </w:r>
      <w:r w:rsidR="00196C31">
        <w:rPr>
          <w:rFonts w:ascii="Times New Roman" w:hAnsi="Times New Roman"/>
          <w:bCs/>
          <w:color w:val="000000"/>
          <w:lang w:eastAsia="cs-CZ"/>
        </w:rPr>
        <w:t xml:space="preserve"> </w:t>
      </w:r>
      <w:r w:rsidR="00BF590D">
        <w:rPr>
          <w:rFonts w:ascii="Times New Roman" w:hAnsi="Times New Roman"/>
          <w:bCs/>
          <w:color w:val="000000"/>
          <w:lang w:eastAsia="cs-CZ"/>
        </w:rPr>
        <w:t>V</w:t>
      </w:r>
      <w:r w:rsidR="00196C31">
        <w:rPr>
          <w:rFonts w:ascii="Times New Roman" w:hAnsi="Times New Roman"/>
          <w:bCs/>
          <w:color w:val="000000"/>
          <w:lang w:eastAsia="cs-CZ"/>
        </w:rPr>
        <w:t xml:space="preserve">ládny návrh zákona </w:t>
      </w:r>
      <w:r w:rsidR="00BF590D">
        <w:rPr>
          <w:rFonts w:ascii="Times New Roman" w:hAnsi="Times New Roman"/>
          <w:bCs/>
          <w:color w:val="000000"/>
          <w:lang w:eastAsia="cs-CZ"/>
        </w:rPr>
        <w:t>bol predložený</w:t>
      </w:r>
      <w:r w:rsidR="00196C31">
        <w:rPr>
          <w:rFonts w:ascii="Times New Roman" w:hAnsi="Times New Roman"/>
          <w:bCs/>
          <w:color w:val="000000"/>
          <w:lang w:eastAsia="cs-CZ"/>
        </w:rPr>
        <w:t xml:space="preserve"> do Národnej rady S</w:t>
      </w:r>
      <w:r w:rsidR="000C7857">
        <w:rPr>
          <w:rFonts w:ascii="Times New Roman" w:hAnsi="Times New Roman"/>
          <w:bCs/>
          <w:color w:val="000000"/>
          <w:lang w:eastAsia="cs-CZ"/>
        </w:rPr>
        <w:t>R</w:t>
      </w:r>
      <w:r w:rsidR="00BF590D">
        <w:rPr>
          <w:rFonts w:ascii="Times New Roman" w:hAnsi="Times New Roman"/>
          <w:bCs/>
          <w:color w:val="000000"/>
          <w:lang w:eastAsia="cs-CZ"/>
        </w:rPr>
        <w:t xml:space="preserve"> a p</w:t>
      </w:r>
      <w:r w:rsidR="00196C31">
        <w:rPr>
          <w:rFonts w:ascii="Times New Roman" w:hAnsi="Times New Roman"/>
          <w:bCs/>
          <w:color w:val="000000"/>
          <w:lang w:eastAsia="cs-CZ"/>
        </w:rPr>
        <w:t xml:space="preserve">o prerokovaní v príslušných výboroch </w:t>
      </w:r>
      <w:r w:rsidR="00A925E0">
        <w:rPr>
          <w:rFonts w:ascii="Times New Roman" w:hAnsi="Times New Roman"/>
          <w:bCs/>
          <w:color w:val="000000"/>
          <w:lang w:eastAsia="cs-CZ"/>
        </w:rPr>
        <w:t>bol</w:t>
      </w:r>
      <w:r w:rsidR="00196C31">
        <w:rPr>
          <w:rFonts w:ascii="Times New Roman" w:hAnsi="Times New Roman"/>
          <w:bCs/>
          <w:color w:val="000000"/>
          <w:lang w:eastAsia="cs-CZ"/>
        </w:rPr>
        <w:t xml:space="preserve"> schválený dňa 14. septembra 2011</w:t>
      </w:r>
      <w:r w:rsidR="00BF590D">
        <w:rPr>
          <w:rFonts w:ascii="Times New Roman" w:hAnsi="Times New Roman"/>
          <w:bCs/>
          <w:color w:val="000000"/>
          <w:lang w:eastAsia="cs-CZ"/>
        </w:rPr>
        <w:t>.</w:t>
      </w:r>
      <w:r w:rsidR="00196C31">
        <w:rPr>
          <w:rFonts w:ascii="Times New Roman" w:hAnsi="Times New Roman"/>
          <w:bCs/>
          <w:color w:val="000000"/>
          <w:lang w:eastAsia="cs-CZ"/>
        </w:rPr>
        <w:t xml:space="preserve"> Zákon nadobudol účinnosť 1. novembra 2011. Ihneď po publikácii zákona boli vykonané všetky notifikačné kroky smerom k</w:t>
      </w:r>
      <w:r w:rsidR="00A925E0">
        <w:rPr>
          <w:rFonts w:ascii="Times New Roman" w:hAnsi="Times New Roman"/>
          <w:bCs/>
          <w:color w:val="000000"/>
          <w:lang w:eastAsia="cs-CZ"/>
        </w:rPr>
        <w:t xml:space="preserve"> </w:t>
      </w:r>
      <w:r w:rsidR="00196C31">
        <w:rPr>
          <w:rFonts w:ascii="Times New Roman" w:hAnsi="Times New Roman"/>
          <w:bCs/>
          <w:color w:val="000000"/>
          <w:lang w:eastAsia="cs-CZ"/>
        </w:rPr>
        <w:t>E</w:t>
      </w:r>
      <w:r w:rsidR="000C7857">
        <w:rPr>
          <w:rFonts w:ascii="Times New Roman" w:hAnsi="Times New Roman"/>
          <w:bCs/>
          <w:color w:val="000000"/>
          <w:lang w:eastAsia="cs-CZ"/>
        </w:rPr>
        <w:t>K</w:t>
      </w:r>
      <w:r w:rsidR="00196C31">
        <w:rPr>
          <w:rFonts w:ascii="Times New Roman" w:hAnsi="Times New Roman"/>
          <w:bCs/>
          <w:color w:val="000000"/>
          <w:lang w:eastAsia="cs-CZ"/>
        </w:rPr>
        <w:t xml:space="preserve"> o</w:t>
      </w:r>
      <w:r w:rsidR="00A925E0">
        <w:rPr>
          <w:rFonts w:ascii="Times New Roman" w:hAnsi="Times New Roman"/>
          <w:bCs/>
          <w:color w:val="000000"/>
          <w:lang w:eastAsia="cs-CZ"/>
        </w:rPr>
        <w:t xml:space="preserve"> </w:t>
      </w:r>
      <w:r w:rsidR="00196C31">
        <w:rPr>
          <w:rFonts w:ascii="Times New Roman" w:hAnsi="Times New Roman"/>
          <w:bCs/>
          <w:color w:val="000000"/>
          <w:lang w:eastAsia="cs-CZ"/>
        </w:rPr>
        <w:t>prijatí právneho predpisu transponuj</w:t>
      </w:r>
      <w:r>
        <w:rPr>
          <w:rFonts w:ascii="Times New Roman" w:hAnsi="Times New Roman"/>
          <w:bCs/>
          <w:color w:val="000000"/>
          <w:lang w:eastAsia="cs-CZ"/>
        </w:rPr>
        <w:t>úceho smernicu 2009/71/Euratom.</w:t>
      </w:r>
    </w:p>
    <w:p w:rsidR="00196C31" w:rsidP="00F43A62">
      <w:pPr>
        <w:bidi w:val="0"/>
        <w:jc w:val="both"/>
        <w:rPr>
          <w:rFonts w:ascii="Times New Roman" w:hAnsi="Times New Roman"/>
          <w:bCs/>
          <w:color w:val="000000"/>
          <w:lang w:eastAsia="cs-CZ"/>
        </w:rPr>
      </w:pPr>
      <w:r>
        <w:rPr>
          <w:rFonts w:ascii="Times New Roman" w:hAnsi="Times New Roman"/>
          <w:bCs/>
          <w:color w:val="000000"/>
          <w:lang w:eastAsia="cs-CZ"/>
        </w:rPr>
        <w:t xml:space="preserve">Ťažiskové zmeny v zákone možno identifikovať v oblasti definície </w:t>
      </w:r>
      <w:r w:rsidR="001F29FE">
        <w:rPr>
          <w:rFonts w:ascii="Times New Roman" w:hAnsi="Times New Roman"/>
          <w:bCs/>
          <w:color w:val="000000"/>
          <w:lang w:eastAsia="cs-CZ"/>
        </w:rPr>
        <w:t>JZ</w:t>
      </w:r>
      <w:r>
        <w:rPr>
          <w:rFonts w:ascii="Times New Roman" w:hAnsi="Times New Roman"/>
          <w:bCs/>
          <w:color w:val="000000"/>
          <w:lang w:eastAsia="cs-CZ"/>
        </w:rPr>
        <w:t>, v</w:t>
      </w:r>
      <w:r w:rsidR="00A925E0">
        <w:rPr>
          <w:rFonts w:ascii="Times New Roman" w:hAnsi="Times New Roman"/>
          <w:bCs/>
          <w:color w:val="000000"/>
          <w:lang w:eastAsia="cs-CZ"/>
        </w:rPr>
        <w:t xml:space="preserve"> </w:t>
      </w:r>
      <w:r>
        <w:rPr>
          <w:rFonts w:ascii="Times New Roman" w:hAnsi="Times New Roman"/>
          <w:bCs/>
          <w:color w:val="000000"/>
          <w:lang w:eastAsia="cs-CZ"/>
        </w:rPr>
        <w:t>zavedení definície kultúry bezpečnosti, v</w:t>
      </w:r>
      <w:r w:rsidR="00A925E0">
        <w:rPr>
          <w:rFonts w:ascii="Times New Roman" w:hAnsi="Times New Roman"/>
          <w:bCs/>
          <w:color w:val="000000"/>
          <w:lang w:eastAsia="cs-CZ"/>
        </w:rPr>
        <w:t xml:space="preserve"> </w:t>
      </w:r>
      <w:r>
        <w:rPr>
          <w:rFonts w:ascii="Times New Roman" w:hAnsi="Times New Roman"/>
          <w:bCs/>
          <w:color w:val="000000"/>
          <w:lang w:eastAsia="cs-CZ"/>
        </w:rPr>
        <w:t>detailizácii administratívnych, technických, organizačných a</w:t>
      </w:r>
      <w:r w:rsidR="00A925E0">
        <w:rPr>
          <w:rFonts w:ascii="Times New Roman" w:hAnsi="Times New Roman"/>
          <w:bCs/>
          <w:color w:val="000000"/>
          <w:lang w:eastAsia="cs-CZ"/>
        </w:rPr>
        <w:t> </w:t>
      </w:r>
      <w:r>
        <w:rPr>
          <w:rFonts w:ascii="Times New Roman" w:hAnsi="Times New Roman"/>
          <w:bCs/>
          <w:color w:val="000000"/>
          <w:lang w:eastAsia="cs-CZ"/>
        </w:rPr>
        <w:t>finančných požiadaviek na držiteľa povolenia vo vzťahu k zabezpečovaniu jadrovej bezpečnosti a vo vzťahu k systému manažérstva kvality</w:t>
      </w:r>
      <w:r w:rsidR="005826D8">
        <w:rPr>
          <w:rFonts w:ascii="Times New Roman" w:hAnsi="Times New Roman"/>
          <w:bCs/>
          <w:color w:val="000000"/>
          <w:lang w:eastAsia="cs-CZ"/>
        </w:rPr>
        <w:t>.</w:t>
      </w:r>
      <w:r>
        <w:rPr>
          <w:rFonts w:ascii="Times New Roman" w:hAnsi="Times New Roman"/>
          <w:bCs/>
          <w:color w:val="000000"/>
          <w:lang w:eastAsia="cs-CZ"/>
        </w:rPr>
        <w:t xml:space="preserve"> </w:t>
      </w:r>
      <w:r w:rsidR="005826D8">
        <w:rPr>
          <w:rFonts w:ascii="Times New Roman" w:hAnsi="Times New Roman"/>
          <w:bCs/>
          <w:color w:val="000000"/>
          <w:lang w:eastAsia="cs-CZ"/>
        </w:rPr>
        <w:t>N</w:t>
      </w:r>
      <w:r>
        <w:rPr>
          <w:rFonts w:ascii="Times New Roman" w:hAnsi="Times New Roman"/>
          <w:bCs/>
          <w:color w:val="000000"/>
          <w:lang w:eastAsia="cs-CZ"/>
        </w:rPr>
        <w:t xml:space="preserve">ovým spôsobom sú upravené niektoré ustanovenia o povinnostiach pri vyraďovaní </w:t>
      </w:r>
      <w:r w:rsidR="001F29FE">
        <w:rPr>
          <w:rFonts w:ascii="Times New Roman" w:hAnsi="Times New Roman"/>
          <w:bCs/>
          <w:color w:val="000000"/>
          <w:lang w:eastAsia="cs-CZ"/>
        </w:rPr>
        <w:t>JZ</w:t>
      </w:r>
      <w:r w:rsidR="000C7857">
        <w:rPr>
          <w:rFonts w:ascii="Times New Roman" w:hAnsi="Times New Roman"/>
          <w:bCs/>
          <w:color w:val="000000"/>
          <w:lang w:eastAsia="cs-CZ"/>
        </w:rPr>
        <w:t xml:space="preserve"> </w:t>
      </w:r>
      <w:r>
        <w:rPr>
          <w:rFonts w:ascii="Times New Roman" w:hAnsi="Times New Roman"/>
          <w:bCs/>
          <w:color w:val="000000"/>
          <w:lang w:eastAsia="cs-CZ"/>
        </w:rPr>
        <w:t xml:space="preserve">a vyňatí </w:t>
      </w:r>
      <w:r w:rsidR="000C7857">
        <w:rPr>
          <w:rFonts w:ascii="Times New Roman" w:hAnsi="Times New Roman"/>
          <w:bCs/>
          <w:color w:val="000000"/>
          <w:lang w:eastAsia="cs-CZ"/>
        </w:rPr>
        <w:t>JZ</w:t>
      </w:r>
      <w:r>
        <w:rPr>
          <w:rFonts w:ascii="Times New Roman" w:hAnsi="Times New Roman"/>
          <w:bCs/>
          <w:color w:val="000000"/>
          <w:lang w:eastAsia="cs-CZ"/>
        </w:rPr>
        <w:t xml:space="preserve"> spod pôsobnosti atómového zákona po skončení </w:t>
      </w:r>
      <w:r w:rsidR="005826D8">
        <w:rPr>
          <w:rFonts w:ascii="Times New Roman" w:hAnsi="Times New Roman"/>
          <w:bCs/>
          <w:color w:val="000000"/>
          <w:lang w:eastAsia="cs-CZ"/>
        </w:rPr>
        <w:t xml:space="preserve">ich </w:t>
      </w:r>
      <w:r>
        <w:rPr>
          <w:rFonts w:ascii="Times New Roman" w:hAnsi="Times New Roman"/>
          <w:bCs/>
          <w:color w:val="000000"/>
          <w:lang w:eastAsia="cs-CZ"/>
        </w:rPr>
        <w:t xml:space="preserve">vyraďovania. Rovnako sa </w:t>
      </w:r>
      <w:r w:rsidR="005A6746">
        <w:rPr>
          <w:rFonts w:ascii="Times New Roman" w:hAnsi="Times New Roman"/>
          <w:bCs/>
          <w:color w:val="000000"/>
          <w:lang w:eastAsia="cs-CZ"/>
        </w:rPr>
        <w:t>upresňuj</w:t>
      </w:r>
      <w:r>
        <w:rPr>
          <w:rFonts w:ascii="Times New Roman" w:hAnsi="Times New Roman"/>
          <w:bCs/>
          <w:color w:val="000000"/>
          <w:lang w:eastAsia="cs-CZ"/>
        </w:rPr>
        <w:t>ú aj požiadavky na dozornú infraštruktúru v oblasti jadrovej bezpečnosti, nakoľko sa kladie dôraz na dostatočné personálne a finančné zdroje, legislatívne kapacity a dostatočné právomoci nezávislého dozorného orgánu.</w:t>
      </w:r>
    </w:p>
    <w:p w:rsidR="00196C31" w:rsidRPr="009E0769" w:rsidP="000C7857">
      <w:pPr>
        <w:bidi w:val="0"/>
        <w:jc w:val="both"/>
        <w:rPr>
          <w:rFonts w:ascii="Times New Roman" w:hAnsi="Times New Roman"/>
          <w:bCs/>
          <w:color w:val="000000"/>
          <w:lang w:eastAsia="cs-CZ"/>
        </w:rPr>
      </w:pPr>
      <w:r>
        <w:rPr>
          <w:rFonts w:ascii="Times New Roman" w:hAnsi="Times New Roman"/>
          <w:bCs/>
          <w:color w:val="000000"/>
          <w:lang w:eastAsia="cs-CZ"/>
        </w:rPr>
        <w:t xml:space="preserve">Paralelne </w:t>
      </w:r>
      <w:r>
        <w:rPr>
          <w:rFonts w:ascii="Times New Roman" w:hAnsi="Times New Roman"/>
          <w:color w:val="000000"/>
          <w:lang w:eastAsia="cs-CZ"/>
        </w:rPr>
        <w:t>s legislatívnymi prácami na novelizácii atómového zákona boli pripravené dve nové vyhlášky a séria novelizovaných vyhlášok akcentujúcich zmeny v</w:t>
      </w:r>
      <w:r w:rsidR="00A925E0">
        <w:rPr>
          <w:rFonts w:ascii="Times New Roman" w:hAnsi="Times New Roman"/>
          <w:color w:val="000000"/>
          <w:lang w:eastAsia="cs-CZ"/>
        </w:rPr>
        <w:t> </w:t>
      </w:r>
      <w:r>
        <w:rPr>
          <w:rFonts w:ascii="Times New Roman" w:hAnsi="Times New Roman"/>
          <w:color w:val="000000"/>
          <w:lang w:eastAsia="cs-CZ"/>
        </w:rPr>
        <w:t xml:space="preserve">zákonnej úprave. </w:t>
      </w:r>
      <w:r w:rsidR="00BF590D">
        <w:rPr>
          <w:rFonts w:ascii="Times New Roman" w:hAnsi="Times New Roman"/>
          <w:color w:val="000000"/>
          <w:lang w:eastAsia="cs-CZ"/>
        </w:rPr>
        <w:t>V</w:t>
      </w:r>
      <w:r>
        <w:rPr>
          <w:rFonts w:ascii="Times New Roman" w:hAnsi="Times New Roman"/>
          <w:color w:val="000000"/>
          <w:lang w:eastAsia="cs-CZ"/>
        </w:rPr>
        <w:t>yhláška o požiadavkách na jadrovú bezpečnosť</w:t>
      </w:r>
      <w:r w:rsidR="00BF590D">
        <w:rPr>
          <w:rFonts w:ascii="Times New Roman" w:hAnsi="Times New Roman"/>
          <w:color w:val="000000"/>
          <w:lang w:eastAsia="cs-CZ"/>
        </w:rPr>
        <w:t xml:space="preserve"> publikovaná v </w:t>
      </w:r>
      <w:r w:rsidR="000C7857">
        <w:rPr>
          <w:rFonts w:ascii="Times New Roman" w:hAnsi="Times New Roman"/>
          <w:color w:val="000000"/>
          <w:lang w:eastAsia="cs-CZ"/>
        </w:rPr>
        <w:t>Z</w:t>
      </w:r>
      <w:r w:rsidR="00BF590D">
        <w:rPr>
          <w:rFonts w:ascii="Times New Roman" w:hAnsi="Times New Roman"/>
          <w:color w:val="000000"/>
          <w:lang w:eastAsia="cs-CZ"/>
        </w:rPr>
        <w:t>bierke zákonov</w:t>
      </w:r>
      <w:r>
        <w:rPr>
          <w:rFonts w:ascii="Times New Roman" w:hAnsi="Times New Roman"/>
          <w:color w:val="000000"/>
          <w:lang w:eastAsia="cs-CZ"/>
        </w:rPr>
        <w:t xml:space="preserve"> pod č. 430/2011 Z. z</w:t>
      </w:r>
      <w:r w:rsidR="005008A8">
        <w:rPr>
          <w:rFonts w:ascii="Times New Roman" w:hAnsi="Times New Roman"/>
          <w:color w:val="000000"/>
          <w:lang w:eastAsia="cs-CZ"/>
        </w:rPr>
        <w:t>.</w:t>
      </w:r>
      <w:r>
        <w:rPr>
          <w:rFonts w:ascii="Times New Roman" w:hAnsi="Times New Roman"/>
          <w:color w:val="000000"/>
          <w:lang w:eastAsia="cs-CZ"/>
        </w:rPr>
        <w:t xml:space="preserve"> s účinnosťou od 1. januára 2012 v plnom rozsahu nahrádza doterajšiu vyhlášku ÚJD SR</w:t>
      </w:r>
      <w:r w:rsidR="005008A8">
        <w:rPr>
          <w:rFonts w:ascii="Times New Roman" w:hAnsi="Times New Roman"/>
          <w:color w:val="000000"/>
          <w:lang w:eastAsia="cs-CZ"/>
        </w:rPr>
        <w:t xml:space="preserve"> </w:t>
      </w:r>
      <w:r>
        <w:rPr>
          <w:rFonts w:ascii="Times New Roman" w:hAnsi="Times New Roman"/>
          <w:color w:val="000000"/>
          <w:lang w:eastAsia="cs-CZ"/>
        </w:rPr>
        <w:t>č.</w:t>
      </w:r>
      <w:r w:rsidR="005008A8">
        <w:rPr>
          <w:rFonts w:ascii="Times New Roman" w:hAnsi="Times New Roman"/>
          <w:color w:val="000000"/>
          <w:lang w:eastAsia="cs-CZ"/>
        </w:rPr>
        <w:t> </w:t>
      </w:r>
      <w:r>
        <w:rPr>
          <w:rFonts w:ascii="Times New Roman" w:hAnsi="Times New Roman"/>
          <w:color w:val="000000"/>
          <w:lang w:eastAsia="cs-CZ"/>
        </w:rPr>
        <w:t xml:space="preserve">50/2006 Z. z. </w:t>
      </w:r>
      <w:r w:rsidR="00BF590D">
        <w:rPr>
          <w:rFonts w:ascii="Times New Roman" w:hAnsi="Times New Roman"/>
          <w:color w:val="000000"/>
          <w:lang w:eastAsia="cs-CZ"/>
        </w:rPr>
        <w:t>V</w:t>
      </w:r>
      <w:r>
        <w:rPr>
          <w:rFonts w:ascii="Times New Roman" w:hAnsi="Times New Roman"/>
          <w:color w:val="000000"/>
          <w:lang w:eastAsia="cs-CZ"/>
        </w:rPr>
        <w:t>yhláška o systéme manažérstva kvality bola publikovaná v Zbierke zákonov pod č. 431/2011 Z. z. s účinnosťou od 1. januára 2012 v plnom rozsahu nahrádza doterajšiu vyhlášku ÚJD SR č. 56/2006 Z. z.</w:t>
      </w:r>
    </w:p>
    <w:p w:rsidR="00196C31" w:rsidP="00196C31">
      <w:pPr>
        <w:bidi w:val="0"/>
        <w:ind w:firstLine="708"/>
        <w:jc w:val="both"/>
        <w:rPr>
          <w:rFonts w:ascii="Times New Roman" w:hAnsi="Times New Roman"/>
        </w:rPr>
      </w:pPr>
      <w:r>
        <w:rPr>
          <w:rFonts w:ascii="Times New Roman" w:hAnsi="Times New Roman"/>
        </w:rPr>
        <w:t xml:space="preserve"> </w:t>
      </w:r>
    </w:p>
    <w:p w:rsidR="00196C31" w:rsidP="000C7857">
      <w:pPr>
        <w:bidi w:val="0"/>
        <w:jc w:val="both"/>
        <w:rPr>
          <w:rFonts w:ascii="Times New Roman" w:hAnsi="Times New Roman"/>
        </w:rPr>
      </w:pPr>
      <w:r>
        <w:rPr>
          <w:rFonts w:ascii="Times New Roman" w:hAnsi="Times New Roman"/>
        </w:rPr>
        <w:t xml:space="preserve">ÚJD SR </w:t>
      </w:r>
      <w:r>
        <w:rPr>
          <w:rFonts w:ascii="Times New Roman" w:hAnsi="Times New Roman"/>
          <w:color w:val="000000"/>
          <w:lang w:eastAsia="cs-CZ"/>
        </w:rPr>
        <w:t xml:space="preserve">pripravoval aj v roku 2011 viacero bezpečnostných návodov </w:t>
      </w:r>
      <w:r>
        <w:rPr>
          <w:rFonts w:ascii="Times New Roman" w:hAnsi="Times New Roman"/>
        </w:rPr>
        <w:t>s cieľom</w:t>
      </w:r>
      <w:r w:rsidRPr="0045181C">
        <w:rPr>
          <w:rFonts w:ascii="Times New Roman" w:hAnsi="Times New Roman"/>
        </w:rPr>
        <w:t xml:space="preserve"> napomáha</w:t>
      </w:r>
      <w:r>
        <w:rPr>
          <w:rFonts w:ascii="Times New Roman" w:hAnsi="Times New Roman"/>
        </w:rPr>
        <w:t>ť</w:t>
      </w:r>
      <w:r w:rsidRPr="0045181C">
        <w:rPr>
          <w:rFonts w:ascii="Times New Roman" w:hAnsi="Times New Roman"/>
        </w:rPr>
        <w:t xml:space="preserve"> zabezpeč</w:t>
      </w:r>
      <w:r>
        <w:rPr>
          <w:rFonts w:ascii="Times New Roman" w:hAnsi="Times New Roman"/>
        </w:rPr>
        <w:t>eniu</w:t>
      </w:r>
      <w:r w:rsidRPr="0045181C">
        <w:rPr>
          <w:rFonts w:ascii="Times New Roman" w:hAnsi="Times New Roman"/>
        </w:rPr>
        <w:t xml:space="preserve"> </w:t>
      </w:r>
      <w:r>
        <w:rPr>
          <w:rFonts w:ascii="Times New Roman" w:hAnsi="Times New Roman"/>
        </w:rPr>
        <w:t xml:space="preserve">plnenia požiadaviek na </w:t>
      </w:r>
      <w:r w:rsidRPr="0045181C">
        <w:rPr>
          <w:rFonts w:ascii="Times New Roman" w:hAnsi="Times New Roman"/>
        </w:rPr>
        <w:t>bezpečné využívani</w:t>
      </w:r>
      <w:r>
        <w:rPr>
          <w:rFonts w:ascii="Times New Roman" w:hAnsi="Times New Roman"/>
        </w:rPr>
        <w:t>e</w:t>
      </w:r>
      <w:r w:rsidRPr="0045181C">
        <w:rPr>
          <w:rFonts w:ascii="Times New Roman" w:hAnsi="Times New Roman"/>
        </w:rPr>
        <w:t xml:space="preserve"> jadrovej energie alebo vykonávania činností súvisiacich s využívaním jadrovej energie</w:t>
      </w:r>
      <w:r>
        <w:rPr>
          <w:rFonts w:ascii="Times New Roman" w:hAnsi="Times New Roman"/>
          <w:color w:val="000000"/>
          <w:lang w:eastAsia="cs-CZ"/>
        </w:rPr>
        <w:t xml:space="preserve">. </w:t>
      </w:r>
      <w:r w:rsidR="005008A8">
        <w:rPr>
          <w:rFonts w:ascii="Times New Roman" w:hAnsi="Times New Roman"/>
          <w:color w:val="000000"/>
          <w:lang w:eastAsia="cs-CZ"/>
        </w:rPr>
        <w:t>B</w:t>
      </w:r>
      <w:r>
        <w:rPr>
          <w:rFonts w:ascii="Times New Roman" w:hAnsi="Times New Roman"/>
          <w:color w:val="000000"/>
          <w:lang w:eastAsia="cs-CZ"/>
        </w:rPr>
        <w:t xml:space="preserve">oli vydané </w:t>
      </w:r>
      <w:r w:rsidR="00BF590D">
        <w:rPr>
          <w:rFonts w:ascii="Times New Roman" w:hAnsi="Times New Roman"/>
          <w:color w:val="000000"/>
          <w:lang w:eastAsia="cs-CZ"/>
        </w:rPr>
        <w:t xml:space="preserve">2 </w:t>
      </w:r>
      <w:r>
        <w:rPr>
          <w:rFonts w:ascii="Times New Roman" w:hAnsi="Times New Roman"/>
          <w:color w:val="000000"/>
          <w:lang w:eastAsia="cs-CZ"/>
        </w:rPr>
        <w:t>bezpečnostné návody</w:t>
      </w:r>
      <w:r w:rsidR="00B64772">
        <w:rPr>
          <w:rFonts w:ascii="Times New Roman" w:hAnsi="Times New Roman"/>
          <w:color w:val="000000"/>
          <w:lang w:eastAsia="cs-CZ"/>
        </w:rPr>
        <w:t>.</w:t>
      </w:r>
    </w:p>
    <w:p w:rsidR="000C7857" w:rsidP="00196C31">
      <w:pPr>
        <w:bidi w:val="0"/>
        <w:jc w:val="both"/>
        <w:rPr>
          <w:rFonts w:ascii="Times New Roman" w:hAnsi="Times New Roman"/>
        </w:rPr>
      </w:pPr>
    </w:p>
    <w:p w:rsidR="00196C31" w:rsidP="00196C31">
      <w:pPr>
        <w:bidi w:val="0"/>
        <w:jc w:val="both"/>
        <w:rPr>
          <w:rFonts w:ascii="Times New Roman" w:hAnsi="Times New Roman"/>
        </w:rPr>
      </w:pPr>
      <w:r w:rsidR="002941F6">
        <w:rPr>
          <w:rFonts w:ascii="Times New Roman" w:hAnsi="Times New Roman"/>
        </w:rPr>
        <w:t>Čo sa týka</w:t>
      </w:r>
      <w:r>
        <w:rPr>
          <w:rFonts w:ascii="Times New Roman" w:hAnsi="Times New Roman"/>
        </w:rPr>
        <w:t xml:space="preserve"> ostatných legislatívnych činností ÚJD SR v roku 2011 aktívne participoval v medzirezortnej pracovnej skupine na Ministerstve životného prostredia Slovenskej republiky, ktorá sa zaoberala zmenou legislatívy smerujúcou k dostatočnému zabezpečeniu práv verejnosti v rozhodovacích procesoch vo významných projektoch s vplyvom na životné prostredie.</w:t>
      </w:r>
    </w:p>
    <w:p w:rsidR="000C7857" w:rsidP="00196C31">
      <w:pPr>
        <w:bidi w:val="0"/>
        <w:jc w:val="both"/>
        <w:rPr>
          <w:rFonts w:ascii="Times New Roman" w:hAnsi="Times New Roman"/>
        </w:rPr>
      </w:pPr>
    </w:p>
    <w:p w:rsidR="00196C31" w:rsidP="00196C31">
      <w:pPr>
        <w:bidi w:val="0"/>
        <w:jc w:val="both"/>
        <w:rPr>
          <w:rFonts w:ascii="Times New Roman" w:hAnsi="Times New Roman"/>
        </w:rPr>
      </w:pPr>
      <w:r>
        <w:rPr>
          <w:rFonts w:ascii="Times New Roman" w:hAnsi="Times New Roman"/>
        </w:rPr>
        <w:t xml:space="preserve">V rámci medzirezortných pripomienkových konaní ÚJD SR uplatnil vyše 600 stanovísk k návrhom právnych predpisov.  </w:t>
      </w:r>
    </w:p>
    <w:p w:rsidR="00381E93" w:rsidP="00A16146">
      <w:pPr>
        <w:bidi w:val="0"/>
        <w:jc w:val="both"/>
        <w:rPr>
          <w:rFonts w:ascii="Times New Roman" w:hAnsi="Times New Roman"/>
          <w:color w:val="000000"/>
          <w:lang w:eastAsia="cs-CZ"/>
        </w:rPr>
      </w:pPr>
    </w:p>
    <w:p w:rsidR="0004591B" w:rsidP="00BE478D">
      <w:pPr>
        <w:pStyle w:val="Heading2"/>
        <w:tabs>
          <w:tab w:val="num" w:pos="-284"/>
        </w:tabs>
        <w:bidi w:val="0"/>
        <w:ind w:left="0" w:firstLine="11"/>
        <w:rPr>
          <w:rFonts w:ascii="Times New Roman" w:hAnsi="Times New Roman"/>
        </w:rPr>
      </w:pPr>
      <w:bookmarkStart w:id="10" w:name="_Toc285032438"/>
      <w:bookmarkStart w:id="11" w:name="_Toc320719710"/>
      <w:r>
        <w:rPr>
          <w:rFonts w:ascii="Times New Roman" w:hAnsi="Times New Roman"/>
        </w:rPr>
        <w:t>Vydávanie povolen</w:t>
      </w:r>
      <w:bookmarkEnd w:id="8"/>
      <w:r>
        <w:rPr>
          <w:rFonts w:ascii="Times New Roman" w:hAnsi="Times New Roman"/>
        </w:rPr>
        <w:t>í</w:t>
      </w:r>
      <w:bookmarkEnd w:id="9"/>
      <w:bookmarkEnd w:id="10"/>
      <w:bookmarkEnd w:id="11"/>
    </w:p>
    <w:p w:rsidR="00196C31" w:rsidP="007F6840">
      <w:pPr>
        <w:autoSpaceDE w:val="0"/>
        <w:autoSpaceDN w:val="0"/>
        <w:bidi w:val="0"/>
        <w:adjustRightInd w:val="0"/>
        <w:jc w:val="both"/>
        <w:rPr>
          <w:rFonts w:ascii="Times New Roman" w:hAnsi="Times New Roman"/>
          <w:szCs w:val="18"/>
        </w:rPr>
      </w:pPr>
      <w:bookmarkStart w:id="12" w:name="_Toc158112589"/>
      <w:bookmarkStart w:id="13" w:name="_Toc162317358"/>
      <w:bookmarkStart w:id="14" w:name="_Toc158112582"/>
      <w:bookmarkStart w:id="15" w:name="_Toc162317351"/>
      <w:bookmarkStart w:id="16" w:name="_Toc224458808"/>
      <w:r>
        <w:rPr>
          <w:rFonts w:ascii="Times New Roman" w:hAnsi="Times New Roman"/>
          <w:szCs w:val="18"/>
        </w:rPr>
        <w:t>Na získanie povolenia musí žiadateľ preukázať svoju schopnosť dodržiavať a plniť všetky požiadavky stanovené zákonmi a vyhláškami platnými v SR, obzvlášť požiadavky atómového zákona a vykonávacích vyhlášok ÚJD SR k tomuto zákonu. Žiadateľ musí ďalej preukázať, že JZ bude, resp. je prevádzkované bezpečne.</w:t>
      </w:r>
    </w:p>
    <w:p w:rsidR="00196C31" w:rsidP="007F6840">
      <w:pPr>
        <w:autoSpaceDE w:val="0"/>
        <w:autoSpaceDN w:val="0"/>
        <w:bidi w:val="0"/>
        <w:adjustRightInd w:val="0"/>
        <w:jc w:val="both"/>
        <w:rPr>
          <w:rFonts w:ascii="Times New Roman" w:hAnsi="Times New Roman"/>
        </w:rPr>
      </w:pPr>
      <w:r>
        <w:rPr>
          <w:rFonts w:ascii="Times New Roman" w:hAnsi="Times New Roman"/>
        </w:rPr>
        <w:t>Najväčšími spoločnosťami, držiteľmi povolení na prevádzku JZ sú</w:t>
      </w:r>
      <w:r w:rsidR="007F6840">
        <w:rPr>
          <w:rFonts w:ascii="Times New Roman" w:hAnsi="Times New Roman"/>
        </w:rPr>
        <w:t xml:space="preserve"> </w:t>
      </w:r>
      <w:r>
        <w:rPr>
          <w:rFonts w:ascii="Times New Roman" w:hAnsi="Times New Roman"/>
          <w:szCs w:val="18"/>
        </w:rPr>
        <w:t>Slovenské elektrárne, a.</w:t>
      </w:r>
      <w:r w:rsidR="00CD6DDD">
        <w:rPr>
          <w:rFonts w:ascii="Times New Roman" w:hAnsi="Times New Roman"/>
          <w:szCs w:val="18"/>
        </w:rPr>
        <w:t> </w:t>
      </w:r>
      <w:r>
        <w:rPr>
          <w:rFonts w:ascii="Times New Roman" w:hAnsi="Times New Roman"/>
          <w:szCs w:val="18"/>
        </w:rPr>
        <w:t>s., (ďalej len SE, a.</w:t>
      </w:r>
      <w:r w:rsidR="00CD6DDD">
        <w:rPr>
          <w:rFonts w:ascii="Times New Roman" w:hAnsi="Times New Roman"/>
          <w:szCs w:val="18"/>
        </w:rPr>
        <w:t> </w:t>
      </w:r>
      <w:r>
        <w:rPr>
          <w:rFonts w:ascii="Times New Roman" w:hAnsi="Times New Roman"/>
          <w:szCs w:val="18"/>
        </w:rPr>
        <w:t xml:space="preserve">s.) </w:t>
      </w:r>
      <w:r>
        <w:rPr>
          <w:rFonts w:ascii="Times New Roman" w:hAnsi="Times New Roman"/>
        </w:rPr>
        <w:t>a Jadrová a vyraďovacia spoločnosť, a.</w:t>
      </w:r>
      <w:r w:rsidR="00D808A9">
        <w:rPr>
          <w:rFonts w:ascii="Times New Roman" w:hAnsi="Times New Roman"/>
        </w:rPr>
        <w:t> </w:t>
      </w:r>
      <w:r>
        <w:rPr>
          <w:rFonts w:ascii="Times New Roman" w:hAnsi="Times New Roman"/>
        </w:rPr>
        <w:t>s., (ďalej len JAVYS, a.</w:t>
      </w:r>
      <w:r w:rsidR="00D808A9">
        <w:rPr>
          <w:rFonts w:ascii="Times New Roman" w:hAnsi="Times New Roman"/>
        </w:rPr>
        <w:t> </w:t>
      </w:r>
      <w:r>
        <w:rPr>
          <w:rFonts w:ascii="Times New Roman" w:hAnsi="Times New Roman"/>
        </w:rPr>
        <w:t xml:space="preserve">s.). </w:t>
      </w:r>
    </w:p>
    <w:p w:rsidR="00196C31" w:rsidP="007F6840">
      <w:pPr>
        <w:autoSpaceDE w:val="0"/>
        <w:autoSpaceDN w:val="0"/>
        <w:bidi w:val="0"/>
        <w:adjustRightInd w:val="0"/>
        <w:jc w:val="both"/>
        <w:rPr>
          <w:rFonts w:ascii="Times New Roman" w:hAnsi="Times New Roman"/>
          <w:szCs w:val="18"/>
        </w:rPr>
      </w:pPr>
      <w:r>
        <w:rPr>
          <w:rFonts w:ascii="Times New Roman" w:hAnsi="Times New Roman"/>
          <w:szCs w:val="18"/>
        </w:rPr>
        <w:t>ÚJD SR ďalej dozoruje a vydáva povolenia aj pre iné právnické osoby</w:t>
      </w:r>
      <w:r w:rsidR="005A6746">
        <w:rPr>
          <w:rFonts w:ascii="Times New Roman" w:hAnsi="Times New Roman"/>
          <w:szCs w:val="18"/>
        </w:rPr>
        <w:t>,</w:t>
      </w:r>
      <w:r>
        <w:rPr>
          <w:rFonts w:ascii="Times New Roman" w:hAnsi="Times New Roman"/>
          <w:szCs w:val="18"/>
        </w:rPr>
        <w:t xml:space="preserve"> organizácie, ktoré neprevádzkujú energetické JZ, ale vykonávajú činnosti súvisiace s mierovým využívaním jadrovej energie v súlade s atómovým zákonom. Jedným z predstaviteľov týchto držiteľov povolení je VUJE, a.</w:t>
      </w:r>
      <w:r w:rsidR="00D808A9">
        <w:rPr>
          <w:rFonts w:ascii="Times New Roman" w:hAnsi="Times New Roman"/>
          <w:szCs w:val="18"/>
        </w:rPr>
        <w:t> </w:t>
      </w:r>
      <w:r>
        <w:rPr>
          <w:rFonts w:ascii="Times New Roman" w:hAnsi="Times New Roman"/>
          <w:szCs w:val="18"/>
        </w:rPr>
        <w:t>s., ktor</w:t>
      </w:r>
      <w:r w:rsidR="005A6746">
        <w:rPr>
          <w:rFonts w:ascii="Times New Roman" w:hAnsi="Times New Roman"/>
          <w:szCs w:val="18"/>
        </w:rPr>
        <w:t>á</w:t>
      </w:r>
      <w:r>
        <w:rPr>
          <w:rFonts w:ascii="Times New Roman" w:hAnsi="Times New Roman"/>
          <w:szCs w:val="18"/>
        </w:rPr>
        <w:t xml:space="preserve"> sa zaoberá odborným výcvikom personálu</w:t>
      </w:r>
      <w:r w:rsidR="00796AD4">
        <w:rPr>
          <w:rFonts w:ascii="Times New Roman" w:hAnsi="Times New Roman"/>
          <w:szCs w:val="18"/>
        </w:rPr>
        <w:t xml:space="preserve"> JZ</w:t>
      </w:r>
      <w:r>
        <w:rPr>
          <w:rFonts w:ascii="Times New Roman" w:hAnsi="Times New Roman"/>
          <w:szCs w:val="18"/>
        </w:rPr>
        <w:t>, výskumnou, projekčnou a realizačnou činnosťou súvisiacou s JZ a jadrovými materiálmi (ďalej len „JM“). VUJE, a.</w:t>
      </w:r>
      <w:r w:rsidR="00D808A9">
        <w:rPr>
          <w:rFonts w:ascii="Times New Roman" w:hAnsi="Times New Roman"/>
          <w:szCs w:val="18"/>
        </w:rPr>
        <w:t> </w:t>
      </w:r>
      <w:r>
        <w:rPr>
          <w:rFonts w:ascii="Times New Roman" w:hAnsi="Times New Roman"/>
          <w:szCs w:val="18"/>
        </w:rPr>
        <w:t>s., je tiež majiteľom dvoch experimentálnych JZ, ktoré sú v súčasnosti vo fáze vyraďovania – bitúmenačná linka a spaľovňa rádioaktívnych odpadov.</w:t>
      </w:r>
    </w:p>
    <w:p w:rsidR="00196C31" w:rsidP="00196C31">
      <w:pPr>
        <w:autoSpaceDE w:val="0"/>
        <w:autoSpaceDN w:val="0"/>
        <w:bidi w:val="0"/>
        <w:adjustRightInd w:val="0"/>
        <w:rPr>
          <w:rFonts w:ascii="Times New Roman" w:hAnsi="Times New Roman"/>
          <w:color w:val="31849B"/>
          <w:szCs w:val="14"/>
        </w:rPr>
      </w:pPr>
    </w:p>
    <w:p w:rsidR="00196C31" w:rsidRPr="009779DC" w:rsidP="00BE478D">
      <w:pPr>
        <w:pStyle w:val="Heading2"/>
        <w:tabs>
          <w:tab w:val="num" w:pos="0"/>
        </w:tabs>
        <w:bidi w:val="0"/>
        <w:ind w:left="0" w:firstLine="11"/>
        <w:rPr>
          <w:rFonts w:ascii="Times New Roman" w:hAnsi="Times New Roman"/>
        </w:rPr>
      </w:pPr>
      <w:bookmarkStart w:id="17" w:name="_Toc158112581"/>
      <w:bookmarkStart w:id="18" w:name="_Toc162317350"/>
      <w:bookmarkStart w:id="19" w:name="_Toc224458807"/>
      <w:bookmarkStart w:id="20" w:name="_Toc290557773"/>
      <w:bookmarkStart w:id="21" w:name="_Toc320719711"/>
      <w:r w:rsidRPr="009779DC">
        <w:rPr>
          <w:rFonts w:ascii="Times New Roman" w:hAnsi="Times New Roman"/>
        </w:rPr>
        <w:t>Posudzovacia a hodnotiaca činnosť</w:t>
      </w:r>
      <w:bookmarkEnd w:id="17"/>
      <w:bookmarkEnd w:id="18"/>
      <w:bookmarkEnd w:id="19"/>
      <w:bookmarkEnd w:id="20"/>
      <w:bookmarkEnd w:id="21"/>
    </w:p>
    <w:p w:rsidR="00196C31" w:rsidP="007F6840">
      <w:pPr>
        <w:autoSpaceDE w:val="0"/>
        <w:autoSpaceDN w:val="0"/>
        <w:bidi w:val="0"/>
        <w:adjustRightInd w:val="0"/>
        <w:jc w:val="both"/>
        <w:rPr>
          <w:rFonts w:ascii="Times New Roman" w:hAnsi="Times New Roman"/>
          <w:szCs w:val="18"/>
        </w:rPr>
      </w:pPr>
      <w:r w:rsidRPr="00F47B70">
        <w:rPr>
          <w:rFonts w:ascii="Times New Roman" w:hAnsi="Times New Roman"/>
        </w:rPr>
        <w:t>Jadrová bezpečnosť JZ sa preukazuje dokumentáciou</w:t>
      </w:r>
      <w:r>
        <w:rPr>
          <w:rFonts w:ascii="Times New Roman" w:hAnsi="Times New Roman"/>
        </w:rPr>
        <w:t>, ktorá dokazuje, že jeho systémy a zariadenia sú schopné pracovať bezpečne a spoľahlivo, a to počas normálnej aj mimoriadnej prevádzky, a že vplyv JZ na zamestnancov, obyvateľstvo, životné prostredie, ako aj na majetok je na akceptovateľnej úrovni.</w:t>
      </w:r>
    </w:p>
    <w:p w:rsidR="00196C31" w:rsidP="007F6840">
      <w:pPr>
        <w:autoSpaceDE w:val="0"/>
        <w:autoSpaceDN w:val="0"/>
        <w:bidi w:val="0"/>
        <w:adjustRightInd w:val="0"/>
        <w:jc w:val="both"/>
        <w:rPr>
          <w:rFonts w:ascii="Times New Roman" w:hAnsi="Times New Roman"/>
          <w:szCs w:val="18"/>
        </w:rPr>
      </w:pPr>
    </w:p>
    <w:p w:rsidR="00196C31" w:rsidP="00196C31">
      <w:pPr>
        <w:autoSpaceDE w:val="0"/>
        <w:autoSpaceDN w:val="0"/>
        <w:bidi w:val="0"/>
        <w:adjustRightInd w:val="0"/>
        <w:rPr>
          <w:rFonts w:ascii="Times New Roman" w:hAnsi="Times New Roman"/>
          <w:szCs w:val="18"/>
        </w:rPr>
      </w:pPr>
      <w:r w:rsidR="005A6746">
        <w:rPr>
          <w:rFonts w:ascii="Times New Roman" w:hAnsi="Times New Roman"/>
          <w:szCs w:val="18"/>
        </w:rPr>
        <w:t>ÚJD SR v</w:t>
      </w:r>
      <w:r>
        <w:rPr>
          <w:rFonts w:ascii="Times New Roman" w:hAnsi="Times New Roman"/>
          <w:szCs w:val="18"/>
        </w:rPr>
        <w:t xml:space="preserve"> roku 2011 posudzoval a hodnotil dokumentáciu súvisiacu najmä s:</w:t>
      </w:r>
    </w:p>
    <w:p w:rsidR="00196C31" w:rsidRPr="008E5895"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 xml:space="preserve">výstavbou </w:t>
      </w:r>
      <w:r>
        <w:rPr>
          <w:rFonts w:ascii="Times New Roman" w:hAnsi="Times New Roman"/>
        </w:rPr>
        <w:t>AE Mochovce</w:t>
      </w:r>
      <w:r w:rsidR="008F74FF">
        <w:rPr>
          <w:rFonts w:ascii="Times New Roman" w:hAnsi="Times New Roman"/>
        </w:rPr>
        <w:t> </w:t>
      </w:r>
      <w:r>
        <w:rPr>
          <w:rFonts w:ascii="Times New Roman" w:hAnsi="Times New Roman"/>
        </w:rPr>
        <w:t>3,4,</w:t>
      </w:r>
    </w:p>
    <w:p w:rsidR="00196C31" w:rsidRPr="008E5895" w:rsidP="00E700F5">
      <w:pPr>
        <w:numPr>
          <w:numId w:val="9"/>
        </w:numPr>
        <w:autoSpaceDE w:val="0"/>
        <w:autoSpaceDN w:val="0"/>
        <w:bidi w:val="0"/>
        <w:adjustRightInd w:val="0"/>
        <w:jc w:val="both"/>
        <w:rPr>
          <w:rFonts w:ascii="Times New Roman" w:hAnsi="Times New Roman"/>
          <w:szCs w:val="18"/>
        </w:rPr>
      </w:pPr>
      <w:r>
        <w:rPr>
          <w:rFonts w:ascii="Times New Roman" w:hAnsi="Times New Roman"/>
        </w:rPr>
        <w:t>vykonávanými záťažovými testami ako odozv</w:t>
      </w:r>
      <w:r w:rsidR="005A6746">
        <w:rPr>
          <w:rFonts w:ascii="Times New Roman" w:hAnsi="Times New Roman"/>
        </w:rPr>
        <w:t>ou</w:t>
      </w:r>
      <w:r>
        <w:rPr>
          <w:rFonts w:ascii="Times New Roman" w:hAnsi="Times New Roman"/>
        </w:rPr>
        <w:t xml:space="preserve"> na haváriu v </w:t>
      </w:r>
      <w:r w:rsidR="007F6840">
        <w:rPr>
          <w:rFonts w:ascii="Times New Roman" w:hAnsi="Times New Roman"/>
        </w:rPr>
        <w:t>A</w:t>
      </w:r>
      <w:r>
        <w:rPr>
          <w:rFonts w:ascii="Times New Roman" w:hAnsi="Times New Roman"/>
        </w:rPr>
        <w:t>E Fukušima,</w:t>
      </w:r>
    </w:p>
    <w:p w:rsidR="00196C31" w:rsidRPr="008E5895" w:rsidP="00E700F5">
      <w:pPr>
        <w:numPr>
          <w:numId w:val="9"/>
        </w:numPr>
        <w:autoSpaceDE w:val="0"/>
        <w:autoSpaceDN w:val="0"/>
        <w:bidi w:val="0"/>
        <w:adjustRightInd w:val="0"/>
        <w:jc w:val="both"/>
        <w:rPr>
          <w:rFonts w:ascii="Times New Roman" w:hAnsi="Times New Roman"/>
          <w:szCs w:val="18"/>
        </w:rPr>
      </w:pPr>
      <w:r>
        <w:rPr>
          <w:rFonts w:ascii="Times New Roman" w:hAnsi="Times New Roman"/>
        </w:rPr>
        <w:t>použitím nového typu jadrového paliva na AE Mochovce</w:t>
      </w:r>
      <w:r w:rsidR="008F74FF">
        <w:rPr>
          <w:rFonts w:ascii="Times New Roman" w:hAnsi="Times New Roman"/>
        </w:rPr>
        <w:t> </w:t>
      </w:r>
      <w:r>
        <w:rPr>
          <w:rFonts w:ascii="Times New Roman" w:hAnsi="Times New Roman"/>
        </w:rPr>
        <w:t>1,2,</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realizáciou zmien na vybraných zariadeniach,</w:t>
      </w:r>
    </w:p>
    <w:p w:rsidR="00196C31" w:rsidP="00E700F5">
      <w:pPr>
        <w:numPr>
          <w:numId w:val="9"/>
        </w:numPr>
        <w:autoSpaceDE w:val="0"/>
        <w:autoSpaceDN w:val="0"/>
        <w:bidi w:val="0"/>
        <w:adjustRightInd w:val="0"/>
        <w:jc w:val="both"/>
        <w:rPr>
          <w:rFonts w:ascii="Times New Roman" w:hAnsi="Times New Roman"/>
          <w:szCs w:val="18"/>
        </w:rPr>
      </w:pPr>
      <w:r w:rsidRPr="00B0513F">
        <w:rPr>
          <w:rFonts w:ascii="Times New Roman" w:hAnsi="Times New Roman"/>
        </w:rPr>
        <w:t>požiadavkami na kvalitu vybraných zariadení</w:t>
      </w:r>
      <w:r>
        <w:rPr>
          <w:rFonts w:ascii="Times New Roman" w:hAnsi="Times New Roman"/>
        </w:rPr>
        <w:t>,</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stavebnými konaniami na JZ,</w:t>
      </w:r>
    </w:p>
    <w:p w:rsidR="00196C31" w:rsidP="00E700F5">
      <w:pPr>
        <w:numPr>
          <w:numId w:val="9"/>
        </w:numPr>
        <w:autoSpaceDE w:val="0"/>
        <w:autoSpaceDN w:val="0"/>
        <w:bidi w:val="0"/>
        <w:adjustRightInd w:val="0"/>
        <w:jc w:val="both"/>
        <w:rPr>
          <w:rFonts w:ascii="Times New Roman" w:hAnsi="Times New Roman"/>
          <w:szCs w:val="18"/>
        </w:rPr>
      </w:pPr>
      <w:r w:rsidRPr="000B4FDD">
        <w:rPr>
          <w:rFonts w:ascii="Times New Roman" w:hAnsi="Times New Roman"/>
          <w:szCs w:val="18"/>
        </w:rPr>
        <w:t>dokumentáciou projektových zmien</w:t>
      </w:r>
      <w:r>
        <w:rPr>
          <w:rFonts w:ascii="Times New Roman" w:hAnsi="Times New Roman"/>
          <w:szCs w:val="18"/>
        </w:rPr>
        <w:t xml:space="preserve"> v zmysle atómového zákona,</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zmenami dokumentácie posúdenej alebo schválenej ÚJD SR v zmysle atómového zákona,</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 xml:space="preserve">dokumentáciou zabezpečovania kvality a systémami kvality, </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 xml:space="preserve">limitami a podmienkami bezpečnej prevádzky a bezpečného vyraďovania, </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 xml:space="preserve">dokumentáciou súvisiacou s havarijným plánovaním, </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prípravou vybraných zamestnancov a odborne spôsobilých zamestnancov držiteľov povolení,</w:t>
      </w:r>
    </w:p>
    <w:p w:rsidR="00196C31" w:rsidRPr="00FE446E"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organizačnými zmenami držiteľov povolení,</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p</w:t>
      </w:r>
      <w:r w:rsidRPr="00473B88">
        <w:rPr>
          <w:rFonts w:ascii="Times New Roman" w:hAnsi="Times New Roman"/>
          <w:szCs w:val="18"/>
        </w:rPr>
        <w:t>lánom I.</w:t>
      </w:r>
      <w:r w:rsidR="008F74FF">
        <w:rPr>
          <w:rFonts w:ascii="Times New Roman" w:hAnsi="Times New Roman"/>
          <w:szCs w:val="18"/>
        </w:rPr>
        <w:t> </w:t>
      </w:r>
      <w:r w:rsidRPr="00473B88">
        <w:rPr>
          <w:rFonts w:ascii="Times New Roman" w:hAnsi="Times New Roman"/>
          <w:szCs w:val="18"/>
        </w:rPr>
        <w:t xml:space="preserve">etapy vyraďovania </w:t>
      </w:r>
      <w:r>
        <w:rPr>
          <w:rFonts w:ascii="Times New Roman" w:hAnsi="Times New Roman"/>
          <w:szCs w:val="18"/>
        </w:rPr>
        <w:t>AE Bohunice</w:t>
      </w:r>
      <w:r w:rsidR="002E32CA">
        <w:rPr>
          <w:rFonts w:ascii="Times New Roman" w:hAnsi="Times New Roman"/>
          <w:szCs w:val="18"/>
        </w:rPr>
        <w:t xml:space="preserve"> </w:t>
      </w:r>
      <w:r>
        <w:rPr>
          <w:rFonts w:ascii="Times New Roman" w:hAnsi="Times New Roman"/>
          <w:szCs w:val="18"/>
        </w:rPr>
        <w:t>V</w:t>
      </w:r>
      <w:r w:rsidRPr="00473B88">
        <w:rPr>
          <w:rFonts w:ascii="Times New Roman" w:hAnsi="Times New Roman"/>
          <w:szCs w:val="18"/>
        </w:rPr>
        <w:t>-1</w:t>
      </w:r>
      <w:r>
        <w:rPr>
          <w:rFonts w:ascii="Times New Roman" w:hAnsi="Times New Roman"/>
          <w:szCs w:val="18"/>
        </w:rPr>
        <w:t>,</w:t>
      </w:r>
    </w:p>
    <w:p w:rsidR="00196C31" w:rsidP="00E700F5">
      <w:pPr>
        <w:numPr>
          <w:numId w:val="9"/>
        </w:numPr>
        <w:autoSpaceDE w:val="0"/>
        <w:autoSpaceDN w:val="0"/>
        <w:bidi w:val="0"/>
        <w:adjustRightInd w:val="0"/>
        <w:jc w:val="both"/>
        <w:rPr>
          <w:rFonts w:ascii="Times New Roman" w:hAnsi="Times New Roman"/>
          <w:szCs w:val="18"/>
        </w:rPr>
      </w:pPr>
      <w:r w:rsidRPr="00F4502A">
        <w:rPr>
          <w:rFonts w:ascii="Times New Roman" w:hAnsi="Times New Roman"/>
          <w:szCs w:val="18"/>
        </w:rPr>
        <w:t>nakladaním s</w:t>
      </w:r>
      <w:r>
        <w:rPr>
          <w:rFonts w:ascii="Times New Roman" w:hAnsi="Times New Roman"/>
          <w:szCs w:val="18"/>
        </w:rPr>
        <w:t> rádioaktívnym odpadom (ďalej len „RAO“)</w:t>
      </w:r>
      <w:r w:rsidRPr="00F4502A">
        <w:rPr>
          <w:rFonts w:ascii="Times New Roman" w:hAnsi="Times New Roman"/>
          <w:szCs w:val="18"/>
        </w:rPr>
        <w:t xml:space="preserve"> v </w:t>
      </w:r>
      <w:r>
        <w:rPr>
          <w:rFonts w:ascii="Times New Roman" w:hAnsi="Times New Roman"/>
          <w:szCs w:val="18"/>
        </w:rPr>
        <w:t>AE Bohunice</w:t>
      </w:r>
      <w:r w:rsidR="008F74FF">
        <w:rPr>
          <w:rFonts w:ascii="Times New Roman" w:hAnsi="Times New Roman"/>
          <w:szCs w:val="18"/>
        </w:rPr>
        <w:t> </w:t>
      </w:r>
      <w:r w:rsidRPr="00F4502A">
        <w:rPr>
          <w:rFonts w:ascii="Times New Roman" w:hAnsi="Times New Roman"/>
          <w:szCs w:val="18"/>
        </w:rPr>
        <w:t>A-1</w:t>
      </w:r>
      <w:r>
        <w:rPr>
          <w:rFonts w:ascii="Times New Roman" w:hAnsi="Times New Roman"/>
          <w:szCs w:val="18"/>
        </w:rPr>
        <w:t>,</w:t>
      </w:r>
    </w:p>
    <w:p w:rsidR="00196C31" w:rsidP="00E700F5">
      <w:pPr>
        <w:numPr>
          <w:numId w:val="9"/>
        </w:numPr>
        <w:autoSpaceDE w:val="0"/>
        <w:autoSpaceDN w:val="0"/>
        <w:bidi w:val="0"/>
        <w:adjustRightInd w:val="0"/>
        <w:jc w:val="both"/>
        <w:rPr>
          <w:rFonts w:ascii="Times New Roman" w:hAnsi="Times New Roman"/>
          <w:szCs w:val="18"/>
        </w:rPr>
      </w:pPr>
      <w:r>
        <w:rPr>
          <w:rFonts w:ascii="Times New Roman" w:hAnsi="Times New Roman"/>
          <w:szCs w:val="18"/>
        </w:rPr>
        <w:t>prepravou JM a RAO z JZ.</w:t>
      </w:r>
    </w:p>
    <w:p w:rsidR="00A16146" w:rsidP="00196C31">
      <w:pPr>
        <w:autoSpaceDE w:val="0"/>
        <w:autoSpaceDN w:val="0"/>
        <w:bidi w:val="0"/>
        <w:adjustRightInd w:val="0"/>
        <w:rPr>
          <w:rFonts w:ascii="Times New Roman" w:hAnsi="Times New Roman"/>
          <w:szCs w:val="18"/>
        </w:rPr>
      </w:pPr>
    </w:p>
    <w:p w:rsidR="00A16146" w:rsidP="00196C31">
      <w:pPr>
        <w:autoSpaceDE w:val="0"/>
        <w:autoSpaceDN w:val="0"/>
        <w:bidi w:val="0"/>
        <w:adjustRightInd w:val="0"/>
        <w:rPr>
          <w:rFonts w:ascii="Times New Roman" w:hAnsi="Times New Roman"/>
          <w:szCs w:val="18"/>
        </w:rPr>
      </w:pPr>
    </w:p>
    <w:p w:rsidR="00196C31" w:rsidP="00196C31">
      <w:pPr>
        <w:autoSpaceDE w:val="0"/>
        <w:autoSpaceDN w:val="0"/>
        <w:bidi w:val="0"/>
        <w:adjustRightInd w:val="0"/>
        <w:rPr>
          <w:rFonts w:ascii="Times New Roman" w:hAnsi="Times New Roman"/>
          <w:szCs w:val="18"/>
        </w:rPr>
      </w:pPr>
      <w:r>
        <w:rPr>
          <w:rFonts w:ascii="Times New Roman" w:hAnsi="Times New Roman"/>
          <w:szCs w:val="18"/>
        </w:rPr>
        <w:t>Prehľad o počte vydaných rozhodnutí v roku 2011 poskytuje nasledujúca tabuľka.</w:t>
      </w:r>
    </w:p>
    <w:p w:rsidR="009E57B5" w:rsidP="00625A5D">
      <w:pPr>
        <w:autoSpaceDE w:val="0"/>
        <w:autoSpaceDN w:val="0"/>
        <w:bidi w:val="0"/>
        <w:adjustRightInd w:val="0"/>
        <w:rPr>
          <w:rFonts w:ascii="Times New Roman" w:hAnsi="Times New Roman"/>
          <w:b/>
          <w:szCs w:val="14"/>
        </w:rPr>
      </w:pPr>
    </w:p>
    <w:p w:rsidR="00625A5D" w:rsidRPr="009E57B5" w:rsidP="009E57B5">
      <w:pPr>
        <w:autoSpaceDE w:val="0"/>
        <w:autoSpaceDN w:val="0"/>
        <w:bidi w:val="0"/>
        <w:adjustRightInd w:val="0"/>
        <w:rPr>
          <w:rFonts w:ascii="Times New Roman" w:hAnsi="Times New Roman"/>
          <w:szCs w:val="14"/>
        </w:rPr>
      </w:pPr>
      <w:r w:rsidRPr="009E57B5">
        <w:rPr>
          <w:rFonts w:ascii="Times New Roman" w:hAnsi="Times New Roman"/>
          <w:szCs w:val="14"/>
        </w:rPr>
        <w:t xml:space="preserve">Tab. č. </w:t>
      </w:r>
      <w:r w:rsidR="002E32CA">
        <w:rPr>
          <w:rFonts w:ascii="Times New Roman" w:hAnsi="Times New Roman"/>
          <w:szCs w:val="14"/>
        </w:rPr>
        <w:t>1</w:t>
      </w:r>
      <w:r w:rsidRPr="009E57B5">
        <w:rPr>
          <w:rFonts w:ascii="Times New Roman" w:hAnsi="Times New Roman"/>
          <w:szCs w:val="14"/>
        </w:rPr>
        <w:t xml:space="preserve"> </w:t>
      </w:r>
      <w:r w:rsidR="00C92C6E">
        <w:rPr>
          <w:rFonts w:ascii="Times New Roman" w:hAnsi="Times New Roman"/>
          <w:szCs w:val="14"/>
        </w:rPr>
        <w:t xml:space="preserve"> </w:t>
      </w:r>
      <w:r w:rsidRPr="009E57B5">
        <w:rPr>
          <w:rFonts w:ascii="Times New Roman" w:hAnsi="Times New Roman"/>
          <w:szCs w:val="14"/>
        </w:rPr>
        <w:t>Počet rozhodnutí ÚJD SR vydaných v roku 201</w:t>
      </w:r>
      <w:r w:rsidR="003A30AF">
        <w:rPr>
          <w:rFonts w:ascii="Times New Roman" w:hAnsi="Times New Roman"/>
          <w:szCs w:val="14"/>
        </w:rPr>
        <w:t>1</w:t>
      </w:r>
    </w:p>
    <w:tbl>
      <w:tblPr>
        <w:tblStyle w:val="TableNormal"/>
        <w:tblW w:w="4925" w:type="pct"/>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
      <w:tblGrid>
        <w:gridCol w:w="3407"/>
        <w:gridCol w:w="819"/>
        <w:gridCol w:w="821"/>
        <w:gridCol w:w="818"/>
        <w:gridCol w:w="818"/>
        <w:gridCol w:w="820"/>
        <w:gridCol w:w="1569"/>
      </w:tblGrid>
      <w:tr>
        <w:tblPrEx>
          <w:tblW w:w="4925" w:type="pct"/>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Ex>
        <w:trPr>
          <w:trHeight w:val="2267"/>
        </w:trPr>
        <w:tc>
          <w:tcPr>
            <w:tcW w:w="1877" w:type="pct"/>
            <w:tcBorders>
              <w:top w:val="single" w:sz="12" w:space="0" w:color="auto"/>
              <w:left w:val="single" w:sz="12" w:space="0" w:color="auto"/>
              <w:bottom w:val="single" w:sz="4" w:space="0" w:color="auto"/>
              <w:right w:val="single" w:sz="4" w:space="0" w:color="auto"/>
            </w:tcBorders>
            <w:shd w:val="clear" w:color="auto" w:fill="E0E0E0"/>
            <w:textDirection w:val="lrTb"/>
            <w:vAlign w:val="bottom"/>
          </w:tcPr>
          <w:p w:rsidR="003A30AF" w:rsidRPr="006C6E47" w:rsidP="00070AAF">
            <w:pPr>
              <w:autoSpaceDE w:val="0"/>
              <w:autoSpaceDN w:val="0"/>
              <w:bidi w:val="0"/>
              <w:adjustRightInd w:val="0"/>
              <w:rPr>
                <w:rFonts w:ascii="Times New Roman" w:hAnsi="Times New Roman"/>
                <w:b/>
                <w:bCs/>
                <w:sz w:val="22"/>
                <w:szCs w:val="16"/>
              </w:rPr>
            </w:pPr>
            <w:r w:rsidRPr="006C6E47">
              <w:rPr>
                <w:rFonts w:ascii="Times New Roman" w:hAnsi="Times New Roman"/>
                <w:b/>
                <w:bCs/>
                <w:sz w:val="22"/>
                <w:szCs w:val="16"/>
              </w:rPr>
              <w:t>Organizácia / Jadrové zariadenie</w:t>
            </w:r>
          </w:p>
          <w:p w:rsidR="003A30AF" w:rsidRPr="006C6E47" w:rsidP="00070AAF">
            <w:pPr>
              <w:autoSpaceDE w:val="0"/>
              <w:autoSpaceDN w:val="0"/>
              <w:bidi w:val="0"/>
              <w:adjustRightInd w:val="0"/>
              <w:spacing w:after="360"/>
              <w:rPr>
                <w:rFonts w:ascii="Times New Roman" w:hAnsi="Times New Roman"/>
                <w:sz w:val="22"/>
                <w:szCs w:val="16"/>
              </w:rPr>
            </w:pPr>
          </w:p>
        </w:tc>
        <w:tc>
          <w:tcPr>
            <w:tcW w:w="451" w:type="pct"/>
            <w:tcBorders>
              <w:top w:val="single" w:sz="12" w:space="0" w:color="auto"/>
              <w:left w:val="single" w:sz="4" w:space="0" w:color="auto"/>
              <w:bottom w:val="single" w:sz="4" w:space="0" w:color="auto"/>
              <w:right w:val="single" w:sz="4" w:space="0" w:color="auto"/>
            </w:tcBorders>
            <w:shd w:val="clear" w:color="auto" w:fill="E0E0E0"/>
            <w:textDirection w:val="btLr"/>
            <w:vAlign w:val="center"/>
          </w:tcPr>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Prevádzka</w:t>
            </w:r>
          </w:p>
          <w:p w:rsidR="003A30AF" w:rsidRPr="006C6E47" w:rsidP="00070AAF">
            <w:pPr>
              <w:autoSpaceDE w:val="0"/>
              <w:autoSpaceDN w:val="0"/>
              <w:bidi w:val="0"/>
              <w:adjustRightInd w:val="0"/>
              <w:ind w:left="113" w:right="113"/>
              <w:jc w:val="center"/>
              <w:rPr>
                <w:rFonts w:ascii="Times New Roman" w:hAnsi="Times New Roman"/>
                <w:sz w:val="22"/>
                <w:szCs w:val="16"/>
              </w:rPr>
            </w:pPr>
          </w:p>
        </w:tc>
        <w:tc>
          <w:tcPr>
            <w:tcW w:w="452" w:type="pct"/>
            <w:tcBorders>
              <w:top w:val="single" w:sz="12" w:space="0" w:color="auto"/>
              <w:left w:val="single" w:sz="4" w:space="0" w:color="auto"/>
              <w:bottom w:val="single" w:sz="4" w:space="0" w:color="auto"/>
              <w:right w:val="single" w:sz="4" w:space="0" w:color="auto"/>
            </w:tcBorders>
            <w:shd w:val="clear" w:color="auto" w:fill="E0E0E0"/>
            <w:textDirection w:val="btLr"/>
            <w:vAlign w:val="center"/>
          </w:tcPr>
          <w:p w:rsidR="003A30AF" w:rsidRPr="006C6E47" w:rsidP="00070AAF">
            <w:pPr>
              <w:autoSpaceDE w:val="0"/>
              <w:autoSpaceDN w:val="0"/>
              <w:bidi w:val="0"/>
              <w:adjustRightInd w:val="0"/>
              <w:ind w:left="113" w:right="113"/>
              <w:jc w:val="center"/>
              <w:rPr>
                <w:rFonts w:ascii="Times New Roman" w:hAnsi="Times New Roman"/>
                <w:b/>
                <w:bCs/>
                <w:sz w:val="22"/>
                <w:szCs w:val="16"/>
              </w:rPr>
            </w:pPr>
          </w:p>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 xml:space="preserve">Projektové zmeny </w:t>
            </w:r>
          </w:p>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(PZ)</w:t>
            </w:r>
          </w:p>
          <w:p w:rsidR="003A30AF" w:rsidRPr="006C6E47" w:rsidP="00070AAF">
            <w:pPr>
              <w:autoSpaceDE w:val="0"/>
              <w:autoSpaceDN w:val="0"/>
              <w:bidi w:val="0"/>
              <w:adjustRightInd w:val="0"/>
              <w:ind w:left="113" w:right="113"/>
              <w:jc w:val="center"/>
              <w:rPr>
                <w:rFonts w:ascii="Times New Roman" w:hAnsi="Times New Roman"/>
                <w:sz w:val="22"/>
                <w:szCs w:val="18"/>
              </w:rPr>
            </w:pPr>
          </w:p>
        </w:tc>
        <w:tc>
          <w:tcPr>
            <w:tcW w:w="451" w:type="pct"/>
            <w:tcBorders>
              <w:top w:val="single" w:sz="12" w:space="0" w:color="auto"/>
              <w:left w:val="single" w:sz="4" w:space="0" w:color="auto"/>
              <w:bottom w:val="single" w:sz="4" w:space="0" w:color="auto"/>
              <w:right w:val="single" w:sz="4" w:space="0" w:color="auto"/>
            </w:tcBorders>
            <w:shd w:val="clear" w:color="auto" w:fill="E0E0E0"/>
            <w:textDirection w:val="btLr"/>
            <w:vAlign w:val="center"/>
          </w:tcPr>
          <w:p w:rsidR="003A30AF" w:rsidRPr="006C6E47" w:rsidP="00070AAF">
            <w:pPr>
              <w:autoSpaceDE w:val="0"/>
              <w:autoSpaceDN w:val="0"/>
              <w:bidi w:val="0"/>
              <w:adjustRightInd w:val="0"/>
              <w:ind w:left="113" w:right="113"/>
              <w:jc w:val="center"/>
              <w:rPr>
                <w:rFonts w:ascii="Times New Roman" w:hAnsi="Times New Roman"/>
                <w:b/>
                <w:bCs/>
                <w:sz w:val="22"/>
                <w:szCs w:val="16"/>
              </w:rPr>
            </w:pPr>
          </w:p>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Zabezpečenie kvality (QA)</w:t>
            </w:r>
          </w:p>
          <w:p w:rsidR="003A30AF" w:rsidRPr="006C6E47" w:rsidP="00070AAF">
            <w:pPr>
              <w:autoSpaceDE w:val="0"/>
              <w:autoSpaceDN w:val="0"/>
              <w:bidi w:val="0"/>
              <w:adjustRightInd w:val="0"/>
              <w:ind w:left="113" w:right="113"/>
              <w:jc w:val="center"/>
              <w:rPr>
                <w:rFonts w:ascii="Times New Roman" w:hAnsi="Times New Roman"/>
                <w:sz w:val="22"/>
                <w:szCs w:val="16"/>
              </w:rPr>
            </w:pPr>
          </w:p>
        </w:tc>
        <w:tc>
          <w:tcPr>
            <w:tcW w:w="451" w:type="pct"/>
            <w:tcBorders>
              <w:top w:val="single" w:sz="12" w:space="0" w:color="auto"/>
              <w:left w:val="single" w:sz="4" w:space="0" w:color="auto"/>
              <w:bottom w:val="single" w:sz="4" w:space="0" w:color="auto"/>
              <w:right w:val="single" w:sz="4" w:space="0" w:color="auto"/>
            </w:tcBorders>
            <w:shd w:val="clear" w:color="auto" w:fill="E0E0E0"/>
            <w:textDirection w:val="btLr"/>
            <w:vAlign w:val="center"/>
          </w:tcPr>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Stavebný úrad</w:t>
            </w:r>
          </w:p>
          <w:p w:rsidR="003A30AF" w:rsidRPr="006C6E47" w:rsidP="00070AAF">
            <w:pPr>
              <w:autoSpaceDE w:val="0"/>
              <w:autoSpaceDN w:val="0"/>
              <w:bidi w:val="0"/>
              <w:adjustRightInd w:val="0"/>
              <w:ind w:left="113" w:right="113"/>
              <w:jc w:val="center"/>
              <w:rPr>
                <w:rFonts w:ascii="Times New Roman" w:hAnsi="Times New Roman"/>
                <w:sz w:val="22"/>
                <w:szCs w:val="16"/>
              </w:rPr>
            </w:pPr>
          </w:p>
        </w:tc>
        <w:tc>
          <w:tcPr>
            <w:tcW w:w="452" w:type="pct"/>
            <w:tcBorders>
              <w:top w:val="single" w:sz="12" w:space="0" w:color="auto"/>
              <w:left w:val="single" w:sz="4" w:space="0" w:color="auto"/>
              <w:bottom w:val="single" w:sz="4" w:space="0" w:color="auto"/>
              <w:right w:val="single" w:sz="4" w:space="0" w:color="auto"/>
            </w:tcBorders>
            <w:shd w:val="clear" w:color="auto" w:fill="E0E0E0"/>
            <w:textDirection w:val="btLr"/>
            <w:vAlign w:val="center"/>
          </w:tcPr>
          <w:p w:rsidR="003A30AF" w:rsidRPr="00F47B70" w:rsidP="00070AAF">
            <w:pPr>
              <w:autoSpaceDE w:val="0"/>
              <w:autoSpaceDN w:val="0"/>
              <w:bidi w:val="0"/>
              <w:adjustRightInd w:val="0"/>
              <w:ind w:left="113" w:right="113"/>
              <w:jc w:val="center"/>
              <w:rPr>
                <w:rFonts w:ascii="Times New Roman" w:hAnsi="Times New Roman"/>
                <w:b/>
                <w:bCs/>
                <w:sz w:val="22"/>
                <w:szCs w:val="16"/>
              </w:rPr>
            </w:pPr>
            <w:r w:rsidRPr="00F47B70">
              <w:rPr>
                <w:rFonts w:ascii="Times New Roman" w:hAnsi="Times New Roman"/>
                <w:b/>
                <w:bCs/>
                <w:sz w:val="22"/>
                <w:szCs w:val="16"/>
              </w:rPr>
              <w:t>Iné</w:t>
            </w:r>
          </w:p>
          <w:p w:rsidR="003A30AF" w:rsidRPr="00F47B70" w:rsidP="00070AAF">
            <w:pPr>
              <w:autoSpaceDE w:val="0"/>
              <w:autoSpaceDN w:val="0"/>
              <w:bidi w:val="0"/>
              <w:adjustRightInd w:val="0"/>
              <w:ind w:left="113" w:right="113"/>
              <w:jc w:val="center"/>
              <w:rPr>
                <w:rFonts w:ascii="Times New Roman" w:hAnsi="Times New Roman"/>
                <w:sz w:val="22"/>
                <w:szCs w:val="16"/>
              </w:rPr>
            </w:pPr>
          </w:p>
        </w:tc>
        <w:tc>
          <w:tcPr>
            <w:tcW w:w="865" w:type="pct"/>
            <w:tcBorders>
              <w:top w:val="single" w:sz="12" w:space="0" w:color="auto"/>
              <w:left w:val="single" w:sz="4" w:space="0" w:color="auto"/>
              <w:bottom w:val="single" w:sz="4" w:space="0" w:color="auto"/>
              <w:right w:val="single" w:sz="12" w:space="0" w:color="auto"/>
            </w:tcBorders>
            <w:shd w:val="clear" w:color="auto" w:fill="E0E0E0"/>
            <w:textDirection w:val="btLr"/>
            <w:vAlign w:val="center"/>
          </w:tcPr>
          <w:p w:rsidR="003A30AF" w:rsidRPr="006C6E47" w:rsidP="00070AAF">
            <w:pPr>
              <w:autoSpaceDE w:val="0"/>
              <w:autoSpaceDN w:val="0"/>
              <w:bidi w:val="0"/>
              <w:adjustRightInd w:val="0"/>
              <w:ind w:left="113" w:right="113"/>
              <w:jc w:val="center"/>
              <w:rPr>
                <w:rFonts w:ascii="Times New Roman" w:hAnsi="Times New Roman"/>
                <w:b/>
                <w:bCs/>
                <w:sz w:val="22"/>
                <w:szCs w:val="16"/>
              </w:rPr>
            </w:pPr>
            <w:r w:rsidRPr="006C6E47">
              <w:rPr>
                <w:rFonts w:ascii="Times New Roman" w:hAnsi="Times New Roman"/>
                <w:b/>
                <w:bCs/>
                <w:sz w:val="22"/>
                <w:szCs w:val="16"/>
              </w:rPr>
              <w:t>Spolu</w:t>
            </w:r>
          </w:p>
          <w:p w:rsidR="003A30AF" w:rsidRPr="006C6E47" w:rsidP="00070AAF">
            <w:pPr>
              <w:autoSpaceDE w:val="0"/>
              <w:autoSpaceDN w:val="0"/>
              <w:bidi w:val="0"/>
              <w:adjustRightInd w:val="0"/>
              <w:ind w:left="113" w:right="113"/>
              <w:jc w:val="center"/>
              <w:rPr>
                <w:rFonts w:ascii="Times New Roman" w:hAnsi="Times New Roman"/>
                <w:sz w:val="22"/>
                <w:szCs w:val="16"/>
              </w:rPr>
            </w:pP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SE, a. s.</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2</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6</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3A30AF">
            <w:pPr>
              <w:autoSpaceDE w:val="0"/>
              <w:autoSpaceDN w:val="0"/>
              <w:bidi w:val="0"/>
              <w:adjustRightInd w:val="0"/>
              <w:jc w:val="center"/>
              <w:rPr>
                <w:rFonts w:ascii="Times New Roman" w:hAnsi="Times New Roman"/>
                <w:sz w:val="22"/>
                <w:szCs w:val="16"/>
              </w:rPr>
            </w:pPr>
            <w:r w:rsidRPr="00F47B70">
              <w:rPr>
                <w:rFonts w:ascii="Times New Roman" w:hAnsi="Times New Roman"/>
                <w:sz w:val="22"/>
                <w:szCs w:val="16"/>
              </w:rPr>
              <w:t>1</w:t>
            </w:r>
            <w:r>
              <w:rPr>
                <w:rFonts w:ascii="Times New Roman" w:hAnsi="Times New Roman"/>
                <w:sz w:val="22"/>
                <w:szCs w:val="16"/>
              </w:rPr>
              <w:t>7</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3A30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26</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A02E0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 xml:space="preserve">SE, a. s. AE Bohunice V-2 </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25</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4</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7</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3A30AF">
            <w:pPr>
              <w:autoSpaceDE w:val="0"/>
              <w:autoSpaceDN w:val="0"/>
              <w:bidi w:val="0"/>
              <w:adjustRightInd w:val="0"/>
              <w:rPr>
                <w:rFonts w:ascii="Times New Roman" w:hAnsi="Times New Roman"/>
                <w:sz w:val="22"/>
                <w:szCs w:val="16"/>
              </w:rPr>
            </w:pPr>
            <w:r>
              <w:rPr>
                <w:rFonts w:ascii="Times New Roman" w:hAnsi="Times New Roman"/>
                <w:sz w:val="22"/>
                <w:szCs w:val="16"/>
              </w:rPr>
              <w:t xml:space="preserve">    35</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81</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SE, a. s. AE Mochovce 1,2</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3A30AF">
            <w:pPr>
              <w:autoSpaceDE w:val="0"/>
              <w:autoSpaceDN w:val="0"/>
              <w:bidi w:val="0"/>
              <w:adjustRightInd w:val="0"/>
              <w:jc w:val="center"/>
              <w:rPr>
                <w:rFonts w:ascii="Times New Roman" w:hAnsi="Times New Roman"/>
                <w:sz w:val="22"/>
                <w:szCs w:val="16"/>
              </w:rPr>
            </w:pPr>
            <w:r>
              <w:rPr>
                <w:rFonts w:ascii="Times New Roman" w:hAnsi="Times New Roman"/>
                <w:sz w:val="22"/>
                <w:szCs w:val="16"/>
              </w:rPr>
              <w:t>14</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3A30AF">
            <w:pPr>
              <w:autoSpaceDE w:val="0"/>
              <w:autoSpaceDN w:val="0"/>
              <w:bidi w:val="0"/>
              <w:adjustRightInd w:val="0"/>
              <w:jc w:val="center"/>
              <w:rPr>
                <w:rFonts w:ascii="Times New Roman" w:hAnsi="Times New Roman"/>
                <w:sz w:val="22"/>
                <w:szCs w:val="16"/>
              </w:rPr>
            </w:pPr>
            <w:r>
              <w:rPr>
                <w:rFonts w:ascii="Times New Roman" w:hAnsi="Times New Roman"/>
                <w:sz w:val="22"/>
                <w:szCs w:val="16"/>
              </w:rPr>
              <w:t>11</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3A30AF">
            <w:pPr>
              <w:autoSpaceDE w:val="0"/>
              <w:autoSpaceDN w:val="0"/>
              <w:bidi w:val="0"/>
              <w:adjustRightInd w:val="0"/>
              <w:jc w:val="center"/>
              <w:rPr>
                <w:rFonts w:ascii="Times New Roman" w:hAnsi="Times New Roman"/>
                <w:sz w:val="22"/>
                <w:szCs w:val="16"/>
              </w:rPr>
            </w:pPr>
            <w:r>
              <w:rPr>
                <w:rFonts w:ascii="Times New Roman" w:hAnsi="Times New Roman"/>
                <w:sz w:val="22"/>
                <w:szCs w:val="16"/>
              </w:rPr>
              <w:t>13</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5</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55</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98</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SE, a. s. AE Mochovce 3,4</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4</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447</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118</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571</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JAVYS, a. s.</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16</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3A30AF">
            <w:pPr>
              <w:autoSpaceDE w:val="0"/>
              <w:autoSpaceDN w:val="0"/>
              <w:bidi w:val="0"/>
              <w:adjustRightInd w:val="0"/>
              <w:jc w:val="center"/>
              <w:rPr>
                <w:rFonts w:ascii="Times New Roman" w:hAnsi="Times New Roman"/>
                <w:sz w:val="22"/>
                <w:szCs w:val="16"/>
              </w:rPr>
            </w:pPr>
            <w:r>
              <w:rPr>
                <w:rFonts w:ascii="Times New Roman" w:hAnsi="Times New Roman"/>
                <w:sz w:val="22"/>
                <w:szCs w:val="16"/>
              </w:rPr>
              <w:t>10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sidRPr="006C6E47">
              <w:rPr>
                <w:rFonts w:ascii="Times New Roman" w:hAnsi="Times New Roman"/>
                <w:sz w:val="22"/>
                <w:szCs w:val="16"/>
              </w:rPr>
              <w:t>7</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49</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82</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bCs/>
                <w:sz w:val="22"/>
                <w:szCs w:val="16"/>
              </w:rPr>
            </w:pPr>
            <w:r w:rsidRPr="00A02E0F">
              <w:rPr>
                <w:rFonts w:ascii="Times New Roman" w:hAnsi="Times New Roman"/>
                <w:bCs/>
                <w:sz w:val="22"/>
                <w:szCs w:val="16"/>
              </w:rPr>
              <w:t>VÚJE, a. s.</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2</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3A30AF">
            <w:pPr>
              <w:autoSpaceDE w:val="0"/>
              <w:autoSpaceDN w:val="0"/>
              <w:bidi w:val="0"/>
              <w:adjustRightInd w:val="0"/>
              <w:jc w:val="center"/>
              <w:rPr>
                <w:rFonts w:ascii="Times New Roman" w:hAnsi="Times New Roman"/>
                <w:sz w:val="22"/>
                <w:szCs w:val="16"/>
              </w:rPr>
            </w:pPr>
            <w:r w:rsidRPr="00F47B70">
              <w:rPr>
                <w:rFonts w:ascii="Times New Roman" w:hAnsi="Times New Roman"/>
                <w:sz w:val="22"/>
                <w:szCs w:val="16"/>
              </w:rPr>
              <w:t>2</w:t>
            </w:r>
            <w:r>
              <w:rPr>
                <w:rFonts w:ascii="Times New Roman" w:hAnsi="Times New Roman"/>
                <w:sz w:val="22"/>
                <w:szCs w:val="16"/>
              </w:rPr>
              <w:t>5</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27</w:t>
            </w:r>
          </w:p>
        </w:tc>
      </w:tr>
      <w:tr>
        <w:tblPrEx>
          <w:tblW w:w="4925" w:type="pct"/>
          <w:tblInd w:w="70" w:type="dxa"/>
          <w:tblLayout w:type="fixed"/>
          <w:tblCellMar>
            <w:left w:w="70" w:type="dxa"/>
            <w:right w:w="70" w:type="dxa"/>
          </w:tblCellMar>
        </w:tblPrEx>
        <w:trPr>
          <w:trHeight w:val="284"/>
        </w:trPr>
        <w:tc>
          <w:tcPr>
            <w:tcW w:w="1877" w:type="pct"/>
            <w:tcBorders>
              <w:top w:val="single" w:sz="4" w:space="0" w:color="auto"/>
              <w:left w:val="single" w:sz="12" w:space="0" w:color="auto"/>
              <w:bottom w:val="single" w:sz="4" w:space="0" w:color="auto"/>
              <w:right w:val="single" w:sz="4" w:space="0" w:color="auto"/>
            </w:tcBorders>
            <w:textDirection w:val="lrTb"/>
            <w:vAlign w:val="center"/>
          </w:tcPr>
          <w:p w:rsidR="003A30AF" w:rsidRPr="00A02E0F" w:rsidP="00070AAF">
            <w:pPr>
              <w:autoSpaceDE w:val="0"/>
              <w:autoSpaceDN w:val="0"/>
              <w:bidi w:val="0"/>
              <w:adjustRightInd w:val="0"/>
              <w:rPr>
                <w:rFonts w:ascii="Times New Roman" w:hAnsi="Times New Roman"/>
                <w:sz w:val="22"/>
                <w:szCs w:val="16"/>
              </w:rPr>
            </w:pPr>
            <w:r w:rsidRPr="00A02E0F">
              <w:rPr>
                <w:rFonts w:ascii="Times New Roman" w:hAnsi="Times New Roman"/>
                <w:bCs/>
                <w:sz w:val="22"/>
                <w:szCs w:val="16"/>
              </w:rPr>
              <w:t>Ostatné organizácie</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1" w:type="pct"/>
            <w:tcBorders>
              <w:top w:val="single" w:sz="4" w:space="0" w:color="auto"/>
              <w:left w:val="single" w:sz="4" w:space="0" w:color="auto"/>
              <w:bottom w:val="single" w:sz="4" w:space="0" w:color="auto"/>
              <w:right w:val="single" w:sz="4" w:space="0" w:color="auto"/>
            </w:tcBorders>
            <w:textDirection w:val="lrTb"/>
            <w:vAlign w:val="center"/>
          </w:tcPr>
          <w:p w:rsidR="003A30AF" w:rsidRPr="006C6E47"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0</w:t>
            </w:r>
          </w:p>
        </w:tc>
        <w:tc>
          <w:tcPr>
            <w:tcW w:w="452" w:type="pct"/>
            <w:tcBorders>
              <w:top w:val="single" w:sz="4" w:space="0" w:color="auto"/>
              <w:left w:val="single" w:sz="4" w:space="0" w:color="auto"/>
              <w:bottom w:val="single" w:sz="4" w:space="0" w:color="auto"/>
              <w:right w:val="single" w:sz="4" w:space="0" w:color="auto"/>
            </w:tcBorders>
            <w:textDirection w:val="lrTb"/>
            <w:vAlign w:val="center"/>
          </w:tcPr>
          <w:p w:rsidR="003A30AF" w:rsidRPr="00F47B70" w:rsidP="00070AAF">
            <w:pPr>
              <w:autoSpaceDE w:val="0"/>
              <w:autoSpaceDN w:val="0"/>
              <w:bidi w:val="0"/>
              <w:adjustRightInd w:val="0"/>
              <w:jc w:val="center"/>
              <w:rPr>
                <w:rFonts w:ascii="Times New Roman" w:hAnsi="Times New Roman"/>
                <w:sz w:val="22"/>
                <w:szCs w:val="16"/>
              </w:rPr>
            </w:pPr>
            <w:r>
              <w:rPr>
                <w:rFonts w:ascii="Times New Roman" w:hAnsi="Times New Roman"/>
                <w:sz w:val="22"/>
                <w:szCs w:val="16"/>
              </w:rPr>
              <w:t>23</w:t>
            </w:r>
          </w:p>
        </w:tc>
        <w:tc>
          <w:tcPr>
            <w:tcW w:w="865" w:type="pct"/>
            <w:tcBorders>
              <w:top w:val="single" w:sz="4" w:space="0" w:color="auto"/>
              <w:left w:val="single" w:sz="4" w:space="0" w:color="auto"/>
              <w:bottom w:val="single" w:sz="4" w:space="0" w:color="auto"/>
              <w:right w:val="single" w:sz="12" w:space="0" w:color="auto"/>
            </w:tcBorders>
            <w:shd w:val="pct15" w:color="auto" w:fill="auto"/>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23</w:t>
            </w:r>
          </w:p>
        </w:tc>
      </w:tr>
      <w:tr>
        <w:tblPrEx>
          <w:tblW w:w="4925" w:type="pct"/>
          <w:tblInd w:w="70" w:type="dxa"/>
          <w:tblLayout w:type="fixed"/>
          <w:tblCellMar>
            <w:left w:w="70" w:type="dxa"/>
            <w:right w:w="70" w:type="dxa"/>
          </w:tblCellMar>
        </w:tblPrEx>
        <w:trPr>
          <w:trHeight w:val="397"/>
        </w:trPr>
        <w:tc>
          <w:tcPr>
            <w:tcW w:w="1877" w:type="pct"/>
            <w:tcBorders>
              <w:top w:val="single" w:sz="4" w:space="0" w:color="auto"/>
              <w:left w:val="single" w:sz="12" w:space="0" w:color="auto"/>
              <w:bottom w:val="single" w:sz="12" w:space="0" w:color="auto"/>
              <w:right w:val="single" w:sz="4" w:space="0" w:color="auto"/>
            </w:tcBorders>
            <w:shd w:val="clear" w:color="auto" w:fill="E0E0E0"/>
            <w:textDirection w:val="lrTb"/>
            <w:vAlign w:val="center"/>
          </w:tcPr>
          <w:p w:rsidR="003A30AF" w:rsidRPr="006C6E47" w:rsidP="00070AAF">
            <w:pPr>
              <w:autoSpaceDE w:val="0"/>
              <w:autoSpaceDN w:val="0"/>
              <w:bidi w:val="0"/>
              <w:adjustRightInd w:val="0"/>
              <w:rPr>
                <w:rFonts w:ascii="Times New Roman" w:hAnsi="Times New Roman"/>
                <w:b/>
                <w:bCs/>
                <w:sz w:val="22"/>
                <w:szCs w:val="16"/>
              </w:rPr>
            </w:pPr>
            <w:r w:rsidRPr="006C6E47">
              <w:rPr>
                <w:rFonts w:ascii="Times New Roman" w:hAnsi="Times New Roman"/>
                <w:b/>
                <w:bCs/>
                <w:sz w:val="22"/>
                <w:szCs w:val="16"/>
              </w:rPr>
              <w:t>Spolu</w:t>
            </w:r>
          </w:p>
        </w:tc>
        <w:tc>
          <w:tcPr>
            <w:tcW w:w="451" w:type="pct"/>
            <w:tcBorders>
              <w:top w:val="single" w:sz="4" w:space="0" w:color="auto"/>
              <w:left w:val="single" w:sz="4" w:space="0" w:color="auto"/>
              <w:bottom w:val="single" w:sz="12" w:space="0" w:color="auto"/>
              <w:right w:val="single" w:sz="4" w:space="0" w:color="auto"/>
            </w:tcBorders>
            <w:shd w:val="clear" w:color="auto" w:fill="E0E0E0"/>
            <w:textDirection w:val="lrTb"/>
            <w:vAlign w:val="center"/>
          </w:tcPr>
          <w:p w:rsidR="003A30AF" w:rsidRPr="006C6E47" w:rsidP="00070AAF">
            <w:pPr>
              <w:autoSpaceDE w:val="0"/>
              <w:autoSpaceDN w:val="0"/>
              <w:bidi w:val="0"/>
              <w:adjustRightInd w:val="0"/>
              <w:jc w:val="center"/>
              <w:rPr>
                <w:rFonts w:ascii="Times New Roman" w:hAnsi="Times New Roman"/>
                <w:b/>
                <w:bCs/>
                <w:sz w:val="22"/>
                <w:szCs w:val="9"/>
              </w:rPr>
            </w:pPr>
            <w:r>
              <w:rPr>
                <w:rFonts w:ascii="Times New Roman" w:hAnsi="Times New Roman"/>
                <w:b/>
                <w:bCs/>
                <w:sz w:val="22"/>
                <w:szCs w:val="9"/>
              </w:rPr>
              <w:t>61</w:t>
            </w:r>
          </w:p>
        </w:tc>
        <w:tc>
          <w:tcPr>
            <w:tcW w:w="452" w:type="pct"/>
            <w:tcBorders>
              <w:top w:val="single" w:sz="4" w:space="0" w:color="auto"/>
              <w:left w:val="single" w:sz="4" w:space="0" w:color="auto"/>
              <w:bottom w:val="single" w:sz="12" w:space="0" w:color="auto"/>
              <w:right w:val="single" w:sz="4" w:space="0" w:color="auto"/>
            </w:tcBorders>
            <w:shd w:val="clear" w:color="auto" w:fill="E0E0E0"/>
            <w:textDirection w:val="lrTb"/>
            <w:vAlign w:val="center"/>
          </w:tcPr>
          <w:p w:rsidR="003A30AF" w:rsidRPr="006C6E47" w:rsidP="003A30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16</w:t>
            </w:r>
          </w:p>
        </w:tc>
        <w:tc>
          <w:tcPr>
            <w:tcW w:w="451" w:type="pct"/>
            <w:tcBorders>
              <w:top w:val="single" w:sz="4" w:space="0" w:color="auto"/>
              <w:left w:val="single" w:sz="4" w:space="0" w:color="auto"/>
              <w:bottom w:val="single" w:sz="12" w:space="0" w:color="auto"/>
              <w:right w:val="single" w:sz="4" w:space="0" w:color="auto"/>
            </w:tcBorders>
            <w:shd w:val="clear" w:color="auto" w:fill="E0E0E0"/>
            <w:textDirection w:val="lrTb"/>
            <w:vAlign w:val="center"/>
          </w:tcPr>
          <w:p w:rsidR="003A30AF" w:rsidRPr="006C6E47" w:rsidP="00070AAF">
            <w:pPr>
              <w:autoSpaceDE w:val="0"/>
              <w:autoSpaceDN w:val="0"/>
              <w:bidi w:val="0"/>
              <w:adjustRightInd w:val="0"/>
              <w:jc w:val="center"/>
              <w:rPr>
                <w:rFonts w:ascii="Times New Roman" w:hAnsi="Times New Roman"/>
                <w:b/>
                <w:bCs/>
                <w:sz w:val="22"/>
                <w:szCs w:val="16"/>
              </w:rPr>
            </w:pPr>
            <w:r>
              <w:rPr>
                <w:rFonts w:ascii="Times New Roman" w:hAnsi="Times New Roman"/>
                <w:b/>
                <w:bCs/>
                <w:sz w:val="22"/>
                <w:szCs w:val="16"/>
              </w:rPr>
              <w:t>488</w:t>
            </w:r>
          </w:p>
        </w:tc>
        <w:tc>
          <w:tcPr>
            <w:tcW w:w="451" w:type="pct"/>
            <w:tcBorders>
              <w:top w:val="single" w:sz="4" w:space="0" w:color="auto"/>
              <w:left w:val="single" w:sz="4" w:space="0" w:color="auto"/>
              <w:bottom w:val="single" w:sz="12" w:space="0" w:color="auto"/>
              <w:right w:val="single" w:sz="4" w:space="0" w:color="auto"/>
            </w:tcBorders>
            <w:shd w:val="clear" w:color="auto" w:fill="E0E0E0"/>
            <w:textDirection w:val="lrTb"/>
            <w:vAlign w:val="center"/>
          </w:tcPr>
          <w:p w:rsidR="003A30AF" w:rsidRPr="006C6E47" w:rsidP="00070AAF">
            <w:pPr>
              <w:autoSpaceDE w:val="0"/>
              <w:autoSpaceDN w:val="0"/>
              <w:bidi w:val="0"/>
              <w:adjustRightInd w:val="0"/>
              <w:jc w:val="center"/>
              <w:rPr>
                <w:rFonts w:ascii="Times New Roman" w:hAnsi="Times New Roman"/>
                <w:b/>
                <w:bCs/>
                <w:sz w:val="22"/>
                <w:szCs w:val="14"/>
              </w:rPr>
            </w:pPr>
            <w:r>
              <w:rPr>
                <w:rFonts w:ascii="Times New Roman" w:hAnsi="Times New Roman"/>
                <w:b/>
                <w:bCs/>
                <w:sz w:val="22"/>
                <w:szCs w:val="14"/>
              </w:rPr>
              <w:t>21</w:t>
            </w:r>
          </w:p>
        </w:tc>
        <w:tc>
          <w:tcPr>
            <w:tcW w:w="452" w:type="pct"/>
            <w:tcBorders>
              <w:top w:val="single" w:sz="4" w:space="0" w:color="auto"/>
              <w:left w:val="single" w:sz="4" w:space="0" w:color="auto"/>
              <w:bottom w:val="single" w:sz="12" w:space="0" w:color="auto"/>
              <w:right w:val="single" w:sz="4" w:space="0" w:color="auto"/>
            </w:tcBorders>
            <w:shd w:val="clear" w:color="auto" w:fill="E0E0E0"/>
            <w:textDirection w:val="lrTb"/>
            <w:vAlign w:val="center"/>
          </w:tcPr>
          <w:p w:rsidR="003A30AF" w:rsidRPr="00F47B70" w:rsidP="00070AAF">
            <w:pPr>
              <w:autoSpaceDE w:val="0"/>
              <w:autoSpaceDN w:val="0"/>
              <w:bidi w:val="0"/>
              <w:adjustRightInd w:val="0"/>
              <w:jc w:val="center"/>
              <w:rPr>
                <w:rFonts w:ascii="Times New Roman" w:hAnsi="Times New Roman"/>
                <w:b/>
                <w:bCs/>
                <w:sz w:val="22"/>
              </w:rPr>
            </w:pPr>
            <w:r>
              <w:rPr>
                <w:rFonts w:ascii="Times New Roman" w:hAnsi="Times New Roman"/>
                <w:b/>
                <w:bCs/>
                <w:sz w:val="22"/>
              </w:rPr>
              <w:t>322</w:t>
            </w:r>
          </w:p>
        </w:tc>
        <w:tc>
          <w:tcPr>
            <w:tcW w:w="865" w:type="pct"/>
            <w:tcBorders>
              <w:top w:val="single" w:sz="4" w:space="0" w:color="auto"/>
              <w:left w:val="single" w:sz="4" w:space="0" w:color="auto"/>
              <w:bottom w:val="single" w:sz="12" w:space="0" w:color="auto"/>
              <w:right w:val="single" w:sz="12" w:space="0" w:color="auto"/>
            </w:tcBorders>
            <w:shd w:val="clear" w:color="auto" w:fill="E0E0E0"/>
            <w:textDirection w:val="lrTb"/>
            <w:vAlign w:val="center"/>
          </w:tcPr>
          <w:p w:rsidR="003A30AF" w:rsidRPr="006C6E47" w:rsidP="00070AAF">
            <w:pPr>
              <w:autoSpaceDE w:val="0"/>
              <w:autoSpaceDN w:val="0"/>
              <w:bidi w:val="0"/>
              <w:adjustRightInd w:val="0"/>
              <w:jc w:val="center"/>
              <w:rPr>
                <w:rFonts w:ascii="Times New Roman" w:hAnsi="Times New Roman"/>
                <w:b/>
                <w:bCs/>
                <w:sz w:val="22"/>
              </w:rPr>
            </w:pPr>
            <w:r>
              <w:rPr>
                <w:rFonts w:ascii="Times New Roman" w:hAnsi="Times New Roman"/>
                <w:b/>
                <w:bCs/>
                <w:sz w:val="22"/>
              </w:rPr>
              <w:t>908</w:t>
            </w:r>
          </w:p>
        </w:tc>
      </w:tr>
    </w:tbl>
    <w:p w:rsidR="00625A5D" w:rsidP="00625A5D">
      <w:pPr>
        <w:bidi w:val="0"/>
        <w:rPr>
          <w:rFonts w:ascii="Times New Roman" w:hAnsi="Times New Roman"/>
        </w:rPr>
      </w:pPr>
    </w:p>
    <w:p w:rsidR="00625A5D" w:rsidP="00625A5D">
      <w:pPr>
        <w:bidi w:val="0"/>
        <w:rPr>
          <w:rFonts w:ascii="Times New Roman" w:hAnsi="Times New Roman"/>
        </w:rPr>
      </w:pPr>
    </w:p>
    <w:p w:rsidR="00196C31" w:rsidRPr="00694789" w:rsidP="002E32CA">
      <w:pPr>
        <w:autoSpaceDE w:val="0"/>
        <w:autoSpaceDN w:val="0"/>
        <w:bidi w:val="0"/>
        <w:adjustRightInd w:val="0"/>
        <w:rPr>
          <w:rFonts w:ascii="Times New Roman" w:hAnsi="Times New Roman"/>
          <w:szCs w:val="14"/>
        </w:rPr>
      </w:pPr>
      <w:r w:rsidRPr="009E57B5" w:rsidR="00F641F8">
        <w:rPr>
          <w:rFonts w:ascii="Times New Roman" w:hAnsi="Times New Roman"/>
          <w:szCs w:val="14"/>
        </w:rPr>
        <w:t>Obr</w:t>
      </w:r>
      <w:r w:rsidRPr="009E57B5" w:rsidR="00625A5D">
        <w:rPr>
          <w:rFonts w:ascii="Times New Roman" w:hAnsi="Times New Roman"/>
          <w:szCs w:val="14"/>
        </w:rPr>
        <w:t xml:space="preserve">. č. </w:t>
      </w:r>
      <w:r w:rsidRPr="009E57B5" w:rsidR="00F641F8">
        <w:rPr>
          <w:rFonts w:ascii="Times New Roman" w:hAnsi="Times New Roman"/>
          <w:szCs w:val="14"/>
        </w:rPr>
        <w:t>1</w:t>
      </w:r>
      <w:r w:rsidRPr="009E57B5" w:rsidR="00625A5D">
        <w:rPr>
          <w:rFonts w:ascii="Times New Roman" w:hAnsi="Times New Roman"/>
          <w:szCs w:val="14"/>
        </w:rPr>
        <w:t xml:space="preserve"> </w:t>
      </w:r>
      <w:r w:rsidR="005A6746">
        <w:rPr>
          <w:rFonts w:ascii="Times New Roman" w:hAnsi="Times New Roman"/>
          <w:szCs w:val="14"/>
        </w:rPr>
        <w:t>P</w:t>
      </w:r>
      <w:r w:rsidRPr="009E57B5" w:rsidR="00625A5D">
        <w:rPr>
          <w:rFonts w:ascii="Times New Roman" w:hAnsi="Times New Roman"/>
          <w:szCs w:val="14"/>
        </w:rPr>
        <w:t>očet rozhodnutí ÚJD</w:t>
      </w:r>
      <w:r w:rsidR="00694789">
        <w:rPr>
          <w:rFonts w:ascii="Times New Roman" w:hAnsi="Times New Roman"/>
          <w:szCs w:val="14"/>
        </w:rPr>
        <w:t xml:space="preserve"> SR vydaných v rokoch 2001-201</w:t>
      </w:r>
      <w:r w:rsidR="005A6746">
        <w:rPr>
          <w:rFonts w:ascii="Times New Roman" w:hAnsi="Times New Roman"/>
          <w:szCs w:val="14"/>
        </w:rPr>
        <w:t>1</w:t>
      </w:r>
      <w:r>
        <w:rPr>
          <w:rFonts w:ascii="Times New Roman" w:hAnsi="Times New Roman"/>
          <w:szCs w:val="18"/>
        </w:rPr>
        <w:t>.</w:t>
      </w:r>
    </w:p>
    <w:p w:rsidR="00625A5D" w:rsidP="002E32CA">
      <w:pPr>
        <w:bidi w:val="0"/>
        <w:jc w:val="center"/>
        <w:rPr>
          <w:rFonts w:ascii="Times New Roman" w:hAnsi="Times New Roman"/>
        </w:rPr>
      </w:pPr>
      <w:r>
        <w:rPr>
          <w:rFonts w:ascii="Times New Roman" w:hAnsi="Times New Roman"/>
          <w:noProof/>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52.4pt;height:239.05pt;visibility:visible" stroked="f">
            <v:imagedata r:id="rId5" o:title=""/>
            <o:lock v:ext="edit" aspectratio="f"/>
          </v:shape>
        </w:pict>
      </w:r>
    </w:p>
    <w:p w:rsidR="00D61781" w:rsidP="00625A5D">
      <w:pPr>
        <w:bidi w:val="0"/>
        <w:rPr>
          <w:rFonts w:ascii="Times New Roman" w:hAnsi="Times New Roman"/>
          <w:szCs w:val="18"/>
        </w:rPr>
      </w:pPr>
    </w:p>
    <w:p w:rsidR="004465D2" w:rsidP="002E32CA">
      <w:pPr>
        <w:bidi w:val="0"/>
        <w:jc w:val="both"/>
        <w:rPr>
          <w:rFonts w:ascii="Times New Roman" w:hAnsi="Times New Roman"/>
        </w:rPr>
      </w:pPr>
      <w:r w:rsidR="00694789">
        <w:rPr>
          <w:rFonts w:ascii="Times New Roman" w:hAnsi="Times New Roman"/>
          <w:szCs w:val="18"/>
        </w:rPr>
        <w:t>V súvislosti s dostavbou 3.</w:t>
      </w:r>
      <w:r w:rsidR="005826D8">
        <w:rPr>
          <w:rFonts w:ascii="Times New Roman" w:hAnsi="Times New Roman"/>
          <w:szCs w:val="18"/>
        </w:rPr>
        <w:t xml:space="preserve"> </w:t>
      </w:r>
      <w:r w:rsidR="00694789">
        <w:rPr>
          <w:rFonts w:ascii="Times New Roman" w:hAnsi="Times New Roman"/>
          <w:szCs w:val="18"/>
        </w:rPr>
        <w:t xml:space="preserve">a 4. bloku AE Mochovce ÚJD SR posudzoval </w:t>
      </w:r>
      <w:r w:rsidR="008F74FF">
        <w:rPr>
          <w:rFonts w:ascii="Times New Roman" w:hAnsi="Times New Roman"/>
          <w:szCs w:val="18"/>
        </w:rPr>
        <w:t xml:space="preserve">v roku 2011 </w:t>
      </w:r>
      <w:r w:rsidR="00694789">
        <w:rPr>
          <w:rFonts w:ascii="Times New Roman" w:hAnsi="Times New Roman"/>
          <w:szCs w:val="18"/>
        </w:rPr>
        <w:t>najmä dokumentáciu systému kvality a požiadaviek na kvalitu vybraných zariadení v zmysle vyhlášok ÚJD SR č.</w:t>
      </w:r>
      <w:r w:rsidR="008F74FF">
        <w:rPr>
          <w:rFonts w:ascii="Times New Roman" w:hAnsi="Times New Roman"/>
          <w:szCs w:val="18"/>
        </w:rPr>
        <w:t> </w:t>
      </w:r>
      <w:r w:rsidR="00694789">
        <w:rPr>
          <w:rFonts w:ascii="Times New Roman" w:hAnsi="Times New Roman"/>
          <w:szCs w:val="18"/>
        </w:rPr>
        <w:t>56/2006 Z.</w:t>
      </w:r>
      <w:r w:rsidR="00903499">
        <w:rPr>
          <w:rFonts w:ascii="Times New Roman" w:hAnsi="Times New Roman"/>
          <w:szCs w:val="18"/>
        </w:rPr>
        <w:t xml:space="preserve"> </w:t>
      </w:r>
      <w:r w:rsidR="00694789">
        <w:rPr>
          <w:rFonts w:ascii="Times New Roman" w:hAnsi="Times New Roman"/>
          <w:szCs w:val="18"/>
        </w:rPr>
        <w:t>z. a č.</w:t>
      </w:r>
      <w:r w:rsidR="008F74FF">
        <w:rPr>
          <w:rFonts w:ascii="Times New Roman" w:hAnsi="Times New Roman"/>
          <w:szCs w:val="18"/>
        </w:rPr>
        <w:t> </w:t>
      </w:r>
      <w:r w:rsidR="00694789">
        <w:rPr>
          <w:rFonts w:ascii="Times New Roman" w:hAnsi="Times New Roman"/>
          <w:szCs w:val="18"/>
        </w:rPr>
        <w:t>50/2006 Z. z., čo vidno z nárastu počtu rozhodnutí vydaných pre toto JZ uvedených v tab. č.</w:t>
      </w:r>
      <w:r w:rsidR="005008A8">
        <w:rPr>
          <w:rFonts w:ascii="Times New Roman" w:hAnsi="Times New Roman"/>
          <w:szCs w:val="18"/>
        </w:rPr>
        <w:t xml:space="preserve"> </w:t>
      </w:r>
      <w:r w:rsidR="00694789">
        <w:rPr>
          <w:rFonts w:ascii="Times New Roman" w:hAnsi="Times New Roman"/>
          <w:szCs w:val="18"/>
        </w:rPr>
        <w:t xml:space="preserve">1 ako i z nárastu celkového počtu rozhodnutí vydaných </w:t>
      </w:r>
      <w:r w:rsidR="00C70FEF">
        <w:rPr>
          <w:rFonts w:ascii="Times New Roman" w:hAnsi="Times New Roman"/>
          <w:szCs w:val="18"/>
        </w:rPr>
        <w:t xml:space="preserve">ÚJD SR </w:t>
      </w:r>
      <w:r w:rsidR="00694789">
        <w:rPr>
          <w:rFonts w:ascii="Times New Roman" w:hAnsi="Times New Roman"/>
          <w:szCs w:val="18"/>
        </w:rPr>
        <w:t>v roku 2011, obr. č.</w:t>
      </w:r>
      <w:r w:rsidR="005008A8">
        <w:rPr>
          <w:rFonts w:ascii="Times New Roman" w:hAnsi="Times New Roman"/>
          <w:szCs w:val="18"/>
        </w:rPr>
        <w:t xml:space="preserve"> </w:t>
      </w:r>
      <w:r w:rsidR="00694789">
        <w:rPr>
          <w:rFonts w:ascii="Times New Roman" w:hAnsi="Times New Roman"/>
          <w:szCs w:val="18"/>
        </w:rPr>
        <w:t>1.</w:t>
      </w:r>
    </w:p>
    <w:p w:rsidR="004465D2" w:rsidP="00625A5D">
      <w:pPr>
        <w:bidi w:val="0"/>
        <w:rPr>
          <w:rFonts w:ascii="Times New Roman" w:hAnsi="Times New Roman"/>
        </w:rPr>
      </w:pPr>
    </w:p>
    <w:p w:rsidR="00A16146" w:rsidP="00625A5D">
      <w:pPr>
        <w:bidi w:val="0"/>
        <w:rPr>
          <w:rFonts w:ascii="Times New Roman" w:hAnsi="Times New Roman"/>
        </w:rPr>
      </w:pPr>
    </w:p>
    <w:p w:rsidR="00A16146" w:rsidRPr="00961BF6" w:rsidP="00625A5D">
      <w:pPr>
        <w:bidi w:val="0"/>
        <w:rPr>
          <w:rFonts w:ascii="Times New Roman" w:hAnsi="Times New Roman"/>
        </w:rPr>
      </w:pPr>
    </w:p>
    <w:p w:rsidR="00C92C6E" w:rsidRPr="00C92C6E" w:rsidP="00C92C6E">
      <w:pPr>
        <w:pStyle w:val="Heading2"/>
        <w:bidi w:val="0"/>
        <w:rPr>
          <w:rFonts w:ascii="Times New Roman" w:hAnsi="Times New Roman"/>
        </w:rPr>
      </w:pPr>
      <w:bookmarkStart w:id="22" w:name="_Toc285032440"/>
      <w:bookmarkStart w:id="23" w:name="_Toc320719712"/>
      <w:r w:rsidRPr="00B76C05" w:rsidR="00625A5D">
        <w:rPr>
          <w:rFonts w:ascii="Times New Roman" w:hAnsi="Times New Roman"/>
        </w:rPr>
        <w:t>Inšpekčná činnosť</w:t>
      </w:r>
      <w:bookmarkEnd w:id="14"/>
      <w:bookmarkEnd w:id="15"/>
      <w:bookmarkEnd w:id="16"/>
      <w:r w:rsidRPr="00B76C05" w:rsidR="0045328B">
        <w:rPr>
          <w:rFonts w:ascii="Times New Roman" w:hAnsi="Times New Roman"/>
        </w:rPr>
        <w:t xml:space="preserve"> a vynucovanie práva</w:t>
      </w:r>
      <w:bookmarkStart w:id="24" w:name="_Toc285032441"/>
      <w:bookmarkEnd w:id="22"/>
      <w:bookmarkEnd w:id="23"/>
    </w:p>
    <w:p w:rsidR="0045328B" w:rsidRPr="00BE478D" w:rsidP="002941F6">
      <w:pPr>
        <w:pStyle w:val="Heading3"/>
        <w:tabs>
          <w:tab w:val="num" w:pos="709"/>
          <w:tab w:val="clear" w:pos="1004"/>
        </w:tabs>
        <w:bidi w:val="0"/>
        <w:ind w:left="357" w:hanging="357"/>
        <w:rPr>
          <w:rFonts w:ascii="Times New Roman" w:hAnsi="Times New Roman"/>
        </w:rPr>
      </w:pPr>
      <w:bookmarkStart w:id="25" w:name="_Toc289762594"/>
      <w:bookmarkStart w:id="26" w:name="_Toc320719713"/>
      <w:r w:rsidRPr="00BE478D">
        <w:rPr>
          <w:rFonts w:ascii="Times New Roman" w:hAnsi="Times New Roman"/>
        </w:rPr>
        <w:t>Inšpekčná čin</w:t>
      </w:r>
      <w:r w:rsidRPr="00BE478D" w:rsidR="00546B98">
        <w:rPr>
          <w:rFonts w:ascii="Times New Roman" w:hAnsi="Times New Roman"/>
        </w:rPr>
        <w:t>n</w:t>
      </w:r>
      <w:r w:rsidRPr="00BE478D">
        <w:rPr>
          <w:rFonts w:ascii="Times New Roman" w:hAnsi="Times New Roman"/>
        </w:rPr>
        <w:t>osť</w:t>
      </w:r>
      <w:bookmarkEnd w:id="24"/>
      <w:bookmarkEnd w:id="25"/>
      <w:bookmarkEnd w:id="26"/>
    </w:p>
    <w:p w:rsidR="00196C31" w:rsidP="00A16146">
      <w:pPr>
        <w:autoSpaceDE w:val="0"/>
        <w:autoSpaceDN w:val="0"/>
        <w:bidi w:val="0"/>
        <w:adjustRightInd w:val="0"/>
        <w:jc w:val="both"/>
        <w:rPr>
          <w:rFonts w:ascii="Times New Roman" w:hAnsi="Times New Roman"/>
          <w:color w:val="000000"/>
          <w:szCs w:val="24"/>
        </w:rPr>
      </w:pPr>
      <w:r w:rsidRPr="008630DD">
        <w:rPr>
          <w:rFonts w:ascii="Times New Roman" w:hAnsi="Times New Roman"/>
          <w:szCs w:val="18"/>
        </w:rPr>
        <w:t>Inšpekčnú činnosť (ďalej len „IČ“) vykonávajú</w:t>
      </w:r>
      <w:r w:rsidRPr="008630DD">
        <w:rPr>
          <w:rFonts w:ascii="Times New Roman" w:hAnsi="Times New Roman"/>
        </w:rPr>
        <w:t xml:space="preserve"> inšp</w:t>
      </w:r>
      <w:r>
        <w:rPr>
          <w:rFonts w:ascii="Times New Roman" w:hAnsi="Times New Roman"/>
        </w:rPr>
        <w:t>ektori jadrovej bezpečnosti ÚJD SR</w:t>
      </w:r>
      <w:r w:rsidRPr="008630DD">
        <w:rPr>
          <w:rFonts w:ascii="Times New Roman" w:hAnsi="Times New Roman"/>
        </w:rPr>
        <w:t xml:space="preserve">. </w:t>
      </w:r>
      <w:r>
        <w:rPr>
          <w:rFonts w:ascii="Times New Roman" w:hAnsi="Times New Roman"/>
        </w:rPr>
        <w:t>H</w:t>
      </w:r>
      <w:r w:rsidRPr="008630DD">
        <w:rPr>
          <w:rFonts w:ascii="Times New Roman" w:hAnsi="Times New Roman"/>
        </w:rPr>
        <w:t xml:space="preserve">armonogram plánovaných kontrol </w:t>
      </w:r>
      <w:r>
        <w:rPr>
          <w:rFonts w:ascii="Times New Roman" w:hAnsi="Times New Roman"/>
        </w:rPr>
        <w:t xml:space="preserve">stanovuje </w:t>
      </w:r>
      <w:r w:rsidRPr="008630DD">
        <w:rPr>
          <w:rFonts w:ascii="Times New Roman" w:hAnsi="Times New Roman"/>
        </w:rPr>
        <w:t>Inšpekčný plán</w:t>
      </w:r>
      <w:r>
        <w:rPr>
          <w:rFonts w:ascii="Times New Roman" w:hAnsi="Times New Roman"/>
        </w:rPr>
        <w:t xml:space="preserve">, ktorý </w:t>
      </w:r>
      <w:r w:rsidRPr="008630DD">
        <w:rPr>
          <w:rFonts w:ascii="Times New Roman" w:hAnsi="Times New Roman"/>
        </w:rPr>
        <w:t>je zostavený tak, aby bolo možné vykonávať pr</w:t>
      </w:r>
      <w:r>
        <w:rPr>
          <w:rFonts w:ascii="Times New Roman" w:hAnsi="Times New Roman"/>
        </w:rPr>
        <w:t>i</w:t>
      </w:r>
      <w:r w:rsidRPr="008630DD">
        <w:rPr>
          <w:rFonts w:ascii="Times New Roman" w:hAnsi="Times New Roman"/>
        </w:rPr>
        <w:t xml:space="preserve">ebežné a systematické hodnotenie dodržiavania legislatívnych požiadaviek. </w:t>
      </w:r>
      <w:r w:rsidRPr="008F4381">
        <w:rPr>
          <w:rFonts w:ascii="Times New Roman" w:hAnsi="Times New Roman"/>
          <w:color w:val="000000"/>
          <w:szCs w:val="24"/>
        </w:rPr>
        <w:t xml:space="preserve">Okrem plánovaných kontrol </w:t>
      </w:r>
      <w:r w:rsidR="008F74FF">
        <w:rPr>
          <w:rFonts w:ascii="Times New Roman" w:hAnsi="Times New Roman"/>
          <w:color w:val="000000"/>
          <w:szCs w:val="24"/>
        </w:rPr>
        <w:t>v</w:t>
      </w:r>
      <w:r w:rsidRPr="008F4381">
        <w:rPr>
          <w:rFonts w:ascii="Times New Roman" w:hAnsi="Times New Roman"/>
          <w:color w:val="000000"/>
          <w:szCs w:val="24"/>
        </w:rPr>
        <w:t>ykonávajú inšpektori</w:t>
      </w:r>
      <w:r>
        <w:rPr>
          <w:rFonts w:ascii="Times New Roman" w:hAnsi="Times New Roman"/>
          <w:color w:val="000000"/>
          <w:szCs w:val="24"/>
        </w:rPr>
        <w:t xml:space="preserve"> aj </w:t>
      </w:r>
      <w:r w:rsidRPr="008F4381">
        <w:rPr>
          <w:rFonts w:ascii="Times New Roman" w:hAnsi="Times New Roman"/>
          <w:color w:val="000000"/>
          <w:szCs w:val="24"/>
        </w:rPr>
        <w:t>neplánované kontroly</w:t>
      </w:r>
      <w:r>
        <w:rPr>
          <w:rFonts w:ascii="Times New Roman" w:hAnsi="Times New Roman"/>
          <w:color w:val="000000"/>
          <w:szCs w:val="24"/>
        </w:rPr>
        <w:t xml:space="preserve">, ktoré sú vyvolané stavom na JZ (napr. etapy spúšťania JZ) alebo prevádzkovými udalosťami. Medzi neplánované kontroly sa radia aj inšpekcie </w:t>
      </w:r>
      <w:r w:rsidR="00F94FA4">
        <w:rPr>
          <w:rFonts w:ascii="Times New Roman" w:hAnsi="Times New Roman"/>
          <w:color w:val="000000"/>
          <w:szCs w:val="24"/>
        </w:rPr>
        <w:t xml:space="preserve">Medzinárodnej agentúry pre atómovú energiu (ďalej len </w:t>
      </w:r>
      <w:r w:rsidR="007923DE">
        <w:rPr>
          <w:rFonts w:ascii="Times New Roman" w:hAnsi="Times New Roman"/>
          <w:color w:val="000000"/>
          <w:szCs w:val="24"/>
        </w:rPr>
        <w:t>„</w:t>
      </w:r>
      <w:r w:rsidR="00F94FA4">
        <w:rPr>
          <w:rFonts w:ascii="Times New Roman" w:hAnsi="Times New Roman"/>
          <w:color w:val="000000"/>
          <w:szCs w:val="24"/>
        </w:rPr>
        <w:t>MAAE“)</w:t>
      </w:r>
      <w:r>
        <w:rPr>
          <w:rFonts w:ascii="Times New Roman" w:hAnsi="Times New Roman"/>
          <w:color w:val="000000"/>
          <w:szCs w:val="24"/>
        </w:rPr>
        <w:t xml:space="preserve"> v oblasti evidencie JM, ktorých termín je ÚJD SR a príslušnému držiteľovi povolenia ohlásený až bezprostredne pred vykonaním samotnej kontroly.</w:t>
      </w:r>
    </w:p>
    <w:p w:rsidR="00196C31" w:rsidRPr="00694789" w:rsidP="00694789">
      <w:pPr>
        <w:pStyle w:val="BodyText"/>
        <w:bidi w:val="0"/>
        <w:rPr>
          <w:rFonts w:ascii="Times New Roman" w:hAnsi="Times New Roman"/>
          <w:lang w:val="sk-SK"/>
        </w:rPr>
      </w:pPr>
      <w:r w:rsidRPr="008630DD">
        <w:rPr>
          <w:rFonts w:ascii="Times New Roman" w:hAnsi="Times New Roman"/>
        </w:rPr>
        <w:t>V roku 20</w:t>
      </w:r>
      <w:r>
        <w:rPr>
          <w:rFonts w:ascii="Times New Roman" w:hAnsi="Times New Roman"/>
        </w:rPr>
        <w:t>11</w:t>
      </w:r>
      <w:r w:rsidRPr="008630DD">
        <w:rPr>
          <w:rFonts w:ascii="Times New Roman" w:hAnsi="Times New Roman"/>
        </w:rPr>
        <w:t xml:space="preserve"> bolo vykonaných </w:t>
      </w:r>
      <w:r>
        <w:rPr>
          <w:rFonts w:ascii="Times New Roman" w:hAnsi="Times New Roman"/>
        </w:rPr>
        <w:t xml:space="preserve">168 </w:t>
      </w:r>
      <w:r w:rsidRPr="008630DD">
        <w:rPr>
          <w:rFonts w:ascii="Times New Roman" w:hAnsi="Times New Roman"/>
        </w:rPr>
        <w:t xml:space="preserve">inšpekcií, z toho </w:t>
      </w:r>
      <w:r>
        <w:rPr>
          <w:rFonts w:ascii="Times New Roman" w:hAnsi="Times New Roman"/>
        </w:rPr>
        <w:t>152</w:t>
      </w:r>
      <w:r w:rsidRPr="008630DD">
        <w:rPr>
          <w:rFonts w:ascii="Times New Roman" w:hAnsi="Times New Roman"/>
        </w:rPr>
        <w:t xml:space="preserve"> skončilo záznamom a </w:t>
      </w:r>
      <w:r>
        <w:rPr>
          <w:rFonts w:ascii="Times New Roman" w:hAnsi="Times New Roman"/>
        </w:rPr>
        <w:t>16</w:t>
      </w:r>
      <w:r w:rsidRPr="008630DD">
        <w:rPr>
          <w:rFonts w:ascii="Times New Roman" w:hAnsi="Times New Roman"/>
        </w:rPr>
        <w:t xml:space="preserve"> formou protokolu. Rozdelenie inšpekcií je uvedené v tabuľke č.</w:t>
      </w:r>
      <w:r>
        <w:rPr>
          <w:rFonts w:ascii="Times New Roman" w:hAnsi="Times New Roman"/>
        </w:rPr>
        <w:t xml:space="preserve"> 2</w:t>
      </w:r>
      <w:r w:rsidRPr="008630DD">
        <w:rPr>
          <w:rFonts w:ascii="Times New Roman" w:hAnsi="Times New Roman"/>
        </w:rPr>
        <w:t>.</w:t>
      </w:r>
    </w:p>
    <w:p w:rsidR="00625A5D" w:rsidRPr="008630DD" w:rsidP="00625A5D">
      <w:pPr>
        <w:pStyle w:val="BodyText2"/>
        <w:bidi w:val="0"/>
        <w:rPr>
          <w:rFonts w:ascii="Times New Roman" w:hAnsi="Times New Roman"/>
        </w:rPr>
      </w:pPr>
    </w:p>
    <w:p w:rsidR="00625A5D" w:rsidRPr="00BE090E" w:rsidP="00625A5D">
      <w:pPr>
        <w:pStyle w:val="BodyText2"/>
        <w:bidi w:val="0"/>
        <w:rPr>
          <w:rFonts w:ascii="Times New Roman" w:hAnsi="Times New Roman"/>
        </w:rPr>
      </w:pPr>
      <w:r w:rsidRPr="00BE090E">
        <w:rPr>
          <w:rFonts w:ascii="Times New Roman" w:hAnsi="Times New Roman"/>
        </w:rPr>
        <w:t xml:space="preserve">Tab.č. </w:t>
      </w:r>
      <w:r w:rsidR="005E7ED4">
        <w:rPr>
          <w:rFonts w:ascii="Times New Roman" w:hAnsi="Times New Roman"/>
        </w:rPr>
        <w:t>2</w:t>
      </w:r>
      <w:r w:rsidRPr="00BE090E">
        <w:rPr>
          <w:rFonts w:ascii="Times New Roman" w:hAnsi="Times New Roman"/>
        </w:rPr>
        <w:t xml:space="preserve"> Prehľad vykonaných inšpekcií ÚJD SR členených podľa prevádzkujúcich organizácií </w:t>
      </w:r>
    </w:p>
    <w:tbl>
      <w:tblPr>
        <w:tblStyle w:val="TableNormal"/>
        <w:tblW w:w="9065" w:type="dxa"/>
        <w:jc w:val="center"/>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Pr>
      <w:tblGrid>
        <w:gridCol w:w="3117"/>
        <w:gridCol w:w="1189"/>
        <w:gridCol w:w="1190"/>
        <w:gridCol w:w="1189"/>
        <w:gridCol w:w="1393"/>
        <w:gridCol w:w="987"/>
      </w:tblGrid>
      <w:tr>
        <w:tblPrEx>
          <w:tblW w:w="9065" w:type="dxa"/>
          <w:jc w:val="center"/>
          <w:tblInd w:w="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PrEx>
        <w:trPr>
          <w:trHeight w:val="403"/>
          <w:jc w:val="center"/>
        </w:trPr>
        <w:tc>
          <w:tcPr>
            <w:tcW w:w="3117" w:type="dxa"/>
            <w:tcBorders>
              <w:top w:val="single" w:sz="12" w:space="0" w:color="auto"/>
              <w:left w:val="single" w:sz="12" w:space="0" w:color="auto"/>
              <w:bottom w:val="single" w:sz="12" w:space="0" w:color="auto"/>
              <w:right w:val="single" w:sz="6" w:space="0" w:color="auto"/>
            </w:tcBorders>
            <w:shd w:val="clear" w:color="auto" w:fill="E0E0E0"/>
            <w:textDirection w:val="lrTb"/>
            <w:vAlign w:val="center"/>
          </w:tcPr>
          <w:p w:rsidR="006F0F0A" w:rsidRPr="008630DD" w:rsidP="006F0F0A">
            <w:pPr>
              <w:bidi w:val="0"/>
              <w:jc w:val="center"/>
              <w:rPr>
                <w:rFonts w:ascii="Times New Roman" w:hAnsi="Times New Roman"/>
                <w:b/>
              </w:rPr>
            </w:pPr>
          </w:p>
        </w:tc>
        <w:tc>
          <w:tcPr>
            <w:tcW w:w="1189"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F0F0A">
            <w:pPr>
              <w:bidi w:val="0"/>
              <w:jc w:val="center"/>
              <w:rPr>
                <w:rFonts w:ascii="Times New Roman" w:hAnsi="Times New Roman"/>
                <w:b/>
              </w:rPr>
            </w:pPr>
            <w:r w:rsidRPr="008630DD">
              <w:rPr>
                <w:rFonts w:ascii="Times New Roman" w:hAnsi="Times New Roman"/>
                <w:b/>
              </w:rPr>
              <w:t>Tímové</w:t>
            </w:r>
          </w:p>
        </w:tc>
        <w:tc>
          <w:tcPr>
            <w:tcW w:w="1190"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F0F0A">
            <w:pPr>
              <w:bidi w:val="0"/>
              <w:jc w:val="center"/>
              <w:rPr>
                <w:rFonts w:ascii="Times New Roman" w:hAnsi="Times New Roman"/>
                <w:b/>
              </w:rPr>
            </w:pPr>
            <w:r w:rsidRPr="008630DD">
              <w:rPr>
                <w:rFonts w:ascii="Times New Roman" w:hAnsi="Times New Roman"/>
                <w:b/>
              </w:rPr>
              <w:t>Špeciálne</w:t>
            </w:r>
          </w:p>
        </w:tc>
        <w:tc>
          <w:tcPr>
            <w:tcW w:w="1189"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F0F0A">
            <w:pPr>
              <w:bidi w:val="0"/>
              <w:jc w:val="center"/>
              <w:rPr>
                <w:rFonts w:ascii="Times New Roman" w:hAnsi="Times New Roman"/>
                <w:b/>
              </w:rPr>
            </w:pPr>
            <w:r w:rsidRPr="008630DD">
              <w:rPr>
                <w:rFonts w:ascii="Times New Roman" w:hAnsi="Times New Roman"/>
                <w:b/>
              </w:rPr>
              <w:t>Rutinné</w:t>
            </w:r>
          </w:p>
        </w:tc>
        <w:tc>
          <w:tcPr>
            <w:tcW w:w="1393"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F0F0A">
            <w:pPr>
              <w:bidi w:val="0"/>
              <w:jc w:val="center"/>
              <w:rPr>
                <w:rFonts w:ascii="Times New Roman" w:hAnsi="Times New Roman"/>
                <w:b/>
              </w:rPr>
            </w:pPr>
            <w:r w:rsidRPr="008630DD">
              <w:rPr>
                <w:rFonts w:ascii="Times New Roman" w:hAnsi="Times New Roman"/>
                <w:b/>
              </w:rPr>
              <w:t>Neplánované</w:t>
            </w:r>
          </w:p>
        </w:tc>
        <w:tc>
          <w:tcPr>
            <w:tcW w:w="987" w:type="dxa"/>
            <w:tcBorders>
              <w:top w:val="single" w:sz="12" w:space="0" w:color="auto"/>
              <w:left w:val="single" w:sz="6" w:space="0" w:color="auto"/>
              <w:bottom w:val="single" w:sz="12" w:space="0" w:color="auto"/>
              <w:right w:val="single" w:sz="12" w:space="0" w:color="auto"/>
            </w:tcBorders>
            <w:shd w:val="clear" w:color="auto" w:fill="E0E0E0"/>
            <w:textDirection w:val="lrTb"/>
            <w:vAlign w:val="center"/>
          </w:tcPr>
          <w:p w:rsidR="00625A5D" w:rsidRPr="008630DD" w:rsidP="006F0F0A">
            <w:pPr>
              <w:bidi w:val="0"/>
              <w:jc w:val="center"/>
              <w:rPr>
                <w:rFonts w:ascii="Times New Roman" w:hAnsi="Times New Roman"/>
                <w:b/>
              </w:rPr>
            </w:pPr>
            <w:r w:rsidRPr="008630DD">
              <w:rPr>
                <w:rFonts w:ascii="Times New Roman" w:hAnsi="Times New Roman"/>
                <w:b/>
              </w:rPr>
              <w:t>Spolu</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12" w:space="0" w:color="auto"/>
              <w:left w:val="single" w:sz="12" w:space="0" w:color="auto"/>
              <w:bottom w:val="single" w:sz="6" w:space="0" w:color="auto"/>
              <w:right w:val="single" w:sz="6" w:space="0" w:color="auto"/>
            </w:tcBorders>
            <w:textDirection w:val="lrTb"/>
            <w:vAlign w:val="top"/>
          </w:tcPr>
          <w:p w:rsidR="00625A5D" w:rsidRPr="008630DD" w:rsidP="005826D8">
            <w:pPr>
              <w:bidi w:val="0"/>
              <w:ind w:firstLine="6"/>
              <w:rPr>
                <w:rFonts w:ascii="Times New Roman" w:hAnsi="Times New Roman"/>
              </w:rPr>
            </w:pPr>
            <w:r w:rsidRPr="008630DD">
              <w:rPr>
                <w:rFonts w:ascii="Times New Roman" w:hAnsi="Times New Roman"/>
              </w:rPr>
              <w:t>AE</w:t>
            </w:r>
            <w:r w:rsidR="006F0F0A">
              <w:rPr>
                <w:rFonts w:ascii="Times New Roman" w:hAnsi="Times New Roman"/>
              </w:rPr>
              <w:t xml:space="preserve"> </w:t>
            </w:r>
            <w:r w:rsidRPr="008630DD" w:rsidR="00BC3877">
              <w:rPr>
                <w:rFonts w:ascii="Times New Roman" w:hAnsi="Times New Roman"/>
              </w:rPr>
              <w:t xml:space="preserve">Bohunice </w:t>
            </w:r>
            <w:r w:rsidRPr="008630DD">
              <w:rPr>
                <w:rFonts w:ascii="Times New Roman" w:hAnsi="Times New Roman"/>
              </w:rPr>
              <w:t xml:space="preserve">V-1 </w:t>
            </w:r>
          </w:p>
        </w:tc>
        <w:tc>
          <w:tcPr>
            <w:tcW w:w="1189" w:type="dxa"/>
            <w:tcBorders>
              <w:top w:val="single" w:sz="12"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2</w:t>
            </w:r>
          </w:p>
        </w:tc>
        <w:tc>
          <w:tcPr>
            <w:tcW w:w="1190" w:type="dxa"/>
            <w:tcBorders>
              <w:top w:val="single" w:sz="12" w:space="0" w:color="auto"/>
              <w:left w:val="single" w:sz="6" w:space="0" w:color="auto"/>
              <w:bottom w:val="single" w:sz="6" w:space="0" w:color="auto"/>
              <w:right w:val="single" w:sz="6" w:space="0" w:color="auto"/>
            </w:tcBorders>
            <w:textDirection w:val="lrTb"/>
            <w:vAlign w:val="bottom"/>
          </w:tcPr>
          <w:p w:rsidR="00625A5D" w:rsidRPr="008630DD" w:rsidP="00694789">
            <w:pPr>
              <w:bidi w:val="0"/>
              <w:jc w:val="center"/>
              <w:rPr>
                <w:rFonts w:ascii="Times New Roman" w:hAnsi="Times New Roman"/>
              </w:rPr>
            </w:pPr>
            <w:r w:rsidRPr="008630DD">
              <w:rPr>
                <w:rFonts w:ascii="Times New Roman" w:hAnsi="Times New Roman"/>
              </w:rPr>
              <w:t>1</w:t>
            </w:r>
            <w:r w:rsidR="00694789">
              <w:rPr>
                <w:rFonts w:ascii="Times New Roman" w:hAnsi="Times New Roman"/>
              </w:rPr>
              <w:t>4</w:t>
            </w:r>
          </w:p>
        </w:tc>
        <w:tc>
          <w:tcPr>
            <w:tcW w:w="1189" w:type="dxa"/>
            <w:tcBorders>
              <w:top w:val="single" w:sz="12"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1</w:t>
            </w:r>
          </w:p>
        </w:tc>
        <w:tc>
          <w:tcPr>
            <w:tcW w:w="1393" w:type="dxa"/>
            <w:tcBorders>
              <w:top w:val="single" w:sz="12"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0</w:t>
            </w:r>
          </w:p>
        </w:tc>
        <w:tc>
          <w:tcPr>
            <w:tcW w:w="987" w:type="dxa"/>
            <w:tcBorders>
              <w:top w:val="single" w:sz="12"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sidRPr="008630DD">
              <w:rPr>
                <w:rFonts w:ascii="Times New Roman" w:hAnsi="Times New Roman"/>
                <w:b/>
              </w:rPr>
              <w:t>1</w:t>
            </w:r>
            <w:r w:rsidR="00694789">
              <w:rPr>
                <w:rFonts w:ascii="Times New Roman" w:hAnsi="Times New Roman"/>
                <w:b/>
              </w:rPr>
              <w:t>7</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AE</w:t>
            </w:r>
            <w:r w:rsidR="00BC3877">
              <w:rPr>
                <w:rFonts w:ascii="Times New Roman" w:hAnsi="Times New Roman"/>
              </w:rPr>
              <w:t xml:space="preserve"> </w:t>
            </w:r>
            <w:r w:rsidRPr="008630DD" w:rsidR="00BC3877">
              <w:rPr>
                <w:rFonts w:ascii="Times New Roman" w:hAnsi="Times New Roman"/>
              </w:rPr>
              <w:t xml:space="preserve">Bohunice </w:t>
            </w:r>
            <w:r w:rsidRPr="008630DD">
              <w:rPr>
                <w:rFonts w:ascii="Times New Roman" w:hAnsi="Times New Roman"/>
              </w:rPr>
              <w:t xml:space="preserve">V-2 </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6</w:t>
            </w:r>
          </w:p>
        </w:tc>
        <w:tc>
          <w:tcPr>
            <w:tcW w:w="1190"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20</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4</w:t>
            </w:r>
          </w:p>
        </w:tc>
        <w:tc>
          <w:tcPr>
            <w:tcW w:w="1393"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4</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Pr>
                <w:rFonts w:ascii="Times New Roman" w:hAnsi="Times New Roman"/>
                <w:b/>
              </w:rPr>
              <w:t>34</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AE Mochovce 1,2</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5</w:t>
            </w:r>
          </w:p>
        </w:tc>
        <w:tc>
          <w:tcPr>
            <w:tcW w:w="1190"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694789">
            <w:pPr>
              <w:bidi w:val="0"/>
              <w:jc w:val="center"/>
              <w:rPr>
                <w:rFonts w:ascii="Times New Roman" w:hAnsi="Times New Roman"/>
              </w:rPr>
            </w:pPr>
            <w:r>
              <w:rPr>
                <w:rFonts w:ascii="Times New Roman" w:hAnsi="Times New Roman"/>
              </w:rPr>
              <w:t>1</w:t>
            </w:r>
            <w:r w:rsidR="00694789">
              <w:rPr>
                <w:rFonts w:ascii="Times New Roman" w:hAnsi="Times New Roman"/>
              </w:rPr>
              <w:t>9</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4</w:t>
            </w:r>
          </w:p>
        </w:tc>
        <w:tc>
          <w:tcPr>
            <w:tcW w:w="1393"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Pr>
                <w:rFonts w:ascii="Times New Roman" w:hAnsi="Times New Roman"/>
              </w:rPr>
              <w:t>4</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Pr>
                <w:rFonts w:ascii="Times New Roman" w:hAnsi="Times New Roman"/>
                <w:b/>
              </w:rPr>
              <w:t>32</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AE Mochovce 3,4</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2</w:t>
            </w:r>
          </w:p>
        </w:tc>
        <w:tc>
          <w:tcPr>
            <w:tcW w:w="1190"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5</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0</w:t>
            </w:r>
          </w:p>
        </w:tc>
        <w:tc>
          <w:tcPr>
            <w:tcW w:w="1393"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1</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sidR="00694789">
              <w:rPr>
                <w:rFonts w:ascii="Times New Roman" w:hAnsi="Times New Roman"/>
                <w:b/>
              </w:rPr>
              <w:t>8</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 xml:space="preserve">JAVYS, a. s. </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3</w:t>
            </w:r>
          </w:p>
        </w:tc>
        <w:tc>
          <w:tcPr>
            <w:tcW w:w="1190"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694789">
            <w:pPr>
              <w:bidi w:val="0"/>
              <w:jc w:val="center"/>
              <w:rPr>
                <w:rFonts w:ascii="Times New Roman" w:hAnsi="Times New Roman"/>
              </w:rPr>
            </w:pPr>
            <w:r>
              <w:rPr>
                <w:rFonts w:ascii="Times New Roman" w:hAnsi="Times New Roman"/>
              </w:rPr>
              <w:t>1</w:t>
            </w:r>
            <w:r w:rsidR="00694789">
              <w:rPr>
                <w:rFonts w:ascii="Times New Roman" w:hAnsi="Times New Roman"/>
              </w:rPr>
              <w:t>2</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4</w:t>
            </w:r>
          </w:p>
        </w:tc>
        <w:tc>
          <w:tcPr>
            <w:tcW w:w="1393"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0</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sidR="00694789">
              <w:rPr>
                <w:rFonts w:ascii="Times New Roman" w:hAnsi="Times New Roman"/>
                <w:b/>
              </w:rPr>
              <w:t>19</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VUJE</w:t>
            </w:r>
            <w:r w:rsidR="006F0F0A">
              <w:rPr>
                <w:rFonts w:ascii="Times New Roman" w:hAnsi="Times New Roman"/>
              </w:rPr>
              <w:t>, a.</w:t>
            </w:r>
            <w:r w:rsidR="007923DE">
              <w:rPr>
                <w:rFonts w:ascii="Times New Roman" w:hAnsi="Times New Roman"/>
              </w:rPr>
              <w:t xml:space="preserve"> </w:t>
            </w:r>
            <w:r w:rsidR="006F0F0A">
              <w:rPr>
                <w:rFonts w:ascii="Times New Roman" w:hAnsi="Times New Roman"/>
              </w:rPr>
              <w:t>s.</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0</w:t>
            </w:r>
          </w:p>
        </w:tc>
        <w:tc>
          <w:tcPr>
            <w:tcW w:w="1190"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Pr>
                <w:rFonts w:ascii="Times New Roman" w:hAnsi="Times New Roman"/>
              </w:rPr>
              <w:t>4</w:t>
            </w:r>
          </w:p>
        </w:tc>
        <w:tc>
          <w:tcPr>
            <w:tcW w:w="1189"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0</w:t>
            </w:r>
          </w:p>
        </w:tc>
        <w:tc>
          <w:tcPr>
            <w:tcW w:w="1393" w:type="dxa"/>
            <w:tcBorders>
              <w:top w:val="single" w:sz="6" w:space="0" w:color="auto"/>
              <w:left w:val="single" w:sz="6" w:space="0" w:color="auto"/>
              <w:bottom w:val="single" w:sz="6"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0</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Pr>
                <w:rFonts w:ascii="Times New Roman" w:hAnsi="Times New Roman"/>
                <w:b/>
              </w:rPr>
              <w:t>4</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 xml:space="preserve">Preprava </w:t>
            </w:r>
            <w:r w:rsidR="006F0F0A">
              <w:rPr>
                <w:rFonts w:ascii="Times New Roman" w:hAnsi="Times New Roman"/>
              </w:rPr>
              <w:t>JM</w:t>
            </w:r>
            <w:r w:rsidR="004465D2">
              <w:rPr>
                <w:rFonts w:ascii="Times New Roman" w:hAnsi="Times New Roman"/>
              </w:rPr>
              <w:t xml:space="preserve"> a RAO</w:t>
            </w:r>
          </w:p>
        </w:tc>
        <w:tc>
          <w:tcPr>
            <w:tcW w:w="1189"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sidRPr="008630DD">
              <w:rPr>
                <w:rFonts w:ascii="Times New Roman" w:hAnsi="Times New Roman"/>
              </w:rPr>
              <w:t>0</w:t>
            </w:r>
          </w:p>
        </w:tc>
        <w:tc>
          <w:tcPr>
            <w:tcW w:w="1190"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sidRPr="008630DD">
              <w:rPr>
                <w:rFonts w:ascii="Times New Roman" w:hAnsi="Times New Roman"/>
              </w:rPr>
              <w:t>3</w:t>
            </w:r>
          </w:p>
        </w:tc>
        <w:tc>
          <w:tcPr>
            <w:tcW w:w="1189"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sidRPr="008630DD">
              <w:rPr>
                <w:rFonts w:ascii="Times New Roman" w:hAnsi="Times New Roman"/>
              </w:rPr>
              <w:t>0</w:t>
            </w:r>
          </w:p>
        </w:tc>
        <w:tc>
          <w:tcPr>
            <w:tcW w:w="1393"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Pr>
                <w:rFonts w:ascii="Times New Roman" w:hAnsi="Times New Roman"/>
              </w:rPr>
              <w:t>5</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center"/>
          </w:tcPr>
          <w:p w:rsidR="00625A5D" w:rsidRPr="008630DD" w:rsidP="00070AAF">
            <w:pPr>
              <w:bidi w:val="0"/>
              <w:jc w:val="center"/>
              <w:rPr>
                <w:rFonts w:ascii="Times New Roman" w:hAnsi="Times New Roman"/>
                <w:b/>
              </w:rPr>
            </w:pPr>
            <w:r>
              <w:rPr>
                <w:rFonts w:ascii="Times New Roman" w:hAnsi="Times New Roman"/>
                <w:b/>
              </w:rPr>
              <w:t>8</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6"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004465D2">
              <w:rPr>
                <w:rFonts w:ascii="Times New Roman" w:hAnsi="Times New Roman"/>
              </w:rPr>
              <w:t>Kontrola a evidencia JM</w:t>
            </w:r>
          </w:p>
        </w:tc>
        <w:tc>
          <w:tcPr>
            <w:tcW w:w="1189"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sidRPr="008630DD">
              <w:rPr>
                <w:rFonts w:ascii="Times New Roman" w:hAnsi="Times New Roman"/>
              </w:rPr>
              <w:t>0</w:t>
            </w:r>
          </w:p>
        </w:tc>
        <w:tc>
          <w:tcPr>
            <w:tcW w:w="1190"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694789">
            <w:pPr>
              <w:bidi w:val="0"/>
              <w:jc w:val="center"/>
              <w:rPr>
                <w:rFonts w:ascii="Times New Roman" w:hAnsi="Times New Roman"/>
              </w:rPr>
            </w:pPr>
            <w:r>
              <w:rPr>
                <w:rFonts w:ascii="Times New Roman" w:hAnsi="Times New Roman"/>
              </w:rPr>
              <w:t>2</w:t>
            </w:r>
            <w:r w:rsidR="00694789">
              <w:rPr>
                <w:rFonts w:ascii="Times New Roman" w:hAnsi="Times New Roman"/>
              </w:rPr>
              <w:t>7</w:t>
            </w:r>
          </w:p>
        </w:tc>
        <w:tc>
          <w:tcPr>
            <w:tcW w:w="1189"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070AAF">
            <w:pPr>
              <w:bidi w:val="0"/>
              <w:jc w:val="center"/>
              <w:rPr>
                <w:rFonts w:ascii="Times New Roman" w:hAnsi="Times New Roman"/>
              </w:rPr>
            </w:pPr>
            <w:r w:rsidRPr="008630DD">
              <w:rPr>
                <w:rFonts w:ascii="Times New Roman" w:hAnsi="Times New Roman"/>
              </w:rPr>
              <w:t>0</w:t>
            </w:r>
          </w:p>
        </w:tc>
        <w:tc>
          <w:tcPr>
            <w:tcW w:w="1393" w:type="dxa"/>
            <w:tcBorders>
              <w:top w:val="single" w:sz="6" w:space="0" w:color="auto"/>
              <w:left w:val="single" w:sz="6" w:space="0" w:color="auto"/>
              <w:bottom w:val="single" w:sz="6" w:space="0" w:color="auto"/>
              <w:right w:val="single" w:sz="6" w:space="0" w:color="auto"/>
            </w:tcBorders>
            <w:textDirection w:val="lrTb"/>
            <w:vAlign w:val="center"/>
          </w:tcPr>
          <w:p w:rsidR="00625A5D" w:rsidRPr="008630DD" w:rsidP="00694789">
            <w:pPr>
              <w:bidi w:val="0"/>
              <w:jc w:val="center"/>
              <w:rPr>
                <w:rFonts w:ascii="Times New Roman" w:hAnsi="Times New Roman"/>
              </w:rPr>
            </w:pPr>
            <w:r>
              <w:rPr>
                <w:rFonts w:ascii="Times New Roman" w:hAnsi="Times New Roman"/>
              </w:rPr>
              <w:t>1</w:t>
            </w:r>
            <w:r w:rsidR="00694789">
              <w:rPr>
                <w:rFonts w:ascii="Times New Roman" w:hAnsi="Times New Roman"/>
              </w:rPr>
              <w:t>6</w:t>
            </w:r>
          </w:p>
        </w:tc>
        <w:tc>
          <w:tcPr>
            <w:tcW w:w="987" w:type="dxa"/>
            <w:tcBorders>
              <w:top w:val="single" w:sz="6" w:space="0" w:color="auto"/>
              <w:left w:val="single" w:sz="6" w:space="0" w:color="auto"/>
              <w:bottom w:val="single" w:sz="6" w:space="0" w:color="auto"/>
              <w:right w:val="single" w:sz="12" w:space="0" w:color="auto"/>
            </w:tcBorders>
            <w:shd w:val="clear" w:color="auto" w:fill="E0E0E0"/>
            <w:textDirection w:val="lrTb"/>
            <w:vAlign w:val="center"/>
          </w:tcPr>
          <w:p w:rsidR="00625A5D" w:rsidRPr="008630DD" w:rsidP="00694789">
            <w:pPr>
              <w:bidi w:val="0"/>
              <w:jc w:val="center"/>
              <w:rPr>
                <w:rFonts w:ascii="Times New Roman" w:hAnsi="Times New Roman"/>
                <w:b/>
              </w:rPr>
            </w:pPr>
            <w:r>
              <w:rPr>
                <w:rFonts w:ascii="Times New Roman" w:hAnsi="Times New Roman"/>
                <w:b/>
              </w:rPr>
              <w:t>4</w:t>
            </w:r>
            <w:r w:rsidR="00694789">
              <w:rPr>
                <w:rFonts w:ascii="Times New Roman" w:hAnsi="Times New Roman"/>
                <w:b/>
              </w:rPr>
              <w:t>3</w:t>
            </w:r>
          </w:p>
        </w:tc>
      </w:tr>
      <w:tr>
        <w:tblPrEx>
          <w:tblW w:w="9065" w:type="dxa"/>
          <w:jc w:val="center"/>
          <w:tblInd w:w="12" w:type="dxa"/>
          <w:tblLayout w:type="fixed"/>
          <w:tblCellMar>
            <w:left w:w="0" w:type="dxa"/>
            <w:right w:w="0" w:type="dxa"/>
          </w:tblCellMar>
        </w:tblPrEx>
        <w:trPr>
          <w:trHeight w:val="284"/>
          <w:jc w:val="center"/>
        </w:trPr>
        <w:tc>
          <w:tcPr>
            <w:tcW w:w="3117" w:type="dxa"/>
            <w:tcBorders>
              <w:top w:val="single" w:sz="6" w:space="0" w:color="auto"/>
              <w:left w:val="single" w:sz="12" w:space="0" w:color="auto"/>
              <w:bottom w:val="single" w:sz="12" w:space="0" w:color="auto"/>
              <w:right w:val="single" w:sz="6" w:space="0" w:color="auto"/>
            </w:tcBorders>
            <w:textDirection w:val="lrTb"/>
            <w:vAlign w:val="top"/>
          </w:tcPr>
          <w:p w:rsidR="00625A5D" w:rsidRPr="008630DD" w:rsidP="005826D8">
            <w:pPr>
              <w:pStyle w:val="Footer"/>
              <w:tabs>
                <w:tab w:val="clear" w:pos="4153"/>
                <w:tab w:val="clear" w:pos="8306"/>
              </w:tabs>
              <w:bidi w:val="0"/>
              <w:rPr>
                <w:rFonts w:ascii="Times New Roman" w:hAnsi="Times New Roman"/>
              </w:rPr>
            </w:pPr>
            <w:r w:rsidRPr="008630DD">
              <w:rPr>
                <w:rFonts w:ascii="Times New Roman" w:hAnsi="Times New Roman"/>
              </w:rPr>
              <w:t>Ostatné inšpekcie</w:t>
            </w:r>
          </w:p>
        </w:tc>
        <w:tc>
          <w:tcPr>
            <w:tcW w:w="1189" w:type="dxa"/>
            <w:tcBorders>
              <w:top w:val="single" w:sz="6" w:space="0" w:color="auto"/>
              <w:left w:val="single" w:sz="6" w:space="0" w:color="auto"/>
              <w:bottom w:val="single" w:sz="12"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00694789">
              <w:rPr>
                <w:rFonts w:ascii="Times New Roman" w:hAnsi="Times New Roman"/>
              </w:rPr>
              <w:t>1</w:t>
            </w:r>
          </w:p>
        </w:tc>
        <w:tc>
          <w:tcPr>
            <w:tcW w:w="1190" w:type="dxa"/>
            <w:tcBorders>
              <w:top w:val="single" w:sz="6" w:space="0" w:color="auto"/>
              <w:left w:val="single" w:sz="6" w:space="0" w:color="auto"/>
              <w:bottom w:val="single" w:sz="12" w:space="0" w:color="auto"/>
              <w:right w:val="single" w:sz="6" w:space="0" w:color="auto"/>
            </w:tcBorders>
            <w:textDirection w:val="lrTb"/>
            <w:vAlign w:val="bottom"/>
          </w:tcPr>
          <w:p w:rsidR="00625A5D" w:rsidRPr="008630DD" w:rsidP="00070AAF">
            <w:pPr>
              <w:bidi w:val="0"/>
              <w:jc w:val="center"/>
              <w:rPr>
                <w:rFonts w:ascii="Times New Roman" w:hAnsi="Times New Roman"/>
              </w:rPr>
            </w:pPr>
            <w:r>
              <w:rPr>
                <w:rFonts w:ascii="Times New Roman" w:hAnsi="Times New Roman"/>
              </w:rPr>
              <w:t>2</w:t>
            </w:r>
          </w:p>
        </w:tc>
        <w:tc>
          <w:tcPr>
            <w:tcW w:w="1189" w:type="dxa"/>
            <w:tcBorders>
              <w:top w:val="single" w:sz="6" w:space="0" w:color="auto"/>
              <w:left w:val="single" w:sz="6" w:space="0" w:color="auto"/>
              <w:bottom w:val="single" w:sz="12"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0</w:t>
            </w:r>
          </w:p>
        </w:tc>
        <w:tc>
          <w:tcPr>
            <w:tcW w:w="1393" w:type="dxa"/>
            <w:tcBorders>
              <w:top w:val="single" w:sz="6" w:space="0" w:color="auto"/>
              <w:left w:val="single" w:sz="6" w:space="0" w:color="auto"/>
              <w:bottom w:val="single" w:sz="12" w:space="0" w:color="auto"/>
              <w:right w:val="single" w:sz="6" w:space="0" w:color="auto"/>
            </w:tcBorders>
            <w:textDirection w:val="lrTb"/>
            <w:vAlign w:val="bottom"/>
          </w:tcPr>
          <w:p w:rsidR="00625A5D" w:rsidRPr="008630DD" w:rsidP="00070AAF">
            <w:pPr>
              <w:bidi w:val="0"/>
              <w:jc w:val="center"/>
              <w:rPr>
                <w:rFonts w:ascii="Times New Roman" w:hAnsi="Times New Roman"/>
              </w:rPr>
            </w:pPr>
            <w:r w:rsidRPr="008630DD">
              <w:rPr>
                <w:rFonts w:ascii="Times New Roman" w:hAnsi="Times New Roman"/>
              </w:rPr>
              <w:t>0</w:t>
            </w:r>
          </w:p>
        </w:tc>
        <w:tc>
          <w:tcPr>
            <w:tcW w:w="987" w:type="dxa"/>
            <w:tcBorders>
              <w:top w:val="single" w:sz="6" w:space="0" w:color="auto"/>
              <w:left w:val="single" w:sz="6" w:space="0" w:color="auto"/>
              <w:bottom w:val="single" w:sz="12" w:space="0" w:color="auto"/>
              <w:right w:val="single" w:sz="12" w:space="0" w:color="auto"/>
            </w:tcBorders>
            <w:shd w:val="clear" w:color="auto" w:fill="E0E0E0"/>
            <w:textDirection w:val="lrTb"/>
            <w:vAlign w:val="bottom"/>
          </w:tcPr>
          <w:p w:rsidR="00625A5D" w:rsidRPr="008630DD" w:rsidP="00070AAF">
            <w:pPr>
              <w:bidi w:val="0"/>
              <w:jc w:val="center"/>
              <w:rPr>
                <w:rFonts w:ascii="Times New Roman" w:hAnsi="Times New Roman"/>
                <w:b/>
              </w:rPr>
            </w:pPr>
            <w:r w:rsidR="00694789">
              <w:rPr>
                <w:rFonts w:ascii="Times New Roman" w:hAnsi="Times New Roman"/>
                <w:b/>
              </w:rPr>
              <w:t>3</w:t>
            </w:r>
          </w:p>
        </w:tc>
      </w:tr>
      <w:tr>
        <w:tblPrEx>
          <w:tblW w:w="9065" w:type="dxa"/>
          <w:jc w:val="center"/>
          <w:tblInd w:w="12" w:type="dxa"/>
          <w:tblLayout w:type="fixed"/>
          <w:tblCellMar>
            <w:left w:w="0" w:type="dxa"/>
            <w:right w:w="0" w:type="dxa"/>
          </w:tblCellMar>
        </w:tblPrEx>
        <w:trPr>
          <w:trHeight w:val="403"/>
          <w:jc w:val="center"/>
        </w:trPr>
        <w:tc>
          <w:tcPr>
            <w:tcW w:w="3117" w:type="dxa"/>
            <w:tcBorders>
              <w:top w:val="single" w:sz="12" w:space="0" w:color="auto"/>
              <w:left w:val="single" w:sz="12" w:space="0" w:color="auto"/>
              <w:bottom w:val="single" w:sz="12" w:space="0" w:color="auto"/>
              <w:right w:val="single" w:sz="6" w:space="0" w:color="auto"/>
            </w:tcBorders>
            <w:shd w:val="clear" w:color="auto" w:fill="E0E0E0"/>
            <w:textDirection w:val="lrTb"/>
            <w:vAlign w:val="center"/>
          </w:tcPr>
          <w:p w:rsidR="00625A5D" w:rsidRPr="008630DD" w:rsidP="006F0F0A">
            <w:pPr>
              <w:pStyle w:val="Footer"/>
              <w:tabs>
                <w:tab w:val="clear" w:pos="4153"/>
                <w:tab w:val="clear" w:pos="8306"/>
              </w:tabs>
              <w:bidi w:val="0"/>
              <w:jc w:val="center"/>
              <w:rPr>
                <w:rFonts w:ascii="Times New Roman" w:hAnsi="Times New Roman"/>
                <w:bCs/>
              </w:rPr>
            </w:pPr>
            <w:r w:rsidRPr="008630DD">
              <w:rPr>
                <w:rFonts w:ascii="Times New Roman" w:hAnsi="Times New Roman"/>
                <w:bCs/>
              </w:rPr>
              <w:t>Spolu</w:t>
            </w:r>
          </w:p>
        </w:tc>
        <w:tc>
          <w:tcPr>
            <w:tcW w:w="1189"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070AAF">
            <w:pPr>
              <w:bidi w:val="0"/>
              <w:jc w:val="center"/>
              <w:rPr>
                <w:rFonts w:ascii="Times New Roman" w:hAnsi="Times New Roman"/>
                <w:b/>
              </w:rPr>
            </w:pPr>
            <w:r w:rsidR="00694789">
              <w:rPr>
                <w:rFonts w:ascii="Times New Roman" w:hAnsi="Times New Roman"/>
                <w:b/>
              </w:rPr>
              <w:t>19</w:t>
            </w:r>
          </w:p>
        </w:tc>
        <w:tc>
          <w:tcPr>
            <w:tcW w:w="1190"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070AAF">
            <w:pPr>
              <w:bidi w:val="0"/>
              <w:jc w:val="center"/>
              <w:rPr>
                <w:rFonts w:ascii="Times New Roman" w:hAnsi="Times New Roman"/>
                <w:b/>
              </w:rPr>
            </w:pPr>
            <w:r w:rsidR="00694789">
              <w:rPr>
                <w:rFonts w:ascii="Times New Roman" w:hAnsi="Times New Roman"/>
                <w:b/>
              </w:rPr>
              <w:t>106</w:t>
            </w:r>
          </w:p>
        </w:tc>
        <w:tc>
          <w:tcPr>
            <w:tcW w:w="1189"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94789">
            <w:pPr>
              <w:bidi w:val="0"/>
              <w:jc w:val="center"/>
              <w:rPr>
                <w:rFonts w:ascii="Times New Roman" w:hAnsi="Times New Roman"/>
                <w:b/>
              </w:rPr>
            </w:pPr>
            <w:r w:rsidRPr="008630DD">
              <w:rPr>
                <w:rFonts w:ascii="Times New Roman" w:hAnsi="Times New Roman"/>
                <w:b/>
              </w:rPr>
              <w:t>1</w:t>
            </w:r>
            <w:r w:rsidR="00694789">
              <w:rPr>
                <w:rFonts w:ascii="Times New Roman" w:hAnsi="Times New Roman"/>
                <w:b/>
              </w:rPr>
              <w:t>3</w:t>
            </w:r>
          </w:p>
        </w:tc>
        <w:tc>
          <w:tcPr>
            <w:tcW w:w="1393" w:type="dxa"/>
            <w:tcBorders>
              <w:top w:val="single" w:sz="12" w:space="0" w:color="auto"/>
              <w:left w:val="single" w:sz="6" w:space="0" w:color="auto"/>
              <w:bottom w:val="single" w:sz="12" w:space="0" w:color="auto"/>
              <w:right w:val="single" w:sz="6" w:space="0" w:color="auto"/>
            </w:tcBorders>
            <w:shd w:val="clear" w:color="auto" w:fill="E0E0E0"/>
            <w:textDirection w:val="lrTb"/>
            <w:vAlign w:val="center"/>
          </w:tcPr>
          <w:p w:rsidR="00625A5D" w:rsidRPr="008630DD" w:rsidP="00694789">
            <w:pPr>
              <w:bidi w:val="0"/>
              <w:jc w:val="center"/>
              <w:rPr>
                <w:rFonts w:ascii="Times New Roman" w:hAnsi="Times New Roman"/>
                <w:b/>
              </w:rPr>
            </w:pPr>
            <w:r>
              <w:rPr>
                <w:rFonts w:ascii="Times New Roman" w:hAnsi="Times New Roman"/>
                <w:b/>
              </w:rPr>
              <w:t>3</w:t>
            </w:r>
            <w:r w:rsidR="00694789">
              <w:rPr>
                <w:rFonts w:ascii="Times New Roman" w:hAnsi="Times New Roman"/>
                <w:b/>
              </w:rPr>
              <w:t>0</w:t>
            </w:r>
          </w:p>
        </w:tc>
        <w:tc>
          <w:tcPr>
            <w:tcW w:w="987" w:type="dxa"/>
            <w:tcBorders>
              <w:top w:val="single" w:sz="12" w:space="0" w:color="auto"/>
              <w:left w:val="single" w:sz="6" w:space="0" w:color="auto"/>
              <w:bottom w:val="single" w:sz="12" w:space="0" w:color="auto"/>
              <w:right w:val="single" w:sz="12" w:space="0" w:color="auto"/>
            </w:tcBorders>
            <w:shd w:val="clear" w:color="auto" w:fill="E0E0E0"/>
            <w:textDirection w:val="lrTb"/>
            <w:vAlign w:val="center"/>
          </w:tcPr>
          <w:p w:rsidR="00625A5D" w:rsidRPr="008630DD" w:rsidP="00694789">
            <w:pPr>
              <w:pStyle w:val="T1"/>
              <w:bidi w:val="0"/>
              <w:spacing w:before="0" w:after="0"/>
              <w:rPr>
                <w:rFonts w:ascii="Times New Roman" w:hAnsi="Times New Roman"/>
              </w:rPr>
            </w:pPr>
            <w:r>
              <w:rPr>
                <w:rFonts w:ascii="Times New Roman" w:hAnsi="Times New Roman"/>
              </w:rPr>
              <w:t>1</w:t>
            </w:r>
            <w:r w:rsidR="00694789">
              <w:rPr>
                <w:rFonts w:ascii="Times New Roman" w:hAnsi="Times New Roman"/>
              </w:rPr>
              <w:t>68</w:t>
            </w:r>
          </w:p>
        </w:tc>
      </w:tr>
    </w:tbl>
    <w:p w:rsidR="00625A5D" w:rsidP="00625A5D">
      <w:pPr>
        <w:bidi w:val="0"/>
        <w:ind w:left="1080"/>
        <w:rPr>
          <w:rFonts w:ascii="Times New Roman" w:hAnsi="Times New Roman"/>
        </w:rPr>
      </w:pPr>
    </w:p>
    <w:p w:rsidR="00877FEB" w:rsidP="00625A5D">
      <w:pPr>
        <w:bidi w:val="0"/>
        <w:ind w:left="1080"/>
        <w:rPr>
          <w:rFonts w:ascii="Times New Roman" w:hAnsi="Times New Roman"/>
        </w:rPr>
      </w:pPr>
    </w:p>
    <w:p w:rsidR="00625A5D" w:rsidRPr="00BE478D" w:rsidP="002941F6">
      <w:pPr>
        <w:pStyle w:val="Heading3"/>
        <w:tabs>
          <w:tab w:val="num" w:pos="709"/>
          <w:tab w:val="clear" w:pos="1004"/>
        </w:tabs>
        <w:bidi w:val="0"/>
        <w:ind w:left="357" w:hanging="357"/>
        <w:rPr>
          <w:rFonts w:ascii="Times New Roman" w:hAnsi="Times New Roman"/>
        </w:rPr>
      </w:pPr>
      <w:bookmarkStart w:id="27" w:name="_Toc158112584"/>
      <w:bookmarkStart w:id="28" w:name="_Toc162317353"/>
      <w:bookmarkStart w:id="29" w:name="_Toc224458810"/>
      <w:bookmarkStart w:id="30" w:name="_Toc285032442"/>
      <w:bookmarkStart w:id="31" w:name="_Toc320719714"/>
      <w:r w:rsidRPr="00BE478D">
        <w:rPr>
          <w:rFonts w:ascii="Times New Roman" w:hAnsi="Times New Roman"/>
        </w:rPr>
        <w:t>Vynucovanie práva</w:t>
      </w:r>
      <w:bookmarkEnd w:id="27"/>
      <w:bookmarkEnd w:id="28"/>
      <w:bookmarkEnd w:id="29"/>
      <w:bookmarkEnd w:id="30"/>
      <w:bookmarkEnd w:id="31"/>
    </w:p>
    <w:p w:rsidR="00196C31" w:rsidP="00694789">
      <w:pPr>
        <w:autoSpaceDE w:val="0"/>
        <w:autoSpaceDN w:val="0"/>
        <w:bidi w:val="0"/>
        <w:adjustRightInd w:val="0"/>
        <w:jc w:val="both"/>
        <w:rPr>
          <w:rFonts w:ascii="Times New Roman" w:hAnsi="Times New Roman"/>
          <w:szCs w:val="18"/>
        </w:rPr>
      </w:pPr>
      <w:r>
        <w:rPr>
          <w:rFonts w:ascii="Times New Roman" w:hAnsi="Times New Roman"/>
          <w:szCs w:val="18"/>
        </w:rPr>
        <w:t xml:space="preserve">V prípade, že inšpekčná činnosť preukáže nedostatky v niektorej z dozorovaných oblastí, v protokole z inšpekcie sa držiteľovi povolenia nariadi odstránenie nedostatkov s termínmi ich plnenia. Držiteľ povolenia je potom povinný oznámiť ÚJD SR spôsob a termín odstránenia nedostatku. </w:t>
      </w:r>
    </w:p>
    <w:p w:rsidR="00196C31" w:rsidP="00694789">
      <w:pPr>
        <w:autoSpaceDE w:val="0"/>
        <w:autoSpaceDN w:val="0"/>
        <w:bidi w:val="0"/>
        <w:adjustRightInd w:val="0"/>
        <w:jc w:val="both"/>
        <w:rPr>
          <w:rFonts w:ascii="Times New Roman" w:hAnsi="Times New Roman"/>
          <w:szCs w:val="18"/>
        </w:rPr>
      </w:pPr>
      <w:r>
        <w:rPr>
          <w:rFonts w:ascii="Times New Roman" w:hAnsi="Times New Roman"/>
          <w:szCs w:val="18"/>
        </w:rPr>
        <w:t xml:space="preserve">Ak dozorovaný subjekt opatrenia neplní, ako aj v prípade vážneho porušenia legislatívnych požiadaviek alebo schválenej dokumentácie, môže ÚJD SR začať správne konanie, ktorého výsledkom môže byť: </w:t>
      </w:r>
    </w:p>
    <w:p w:rsidR="00196C31" w:rsidP="00E700F5">
      <w:pPr>
        <w:numPr>
          <w:numId w:val="10"/>
        </w:numPr>
        <w:autoSpaceDE w:val="0"/>
        <w:autoSpaceDN w:val="0"/>
        <w:bidi w:val="0"/>
        <w:adjustRightInd w:val="0"/>
        <w:jc w:val="both"/>
        <w:rPr>
          <w:rFonts w:ascii="Times New Roman" w:hAnsi="Times New Roman"/>
          <w:szCs w:val="18"/>
        </w:rPr>
      </w:pPr>
      <w:r>
        <w:rPr>
          <w:rFonts w:ascii="Times New Roman" w:hAnsi="Times New Roman"/>
          <w:szCs w:val="18"/>
        </w:rPr>
        <w:t>zníženie výkonu alebo pozastavenie prevádzky JZ,</w:t>
      </w:r>
    </w:p>
    <w:p w:rsidR="00196C31" w:rsidRPr="00BC3877" w:rsidP="00E700F5">
      <w:pPr>
        <w:numPr>
          <w:numId w:val="10"/>
        </w:numPr>
        <w:autoSpaceDE w:val="0"/>
        <w:autoSpaceDN w:val="0"/>
        <w:bidi w:val="0"/>
        <w:adjustRightInd w:val="0"/>
        <w:jc w:val="both"/>
        <w:rPr>
          <w:rFonts w:ascii="Times New Roman" w:hAnsi="Times New Roman"/>
          <w:szCs w:val="18"/>
        </w:rPr>
      </w:pPr>
      <w:r>
        <w:rPr>
          <w:rFonts w:ascii="Times New Roman" w:hAnsi="Times New Roman"/>
          <w:szCs w:val="18"/>
        </w:rPr>
        <w:t xml:space="preserve">uloženie pokuty, </w:t>
      </w:r>
    </w:p>
    <w:p w:rsidR="00196C31" w:rsidP="00E700F5">
      <w:pPr>
        <w:numPr>
          <w:numId w:val="10"/>
        </w:numPr>
        <w:autoSpaceDE w:val="0"/>
        <w:autoSpaceDN w:val="0"/>
        <w:bidi w:val="0"/>
        <w:adjustRightInd w:val="0"/>
        <w:jc w:val="both"/>
        <w:rPr>
          <w:rFonts w:ascii="Times New Roman" w:hAnsi="Times New Roman"/>
          <w:szCs w:val="18"/>
        </w:rPr>
      </w:pPr>
      <w:r>
        <w:rPr>
          <w:rFonts w:ascii="Times New Roman" w:hAnsi="Times New Roman"/>
          <w:szCs w:val="18"/>
        </w:rPr>
        <w:t>odobratie povolenia alebo súhlasu,</w:t>
      </w:r>
    </w:p>
    <w:p w:rsidR="00196C31" w:rsidP="00E700F5">
      <w:pPr>
        <w:numPr>
          <w:numId w:val="10"/>
        </w:numPr>
        <w:autoSpaceDE w:val="0"/>
        <w:autoSpaceDN w:val="0"/>
        <w:bidi w:val="0"/>
        <w:adjustRightInd w:val="0"/>
        <w:jc w:val="both"/>
        <w:rPr>
          <w:rFonts w:ascii="Times New Roman" w:hAnsi="Times New Roman"/>
          <w:szCs w:val="18"/>
        </w:rPr>
      </w:pPr>
      <w:r>
        <w:rPr>
          <w:rFonts w:ascii="Times New Roman" w:hAnsi="Times New Roman"/>
          <w:szCs w:val="18"/>
        </w:rPr>
        <w:t>odobratie preukazu odbornej spôsobilosti.</w:t>
      </w:r>
    </w:p>
    <w:p w:rsidR="00196C31" w:rsidP="00694789">
      <w:pPr>
        <w:autoSpaceDE w:val="0"/>
        <w:autoSpaceDN w:val="0"/>
        <w:bidi w:val="0"/>
        <w:adjustRightInd w:val="0"/>
        <w:jc w:val="both"/>
        <w:rPr>
          <w:rFonts w:ascii="Times New Roman" w:hAnsi="Times New Roman"/>
          <w:szCs w:val="18"/>
        </w:rPr>
      </w:pPr>
    </w:p>
    <w:p w:rsidR="00196C31" w:rsidRPr="009617B4" w:rsidP="00694789">
      <w:pPr>
        <w:autoSpaceDE w:val="0"/>
        <w:autoSpaceDN w:val="0"/>
        <w:bidi w:val="0"/>
        <w:adjustRightInd w:val="0"/>
        <w:jc w:val="both"/>
        <w:rPr>
          <w:rFonts w:ascii="Times New Roman" w:hAnsi="Times New Roman"/>
          <w:szCs w:val="18"/>
        </w:rPr>
      </w:pPr>
      <w:r w:rsidRPr="009617B4">
        <w:rPr>
          <w:rFonts w:ascii="Times New Roman" w:hAnsi="Times New Roman"/>
          <w:szCs w:val="18"/>
        </w:rPr>
        <w:t>Ú</w:t>
      </w:r>
      <w:r w:rsidR="005E7ED4">
        <w:rPr>
          <w:rFonts w:ascii="Times New Roman" w:hAnsi="Times New Roman"/>
          <w:szCs w:val="18"/>
        </w:rPr>
        <w:t>JD S</w:t>
      </w:r>
      <w:r w:rsidRPr="009617B4">
        <w:rPr>
          <w:rFonts w:ascii="Times New Roman" w:hAnsi="Times New Roman"/>
          <w:szCs w:val="18"/>
        </w:rPr>
        <w:t xml:space="preserve">R na základe svojej kontrolnej a inšpekčnej činnosti u prevádzkovateľa </w:t>
      </w:r>
      <w:r w:rsidR="005E7ED4">
        <w:rPr>
          <w:rFonts w:ascii="Times New Roman" w:hAnsi="Times New Roman"/>
          <w:szCs w:val="18"/>
        </w:rPr>
        <w:t>AE</w:t>
      </w:r>
      <w:r w:rsidRPr="009617B4">
        <w:rPr>
          <w:rFonts w:ascii="Times New Roman" w:hAnsi="Times New Roman"/>
          <w:szCs w:val="18"/>
        </w:rPr>
        <w:t xml:space="preserve"> Mochovce zistil, že bol porušený atómový zákon a z neho vyplývajúce povinnosti. Ú</w:t>
      </w:r>
      <w:r w:rsidR="005E7ED4">
        <w:rPr>
          <w:rFonts w:ascii="Times New Roman" w:hAnsi="Times New Roman"/>
          <w:szCs w:val="18"/>
        </w:rPr>
        <w:t>JD SR</w:t>
      </w:r>
      <w:r w:rsidRPr="009617B4">
        <w:rPr>
          <w:rFonts w:ascii="Times New Roman" w:hAnsi="Times New Roman"/>
          <w:szCs w:val="18"/>
        </w:rPr>
        <w:t xml:space="preserve"> začal </w:t>
      </w:r>
      <w:r w:rsidR="003B7121">
        <w:rPr>
          <w:rFonts w:ascii="Times New Roman" w:hAnsi="Times New Roman"/>
          <w:szCs w:val="18"/>
        </w:rPr>
        <w:t xml:space="preserve">v roku 2011 </w:t>
      </w:r>
      <w:r w:rsidRPr="009617B4">
        <w:rPr>
          <w:rFonts w:ascii="Times New Roman" w:hAnsi="Times New Roman"/>
          <w:szCs w:val="18"/>
        </w:rPr>
        <w:t>voči S</w:t>
      </w:r>
      <w:r w:rsidR="006C5409">
        <w:rPr>
          <w:rFonts w:ascii="Times New Roman" w:hAnsi="Times New Roman"/>
          <w:szCs w:val="18"/>
        </w:rPr>
        <w:t>E</w:t>
      </w:r>
      <w:r w:rsidRPr="009617B4">
        <w:rPr>
          <w:rFonts w:ascii="Times New Roman" w:hAnsi="Times New Roman"/>
          <w:szCs w:val="18"/>
        </w:rPr>
        <w:t>, a.</w:t>
      </w:r>
      <w:r w:rsidR="003B7121">
        <w:rPr>
          <w:rFonts w:ascii="Times New Roman" w:hAnsi="Times New Roman"/>
          <w:szCs w:val="18"/>
        </w:rPr>
        <w:t> </w:t>
      </w:r>
      <w:r w:rsidRPr="009617B4">
        <w:rPr>
          <w:rFonts w:ascii="Times New Roman" w:hAnsi="Times New Roman"/>
          <w:szCs w:val="18"/>
        </w:rPr>
        <w:t>s. dve správne konania, ktorých výsledkom bolo uloženie pokút.</w:t>
      </w:r>
    </w:p>
    <w:p w:rsidR="00196C31" w:rsidRPr="009617B4" w:rsidP="00694789">
      <w:pPr>
        <w:autoSpaceDE w:val="0"/>
        <w:autoSpaceDN w:val="0"/>
        <w:bidi w:val="0"/>
        <w:adjustRightInd w:val="0"/>
        <w:jc w:val="both"/>
        <w:rPr>
          <w:rFonts w:ascii="Times New Roman" w:hAnsi="Times New Roman"/>
          <w:szCs w:val="18"/>
        </w:rPr>
      </w:pPr>
    </w:p>
    <w:p w:rsidR="00196C31" w:rsidP="00694789">
      <w:pPr>
        <w:autoSpaceDE w:val="0"/>
        <w:autoSpaceDN w:val="0"/>
        <w:bidi w:val="0"/>
        <w:adjustRightInd w:val="0"/>
        <w:jc w:val="both"/>
        <w:rPr>
          <w:rFonts w:ascii="Times New Roman" w:hAnsi="Times New Roman"/>
          <w:szCs w:val="18"/>
        </w:rPr>
      </w:pPr>
      <w:r w:rsidRPr="009617B4">
        <w:rPr>
          <w:rFonts w:ascii="Times New Roman" w:hAnsi="Times New Roman"/>
          <w:szCs w:val="18"/>
        </w:rPr>
        <w:t xml:space="preserve">V prvom prípade bola sankcia </w:t>
      </w:r>
      <w:r w:rsidR="003B7121">
        <w:rPr>
          <w:rFonts w:ascii="Times New Roman" w:hAnsi="Times New Roman"/>
          <w:szCs w:val="18"/>
        </w:rPr>
        <w:t xml:space="preserve">stanovená </w:t>
      </w:r>
      <w:r w:rsidRPr="009617B4">
        <w:rPr>
          <w:rFonts w:ascii="Times New Roman" w:hAnsi="Times New Roman"/>
          <w:szCs w:val="18"/>
        </w:rPr>
        <w:t>rozhodnut</w:t>
      </w:r>
      <w:r>
        <w:rPr>
          <w:rFonts w:ascii="Times New Roman" w:hAnsi="Times New Roman"/>
          <w:szCs w:val="18"/>
        </w:rPr>
        <w:t>ím</w:t>
      </w:r>
      <w:r w:rsidRPr="009617B4">
        <w:rPr>
          <w:rFonts w:ascii="Times New Roman" w:hAnsi="Times New Roman"/>
          <w:szCs w:val="18"/>
        </w:rPr>
        <w:t xml:space="preserve"> č.</w:t>
      </w:r>
      <w:r w:rsidR="006C5409">
        <w:rPr>
          <w:rFonts w:ascii="Times New Roman" w:hAnsi="Times New Roman"/>
          <w:szCs w:val="18"/>
        </w:rPr>
        <w:t> </w:t>
      </w:r>
      <w:r w:rsidRPr="009617B4">
        <w:rPr>
          <w:rFonts w:ascii="Times New Roman" w:hAnsi="Times New Roman"/>
          <w:szCs w:val="18"/>
        </w:rPr>
        <w:t>32/2011 o uložení pokuty za neplnenie opatrení z protokolu z inšpekcie v oblasti prípravy personálu. Druhá pokuta vyrubená rozhodnutím č.</w:t>
      </w:r>
      <w:r w:rsidR="006C5409">
        <w:rPr>
          <w:rFonts w:ascii="Times New Roman" w:hAnsi="Times New Roman"/>
          <w:szCs w:val="18"/>
        </w:rPr>
        <w:t> </w:t>
      </w:r>
      <w:r w:rsidRPr="009617B4">
        <w:rPr>
          <w:rFonts w:ascii="Times New Roman" w:hAnsi="Times New Roman"/>
          <w:szCs w:val="18"/>
        </w:rPr>
        <w:t xml:space="preserve">66/2011 sa týkala nedodržania posúdenej a schválenej dokumentácie a vykonanie zmeny na vybranom zariadení bez súhlasu </w:t>
      </w:r>
      <w:r w:rsidR="005E7ED4">
        <w:rPr>
          <w:rFonts w:ascii="Times New Roman" w:hAnsi="Times New Roman"/>
          <w:szCs w:val="18"/>
        </w:rPr>
        <w:t>ÚJD SR</w:t>
      </w:r>
      <w:r w:rsidRPr="009617B4">
        <w:rPr>
          <w:rFonts w:ascii="Times New Roman" w:hAnsi="Times New Roman"/>
          <w:szCs w:val="18"/>
        </w:rPr>
        <w:t xml:space="preserve">. </w:t>
      </w:r>
    </w:p>
    <w:p w:rsidR="0045328B" w:rsidP="00625A5D">
      <w:pPr>
        <w:autoSpaceDE w:val="0"/>
        <w:autoSpaceDN w:val="0"/>
        <w:bidi w:val="0"/>
        <w:adjustRightInd w:val="0"/>
        <w:jc w:val="both"/>
        <w:rPr>
          <w:rFonts w:ascii="Times New Roman" w:hAnsi="Times New Roman"/>
          <w:szCs w:val="18"/>
        </w:rPr>
      </w:pPr>
    </w:p>
    <w:p w:rsidR="003D2AF3" w:rsidRPr="003D2AF3" w:rsidP="003D2AF3">
      <w:pPr>
        <w:pStyle w:val="Heading2"/>
        <w:tabs>
          <w:tab w:val="num" w:pos="0"/>
        </w:tabs>
        <w:bidi w:val="0"/>
        <w:ind w:left="0" w:firstLine="11"/>
        <w:rPr>
          <w:rFonts w:ascii="Times New Roman" w:hAnsi="Times New Roman"/>
        </w:rPr>
      </w:pPr>
      <w:bookmarkStart w:id="32" w:name="_Toc158112585"/>
      <w:bookmarkStart w:id="33" w:name="_Toc162317354"/>
      <w:bookmarkStart w:id="34" w:name="_Toc285032443"/>
      <w:bookmarkStart w:id="35" w:name="_Toc320719715"/>
      <w:r w:rsidRPr="00BE478D" w:rsidR="0045328B">
        <w:rPr>
          <w:rFonts w:ascii="Times New Roman" w:hAnsi="Times New Roman"/>
        </w:rPr>
        <w:t>Hodnotenie stavu jadrovej bezpečnosti na AE a JZ v Slovenskej republik</w:t>
      </w:r>
      <w:r w:rsidR="0045328B">
        <w:rPr>
          <w:rFonts w:ascii="Times New Roman" w:hAnsi="Times New Roman"/>
        </w:rPr>
        <w:t>e</w:t>
      </w:r>
      <w:bookmarkEnd w:id="32"/>
      <w:bookmarkEnd w:id="33"/>
      <w:bookmarkEnd w:id="34"/>
      <w:bookmarkEnd w:id="35"/>
    </w:p>
    <w:p w:rsidR="00903499" w:rsidRPr="00BE478D" w:rsidP="002941F6">
      <w:pPr>
        <w:pStyle w:val="Heading3"/>
        <w:tabs>
          <w:tab w:val="num" w:pos="709"/>
          <w:tab w:val="clear" w:pos="1004"/>
        </w:tabs>
        <w:bidi w:val="0"/>
        <w:ind w:left="357" w:hanging="357"/>
        <w:rPr>
          <w:rFonts w:ascii="Times New Roman" w:hAnsi="Times New Roman"/>
        </w:rPr>
      </w:pPr>
      <w:bookmarkStart w:id="36" w:name="_Toc132187134"/>
      <w:bookmarkStart w:id="37" w:name="_Toc158112586"/>
      <w:bookmarkStart w:id="38" w:name="_Toc162317355"/>
      <w:bookmarkStart w:id="39" w:name="_Toc285032444"/>
      <w:bookmarkStart w:id="40" w:name="_Toc320719716"/>
      <w:r w:rsidRPr="00BE478D" w:rsidR="0045328B">
        <w:rPr>
          <w:rFonts w:ascii="Times New Roman" w:hAnsi="Times New Roman"/>
        </w:rPr>
        <w:t>Atómové elektrárne</w:t>
      </w:r>
      <w:bookmarkEnd w:id="40"/>
      <w:r w:rsidRPr="00BE478D" w:rsidR="0045328B">
        <w:rPr>
          <w:rFonts w:ascii="Times New Roman" w:hAnsi="Times New Roman"/>
        </w:rPr>
        <w:t xml:space="preserve"> </w:t>
      </w:r>
      <w:bookmarkStart w:id="41" w:name="_Toc158112587"/>
      <w:bookmarkStart w:id="42" w:name="_Toc162317356"/>
      <w:bookmarkStart w:id="43" w:name="_Toc285032445"/>
      <w:bookmarkEnd w:id="36"/>
      <w:bookmarkEnd w:id="37"/>
      <w:bookmarkEnd w:id="38"/>
      <w:bookmarkEnd w:id="39"/>
    </w:p>
    <w:p w:rsidR="0045328B" w:rsidRPr="00BE478D" w:rsidP="00BE478D">
      <w:pPr>
        <w:pStyle w:val="Heading4"/>
        <w:bidi w:val="0"/>
        <w:ind w:left="0" w:firstLine="0"/>
        <w:rPr>
          <w:rFonts w:ascii="Times New Roman" w:hAnsi="Times New Roman"/>
        </w:rPr>
      </w:pPr>
      <w:bookmarkStart w:id="44" w:name="_Toc320719717"/>
      <w:r w:rsidR="00BE478D">
        <w:rPr>
          <w:rFonts w:ascii="Times New Roman" w:hAnsi="Times New Roman"/>
        </w:rPr>
        <w:t xml:space="preserve"> </w:t>
      </w:r>
      <w:r w:rsidRPr="00BE478D">
        <w:rPr>
          <w:rFonts w:ascii="Times New Roman" w:hAnsi="Times New Roman"/>
        </w:rPr>
        <w:t>Prevádzkované atómové elektrárne</w:t>
      </w:r>
      <w:bookmarkEnd w:id="41"/>
      <w:bookmarkEnd w:id="42"/>
      <w:bookmarkEnd w:id="43"/>
      <w:bookmarkEnd w:id="44"/>
      <w:r w:rsidRPr="00BE478D">
        <w:rPr>
          <w:rFonts w:ascii="Times New Roman" w:hAnsi="Times New Roman"/>
        </w:rPr>
        <w:t xml:space="preserve"> </w:t>
      </w:r>
    </w:p>
    <w:p w:rsidR="005E7ED4" w:rsidP="005E7ED4">
      <w:pPr>
        <w:pStyle w:val="BodyText"/>
        <w:suppressLineNumbers/>
        <w:bidi w:val="0"/>
        <w:rPr>
          <w:rFonts w:ascii="Times New Roman" w:hAnsi="Times New Roman"/>
          <w:lang w:val="sk-SK"/>
        </w:rPr>
      </w:pPr>
      <w:bookmarkStart w:id="45" w:name="_Ref130554771"/>
      <w:bookmarkStart w:id="46" w:name="_Ref130554760"/>
      <w:r>
        <w:rPr>
          <w:rFonts w:ascii="Times New Roman" w:hAnsi="Times New Roman"/>
        </w:rPr>
        <w:t xml:space="preserve">V SR boli v roku 2011v komerčnej prevádzke 4 bloky AE. Dva v lokalite Mochovce a dva v lokalite Bohunice. </w:t>
      </w:r>
    </w:p>
    <w:p w:rsidR="002E32CA" w:rsidP="005E7ED4">
      <w:pPr>
        <w:pStyle w:val="BodyText"/>
        <w:suppressLineNumbers/>
        <w:bidi w:val="0"/>
        <w:rPr>
          <w:rFonts w:ascii="Times New Roman" w:hAnsi="Times New Roman"/>
          <w:lang w:val="sk-SK"/>
        </w:rPr>
      </w:pPr>
    </w:p>
    <w:p w:rsidR="00625A5D" w:rsidP="00FF2697">
      <w:pPr>
        <w:pStyle w:val="Heading5"/>
        <w:suppressLineNumbers/>
        <w:bidi w:val="0"/>
        <w:jc w:val="left"/>
        <w:rPr>
          <w:rFonts w:ascii="Times New Roman" w:hAnsi="Times New Roman"/>
          <w:i/>
          <w:iCs/>
          <w:sz w:val="24"/>
        </w:rPr>
      </w:pPr>
      <w:bookmarkEnd w:id="45"/>
      <w:bookmarkEnd w:id="46"/>
      <w:r w:rsidR="00A36751">
        <w:rPr>
          <w:rFonts w:ascii="Times New Roman" w:hAnsi="Times New Roman"/>
          <w:i/>
          <w:iCs/>
          <w:sz w:val="24"/>
        </w:rPr>
        <w:t>a</w:t>
      </w:r>
      <w:r>
        <w:rPr>
          <w:rFonts w:ascii="Times New Roman" w:hAnsi="Times New Roman"/>
          <w:i/>
          <w:iCs/>
          <w:sz w:val="24"/>
        </w:rPr>
        <w:t>)</w:t>
      </w:r>
      <w:r w:rsidR="003D2AF3">
        <w:rPr>
          <w:rFonts w:ascii="Times New Roman" w:hAnsi="Times New Roman"/>
          <w:i/>
          <w:iCs/>
          <w:sz w:val="24"/>
        </w:rPr>
        <w:t xml:space="preserve"> </w:t>
      </w:r>
      <w:r>
        <w:rPr>
          <w:rFonts w:ascii="Times New Roman" w:hAnsi="Times New Roman"/>
          <w:i/>
          <w:iCs/>
          <w:sz w:val="24"/>
        </w:rPr>
        <w:t>Atómov</w:t>
      </w:r>
      <w:r w:rsidR="00D95E1F">
        <w:rPr>
          <w:rFonts w:ascii="Times New Roman" w:hAnsi="Times New Roman"/>
          <w:i/>
          <w:iCs/>
          <w:sz w:val="24"/>
        </w:rPr>
        <w:t>é</w:t>
      </w:r>
      <w:r>
        <w:rPr>
          <w:rFonts w:ascii="Times New Roman" w:hAnsi="Times New Roman"/>
          <w:i/>
          <w:iCs/>
          <w:sz w:val="24"/>
        </w:rPr>
        <w:t xml:space="preserve"> elektrár</w:t>
      </w:r>
      <w:r w:rsidR="00D95E1F">
        <w:rPr>
          <w:rFonts w:ascii="Times New Roman" w:hAnsi="Times New Roman"/>
          <w:i/>
          <w:iCs/>
          <w:sz w:val="24"/>
        </w:rPr>
        <w:t>ne</w:t>
      </w:r>
      <w:r>
        <w:rPr>
          <w:rFonts w:ascii="Times New Roman" w:hAnsi="Times New Roman"/>
          <w:i/>
          <w:iCs/>
          <w:sz w:val="24"/>
        </w:rPr>
        <w:t xml:space="preserve"> </w:t>
      </w:r>
      <w:r w:rsidR="00FF2697">
        <w:rPr>
          <w:rFonts w:ascii="Times New Roman" w:hAnsi="Times New Roman"/>
          <w:i/>
          <w:iCs/>
          <w:sz w:val="24"/>
        </w:rPr>
        <w:t xml:space="preserve">Bohunice </w:t>
      </w:r>
      <w:r>
        <w:rPr>
          <w:rFonts w:ascii="Times New Roman" w:hAnsi="Times New Roman"/>
          <w:i/>
          <w:iCs/>
          <w:sz w:val="24"/>
        </w:rPr>
        <w:t>V-2</w:t>
      </w:r>
      <w:r>
        <w:rPr>
          <w:rFonts w:ascii="Times New Roman" w:hAnsi="Times New Roman"/>
        </w:rPr>
        <w:t xml:space="preserve"> </w:t>
      </w:r>
    </w:p>
    <w:p w:rsidR="001D5587" w:rsidRPr="001D5587" w:rsidP="00A36751">
      <w:pPr>
        <w:pStyle w:val="BodyText"/>
        <w:suppressLineNumbers/>
        <w:bidi w:val="0"/>
        <w:spacing w:before="100" w:beforeAutospacing="1" w:after="100" w:afterAutospacing="1"/>
        <w:rPr>
          <w:rFonts w:ascii="Times New Roman" w:hAnsi="Times New Roman"/>
          <w:lang w:val="sk-SK"/>
        </w:rPr>
      </w:pPr>
      <w:r w:rsidRPr="009617B4">
        <w:rPr>
          <w:rFonts w:ascii="Times New Roman" w:hAnsi="Times New Roman"/>
        </w:rPr>
        <w:t xml:space="preserve">AE je vybavená </w:t>
      </w:r>
      <w:r w:rsidRPr="00811DE9" w:rsidR="00811DE9">
        <w:rPr>
          <w:rFonts w:ascii="Times New Roman" w:hAnsi="Times New Roman"/>
          <w:lang w:val="sk-SK"/>
        </w:rPr>
        <w:t>hermetickou zónou</w:t>
      </w:r>
      <w:r w:rsidRPr="009617B4" w:rsidR="00811DE9">
        <w:rPr>
          <w:rFonts w:ascii="Times New Roman" w:hAnsi="Times New Roman"/>
        </w:rPr>
        <w:t xml:space="preserve"> </w:t>
      </w:r>
      <w:r w:rsidRPr="00811DE9" w:rsidR="003B7121">
        <w:rPr>
          <w:rFonts w:ascii="Times New Roman" w:hAnsi="Times New Roman"/>
          <w:lang w:val="sk-SK"/>
        </w:rPr>
        <w:t>(</w:t>
      </w:r>
      <w:r w:rsidRPr="009617B4" w:rsidR="00811DE9">
        <w:rPr>
          <w:rFonts w:ascii="Times New Roman" w:hAnsi="Times New Roman"/>
        </w:rPr>
        <w:t>kontajnmentom</w:t>
      </w:r>
      <w:r w:rsidRPr="00811DE9" w:rsidR="003B7121">
        <w:rPr>
          <w:rFonts w:ascii="Times New Roman" w:hAnsi="Times New Roman"/>
          <w:lang w:val="sk-SK"/>
        </w:rPr>
        <w:t>)</w:t>
      </w:r>
      <w:r w:rsidRPr="00811DE9">
        <w:rPr>
          <w:rFonts w:ascii="Times New Roman" w:hAnsi="Times New Roman"/>
        </w:rPr>
        <w:t>,</w:t>
      </w:r>
      <w:r w:rsidRPr="009617B4">
        <w:rPr>
          <w:rFonts w:ascii="Times New Roman" w:hAnsi="Times New Roman"/>
        </w:rPr>
        <w:t xml:space="preserve"> schopn</w:t>
      </w:r>
      <w:r w:rsidR="00811DE9">
        <w:rPr>
          <w:rFonts w:ascii="Times New Roman" w:hAnsi="Times New Roman"/>
          <w:lang w:val="sk-SK"/>
        </w:rPr>
        <w:t>ou</w:t>
      </w:r>
      <w:r w:rsidRPr="009617B4">
        <w:rPr>
          <w:rFonts w:ascii="Times New Roman" w:hAnsi="Times New Roman"/>
        </w:rPr>
        <w:t xml:space="preserve"> zvládnuť havárie až do úrovne roztrhnutia hlavného cirkulačného potrubia bez závažných dopadov na obyvateľstvo a životné prostredie</w:t>
      </w:r>
      <w:r>
        <w:rPr>
          <w:rFonts w:ascii="Times New Roman" w:hAnsi="Times New Roman"/>
          <w:lang w:val="sk-SK"/>
        </w:rPr>
        <w:t>.</w:t>
      </w:r>
      <w:r w:rsidRPr="001D5587">
        <w:rPr>
          <w:rFonts w:ascii="Times New Roman" w:hAnsi="Times New Roman"/>
        </w:rPr>
        <w:t xml:space="preserve"> </w:t>
      </w:r>
      <w:r w:rsidRPr="009617B4">
        <w:rPr>
          <w:rFonts w:ascii="Times New Roman" w:hAnsi="Times New Roman"/>
        </w:rPr>
        <w:t>Z pohľadu jadrovej bezpečnosti najvýznamnejšou činnosťou prevádzkovateľa v priebehu roku 2011 bolo pokračovanie projektu realizácie opatrení na zmierňovanie následkov tzv. ťažkých havárií. V tejto oblasti sa ÚJD SR koncentroval na posudzovanie predloženej dokumentácie v oblasti riadenia ťažkých havárií. Realizácia</w:t>
      </w:r>
      <w:r>
        <w:rPr>
          <w:rFonts w:ascii="Times New Roman" w:hAnsi="Times New Roman"/>
          <w:lang w:val="sk-SK"/>
        </w:rPr>
        <w:t xml:space="preserve"> tohto projektu </w:t>
      </w:r>
      <w:r w:rsidRPr="009617B4">
        <w:rPr>
          <w:rFonts w:ascii="Times New Roman" w:hAnsi="Times New Roman"/>
        </w:rPr>
        <w:t>prinesie ďalšie zvýšenie bezpečnosti prevádzky oboch blokov</w:t>
      </w:r>
      <w:r>
        <w:rPr>
          <w:rFonts w:ascii="Times New Roman" w:hAnsi="Times New Roman"/>
          <w:lang w:val="sk-SK"/>
        </w:rPr>
        <w:t xml:space="preserve"> AE Bohunice V-2</w:t>
      </w:r>
      <w:r w:rsidR="00B922C7">
        <w:rPr>
          <w:rFonts w:ascii="Times New Roman" w:hAnsi="Times New Roman"/>
          <w:lang w:val="sk-SK"/>
        </w:rPr>
        <w:t>.</w:t>
      </w:r>
    </w:p>
    <w:p w:rsidR="00A36751" w:rsidRPr="009617B4" w:rsidP="00A16146">
      <w:pPr>
        <w:pStyle w:val="BodyText"/>
        <w:bidi w:val="0"/>
        <w:rPr>
          <w:rFonts w:ascii="Times New Roman" w:hAnsi="Times New Roman"/>
        </w:rPr>
      </w:pPr>
      <w:r w:rsidRPr="009617B4">
        <w:rPr>
          <w:rFonts w:ascii="Times New Roman" w:hAnsi="Times New Roman"/>
        </w:rPr>
        <w:t xml:space="preserve">Obidva bloky AE Bohunice V-2 pracovali v roku 2011 spoľahlivo podľa požiadaviek energetického dispečingu SR. V priebehu roku </w:t>
      </w:r>
      <w:r>
        <w:rPr>
          <w:rFonts w:ascii="Times New Roman" w:hAnsi="Times New Roman"/>
        </w:rPr>
        <w:t>prebiehal</w:t>
      </w:r>
      <w:r w:rsidRPr="009617B4">
        <w:rPr>
          <w:rFonts w:ascii="Times New Roman" w:hAnsi="Times New Roman"/>
        </w:rPr>
        <w:t xml:space="preserve"> štandartný výkon kontrolnej a hodnotiacej činnosti, spojený s každodennou prevádzkou AE. Od roku 2010 sú obidva bloky prevádzkované na zvýšenom tepelnom výkone reaktora 1471 MWt, čo predstavuje zvýšenie o 7% oproti pôvodnému projektovému výkonu. Súčasne </w:t>
      </w:r>
      <w:r>
        <w:rPr>
          <w:rFonts w:ascii="Times New Roman" w:hAnsi="Times New Roman"/>
        </w:rPr>
        <w:t xml:space="preserve">sa </w:t>
      </w:r>
      <w:r w:rsidRPr="009617B4">
        <w:rPr>
          <w:rFonts w:ascii="Times New Roman" w:hAnsi="Times New Roman"/>
        </w:rPr>
        <w:t>zvýš</w:t>
      </w:r>
      <w:r>
        <w:rPr>
          <w:rFonts w:ascii="Times New Roman" w:hAnsi="Times New Roman"/>
        </w:rPr>
        <w:t>il aj</w:t>
      </w:r>
      <w:r w:rsidRPr="009617B4">
        <w:rPr>
          <w:rFonts w:ascii="Times New Roman" w:hAnsi="Times New Roman"/>
        </w:rPr>
        <w:t xml:space="preserve"> elektrick</w:t>
      </w:r>
      <w:r>
        <w:rPr>
          <w:rFonts w:ascii="Times New Roman" w:hAnsi="Times New Roman"/>
        </w:rPr>
        <w:t>ý</w:t>
      </w:r>
      <w:r w:rsidRPr="009617B4">
        <w:rPr>
          <w:rFonts w:ascii="Times New Roman" w:hAnsi="Times New Roman"/>
        </w:rPr>
        <w:t xml:space="preserve"> výkon a to v dôsledku zvýšenia tepelného výkonu </w:t>
      </w:r>
      <w:r w:rsidR="003B7121">
        <w:rPr>
          <w:rFonts w:ascii="Times New Roman" w:hAnsi="Times New Roman"/>
          <w:lang w:val="sk-SK"/>
        </w:rPr>
        <w:t>reaktora</w:t>
      </w:r>
      <w:r w:rsidR="00811DE9">
        <w:rPr>
          <w:rFonts w:ascii="Times New Roman" w:hAnsi="Times New Roman"/>
          <w:lang w:val="sk-SK"/>
        </w:rPr>
        <w:t>,</w:t>
      </w:r>
      <w:r w:rsidR="003B7121">
        <w:rPr>
          <w:rFonts w:ascii="Times New Roman" w:hAnsi="Times New Roman"/>
          <w:lang w:val="sk-SK"/>
        </w:rPr>
        <w:t xml:space="preserve"> ale aj </w:t>
      </w:r>
      <w:r w:rsidRPr="009617B4">
        <w:rPr>
          <w:rFonts w:ascii="Times New Roman" w:hAnsi="Times New Roman"/>
        </w:rPr>
        <w:t>zvýšen</w:t>
      </w:r>
      <w:r w:rsidR="003B7121">
        <w:rPr>
          <w:rFonts w:ascii="Times New Roman" w:hAnsi="Times New Roman"/>
          <w:lang w:val="sk-SK"/>
        </w:rPr>
        <w:t>ím</w:t>
      </w:r>
      <w:r w:rsidRPr="009617B4">
        <w:rPr>
          <w:rFonts w:ascii="Times New Roman" w:hAnsi="Times New Roman"/>
        </w:rPr>
        <w:t xml:space="preserve"> účinnosti sekundárneho okruhu na 500 MWe.</w:t>
      </w:r>
    </w:p>
    <w:p w:rsidR="003B7121" w:rsidP="00A16146">
      <w:pPr>
        <w:bidi w:val="0"/>
        <w:ind w:firstLine="708"/>
        <w:jc w:val="center"/>
        <w:rPr>
          <w:rFonts w:ascii="Times New Roman" w:hAnsi="Times New Roman"/>
        </w:rPr>
      </w:pPr>
    </w:p>
    <w:p w:rsidR="00A36751" w:rsidRPr="00A36751" w:rsidP="00A16146">
      <w:pPr>
        <w:pStyle w:val="BodyText2"/>
        <w:bidi w:val="0"/>
        <w:rPr>
          <w:rFonts w:ascii="Times New Roman" w:hAnsi="Times New Roman"/>
        </w:rPr>
      </w:pPr>
      <w:r w:rsidRPr="00A36751">
        <w:rPr>
          <w:rFonts w:ascii="Times New Roman" w:hAnsi="Times New Roman"/>
        </w:rPr>
        <w:t>Tab. č. 3 Opatrenia realizované do konca rok</w:t>
      </w:r>
      <w:r w:rsidR="005826D8">
        <w:rPr>
          <w:rFonts w:ascii="Times New Roman" w:hAnsi="Times New Roman"/>
        </w:rPr>
        <w:t>a</w:t>
      </w:r>
      <w:r w:rsidRPr="00A36751">
        <w:rPr>
          <w:rFonts w:ascii="Times New Roman" w:hAnsi="Times New Roman"/>
        </w:rPr>
        <w:t xml:space="preserve"> 2011 na </w:t>
      </w:r>
      <w:r w:rsidR="00881F7D">
        <w:rPr>
          <w:rFonts w:ascii="Times New Roman" w:hAnsi="Times New Roman"/>
        </w:rPr>
        <w:t>A</w:t>
      </w:r>
      <w:r w:rsidRPr="00A36751">
        <w:rPr>
          <w:rFonts w:ascii="Times New Roman" w:hAnsi="Times New Roman"/>
        </w:rPr>
        <w:t>E</w:t>
      </w:r>
      <w:r w:rsidR="00D61781">
        <w:rPr>
          <w:rFonts w:ascii="Times New Roman" w:hAnsi="Times New Roman"/>
        </w:rPr>
        <w:t xml:space="preserve"> Bohunice</w:t>
      </w:r>
      <w:r w:rsidRPr="00A36751">
        <w:rPr>
          <w:rFonts w:ascii="Times New Roman" w:hAnsi="Times New Roman"/>
        </w:rPr>
        <w:t xml:space="preserve"> V</w:t>
      </w:r>
      <w:r w:rsidR="00881F7D">
        <w:rPr>
          <w:rFonts w:ascii="Times New Roman" w:hAnsi="Times New Roman"/>
        </w:rPr>
        <w:t>-</w:t>
      </w:r>
      <w:r w:rsidRPr="00A36751">
        <w:rPr>
          <w:rFonts w:ascii="Times New Roman" w:hAnsi="Times New Roman"/>
        </w:rPr>
        <w:t>2 v rámci riadenia ťažkých havárií</w:t>
      </w:r>
    </w:p>
    <w:tbl>
      <w:tblPr>
        <w:tblStyle w:val="TableNorm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3"/>
        <w:gridCol w:w="1318"/>
        <w:gridCol w:w="2517"/>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61"/>
        </w:trPr>
        <w:tc>
          <w:tcPr>
            <w:tcW w:w="5345"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A36751" w:rsidRPr="00C97AD0" w:rsidP="00B64772">
            <w:pPr>
              <w:bidi w:val="0"/>
              <w:jc w:val="center"/>
              <w:rPr>
                <w:rFonts w:ascii="Times New Roman" w:hAnsi="Times New Roman"/>
                <w:b/>
              </w:rPr>
            </w:pPr>
            <w:r w:rsidRPr="00C97AD0">
              <w:rPr>
                <w:rFonts w:ascii="Times New Roman" w:hAnsi="Times New Roman"/>
                <w:b/>
              </w:rPr>
              <w:t>Oblasť</w:t>
            </w:r>
          </w:p>
        </w:tc>
        <w:tc>
          <w:tcPr>
            <w:tcW w:w="1318"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A36751" w:rsidRPr="00C97AD0" w:rsidP="00B64772">
            <w:pPr>
              <w:bidi w:val="0"/>
              <w:jc w:val="center"/>
              <w:rPr>
                <w:rFonts w:ascii="Times New Roman" w:hAnsi="Times New Roman"/>
                <w:b/>
              </w:rPr>
            </w:pPr>
            <w:r w:rsidRPr="00C97AD0">
              <w:rPr>
                <w:rFonts w:ascii="Times New Roman" w:hAnsi="Times New Roman"/>
                <w:b/>
              </w:rPr>
              <w:t>Blok</w:t>
            </w:r>
          </w:p>
        </w:tc>
        <w:tc>
          <w:tcPr>
            <w:tcW w:w="2517" w:type="dxa"/>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A36751" w:rsidRPr="00C97AD0" w:rsidP="00B64772">
            <w:pPr>
              <w:bidi w:val="0"/>
              <w:jc w:val="center"/>
              <w:rPr>
                <w:rFonts w:ascii="Times New Roman" w:hAnsi="Times New Roman"/>
                <w:b/>
              </w:rPr>
            </w:pPr>
            <w:r w:rsidRPr="00C97AD0">
              <w:rPr>
                <w:rFonts w:ascii="Times New Roman" w:hAnsi="Times New Roman"/>
                <w:b/>
              </w:rPr>
              <w:t>Stav opatrenia</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4F3791" w:rsidP="00B77ED2">
            <w:pPr>
              <w:bidi w:val="0"/>
              <w:rPr>
                <w:rFonts w:ascii="Times New Roman" w:hAnsi="Times New Roman"/>
              </w:rPr>
            </w:pPr>
            <w:r w:rsidR="006C5409">
              <w:rPr>
                <w:rFonts w:ascii="Times New Roman" w:hAnsi="Times New Roman"/>
              </w:rPr>
              <w:t>s</w:t>
            </w:r>
            <w:r w:rsidRPr="004F3791">
              <w:rPr>
                <w:rFonts w:ascii="Times New Roman" w:hAnsi="Times New Roman"/>
              </w:rPr>
              <w:t xml:space="preserve">ifón na </w:t>
            </w:r>
            <w:r w:rsidR="00B77ED2">
              <w:rPr>
                <w:rFonts w:ascii="Times New Roman" w:hAnsi="Times New Roman"/>
              </w:rPr>
              <w:t>systéme vzduchotechniky</w:t>
            </w:r>
            <w:r w:rsidRPr="004F3791">
              <w:rPr>
                <w:rFonts w:ascii="Times New Roman" w:hAnsi="Times New Roman"/>
              </w:rPr>
              <w:t xml:space="preserve"> a zaplavenie </w:t>
            </w:r>
            <w:r w:rsidR="00881F7D">
              <w:rPr>
                <w:rFonts w:ascii="Times New Roman" w:hAnsi="Times New Roman"/>
              </w:rPr>
              <w:t>šachty reaktora</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Pr>
                <w:rFonts w:ascii="Times New Roman" w:hAnsi="Times New Roman"/>
              </w:rPr>
              <w:t>3. a 4.</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sidR="00881F7D">
              <w:rPr>
                <w:rFonts w:ascii="Times New Roman" w:hAnsi="Times New Roman"/>
              </w:rPr>
              <w:t>u</w:t>
            </w:r>
            <w:r>
              <w:rPr>
                <w:rFonts w:ascii="Times New Roman" w:hAnsi="Times New Roman"/>
              </w:rPr>
              <w:t>končené</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4F3791" w:rsidP="00B77ED2">
            <w:pPr>
              <w:bidi w:val="0"/>
              <w:rPr>
                <w:rFonts w:ascii="Times New Roman" w:hAnsi="Times New Roman"/>
              </w:rPr>
            </w:pPr>
            <w:r w:rsidR="006C5409">
              <w:rPr>
                <w:rFonts w:ascii="Times New Roman" w:hAnsi="Times New Roman"/>
              </w:rPr>
              <w:t>o</w:t>
            </w:r>
            <w:r w:rsidRPr="004F3791">
              <w:rPr>
                <w:rFonts w:ascii="Times New Roman" w:hAnsi="Times New Roman"/>
              </w:rPr>
              <w:t xml:space="preserve">dtlakovanie </w:t>
            </w:r>
            <w:r w:rsidR="00B77ED2">
              <w:rPr>
                <w:rFonts w:ascii="Times New Roman" w:hAnsi="Times New Roman"/>
              </w:rPr>
              <w:t>primárneho okruhu</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Pr>
                <w:rFonts w:ascii="Times New Roman" w:hAnsi="Times New Roman"/>
              </w:rPr>
              <w:t xml:space="preserve">3. </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sidR="00881F7D">
              <w:rPr>
                <w:rFonts w:ascii="Times New Roman" w:hAnsi="Times New Roman"/>
              </w:rPr>
              <w:t>s</w:t>
            </w:r>
            <w:r>
              <w:rPr>
                <w:rFonts w:ascii="Times New Roman" w:hAnsi="Times New Roman"/>
              </w:rPr>
              <w:t>trojná časť ukončená</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4F3791" w:rsidP="00B77ED2">
            <w:pPr>
              <w:bidi w:val="0"/>
              <w:rPr>
                <w:rFonts w:ascii="Times New Roman" w:hAnsi="Times New Roman"/>
              </w:rPr>
            </w:pPr>
            <w:r w:rsidR="006C5409">
              <w:rPr>
                <w:rFonts w:ascii="Times New Roman" w:hAnsi="Times New Roman"/>
              </w:rPr>
              <w:t>r</w:t>
            </w:r>
            <w:r w:rsidRPr="004F3791">
              <w:rPr>
                <w:rFonts w:ascii="Times New Roman" w:hAnsi="Times New Roman"/>
              </w:rPr>
              <w:t>iadenie vodíka v</w:t>
            </w:r>
            <w:r w:rsidR="00B77ED2">
              <w:rPr>
                <w:rFonts w:ascii="Times New Roman" w:hAnsi="Times New Roman"/>
              </w:rPr>
              <w:t> hermetickej zóne</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Pr>
                <w:rFonts w:ascii="Times New Roman" w:hAnsi="Times New Roman"/>
              </w:rPr>
              <w:t xml:space="preserve">3. </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sidR="00881F7D">
              <w:rPr>
                <w:rFonts w:ascii="Times New Roman" w:hAnsi="Times New Roman"/>
              </w:rPr>
              <w:t>u</w:t>
            </w:r>
            <w:r>
              <w:rPr>
                <w:rFonts w:ascii="Times New Roman" w:hAnsi="Times New Roman"/>
              </w:rPr>
              <w:t xml:space="preserve">končené </w:t>
            </w:r>
          </w:p>
        </w:tc>
      </w:tr>
      <w:tr>
        <w:tblPrEx>
          <w:tblW w:w="0" w:type="auto"/>
          <w:tblInd w:w="108" w:type="dxa"/>
          <w:tblLook w:val="04A0"/>
        </w:tblPrEx>
        <w:trPr>
          <w:trHeight w:val="50"/>
        </w:trPr>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4F3791" w:rsidP="00B77ED2">
            <w:pPr>
              <w:bidi w:val="0"/>
              <w:rPr>
                <w:rFonts w:ascii="Times New Roman" w:hAnsi="Times New Roman"/>
              </w:rPr>
            </w:pPr>
            <w:r w:rsidR="006C5409">
              <w:rPr>
                <w:rFonts w:ascii="Times New Roman" w:hAnsi="Times New Roman"/>
              </w:rPr>
              <w:t>r</w:t>
            </w:r>
            <w:r w:rsidRPr="004F3791">
              <w:rPr>
                <w:rFonts w:ascii="Times New Roman" w:hAnsi="Times New Roman"/>
              </w:rPr>
              <w:t>ušič vákua v</w:t>
            </w:r>
            <w:r w:rsidR="00B77ED2">
              <w:rPr>
                <w:rFonts w:ascii="Times New Roman" w:hAnsi="Times New Roman"/>
              </w:rPr>
              <w:t> hermetickej zóne</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Pr>
                <w:rFonts w:ascii="Times New Roman" w:hAnsi="Times New Roman"/>
              </w:rPr>
              <w:t xml:space="preserve">3. </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sidR="00881F7D">
              <w:rPr>
                <w:rFonts w:ascii="Times New Roman" w:hAnsi="Times New Roman"/>
              </w:rPr>
              <w:t>s</w:t>
            </w:r>
            <w:r>
              <w:rPr>
                <w:rFonts w:ascii="Times New Roman" w:hAnsi="Times New Roman"/>
              </w:rPr>
              <w:t>trojná časť ukončená</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4F3791" w:rsidP="00C40320">
            <w:pPr>
              <w:bidi w:val="0"/>
              <w:rPr>
                <w:rFonts w:ascii="Times New Roman" w:hAnsi="Times New Roman"/>
              </w:rPr>
            </w:pPr>
            <w:r w:rsidR="006C5409">
              <w:rPr>
                <w:rFonts w:ascii="Times New Roman" w:hAnsi="Times New Roman"/>
              </w:rPr>
              <w:t>n</w:t>
            </w:r>
            <w:r w:rsidRPr="004F3791">
              <w:rPr>
                <w:rFonts w:ascii="Times New Roman" w:hAnsi="Times New Roman"/>
              </w:rPr>
              <w:t>údzový zdroj chladiva</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Pr>
                <w:rFonts w:ascii="Times New Roman" w:hAnsi="Times New Roman"/>
              </w:rPr>
              <w:t xml:space="preserve">3. </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P="00C40320">
            <w:pPr>
              <w:bidi w:val="0"/>
              <w:jc w:val="center"/>
              <w:rPr>
                <w:rFonts w:ascii="Times New Roman" w:hAnsi="Times New Roman"/>
              </w:rPr>
            </w:pPr>
            <w:r w:rsidR="00881F7D">
              <w:rPr>
                <w:rFonts w:ascii="Times New Roman" w:hAnsi="Times New Roman"/>
              </w:rPr>
              <w:t>č</w:t>
            </w:r>
            <w:r>
              <w:rPr>
                <w:rFonts w:ascii="Times New Roman" w:hAnsi="Times New Roman"/>
              </w:rPr>
              <w:t>iastočne ukončené</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center"/>
          </w:tcPr>
          <w:p w:rsidR="00A36751" w:rsidRPr="004F3791" w:rsidP="001560C8">
            <w:pPr>
              <w:bidi w:val="0"/>
              <w:rPr>
                <w:rFonts w:ascii="Times New Roman" w:hAnsi="Times New Roman"/>
              </w:rPr>
            </w:pPr>
            <w:r w:rsidR="006C5409">
              <w:rPr>
                <w:rFonts w:ascii="Times New Roman" w:hAnsi="Times New Roman"/>
              </w:rPr>
              <w:t>n</w:t>
            </w:r>
            <w:r w:rsidRPr="004F3791">
              <w:rPr>
                <w:rFonts w:ascii="Times New Roman" w:hAnsi="Times New Roman"/>
              </w:rPr>
              <w:t>údzový zdroj elektrickej energie</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Pr="00132485">
              <w:rPr>
                <w:rFonts w:ascii="Times New Roman" w:hAnsi="Times New Roman"/>
              </w:rPr>
              <w:t>3. a 4.</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00881F7D">
              <w:rPr>
                <w:rFonts w:ascii="Times New Roman" w:hAnsi="Times New Roman"/>
              </w:rPr>
              <w:t>t</w:t>
            </w:r>
            <w:r w:rsidRPr="00132485">
              <w:rPr>
                <w:rFonts w:ascii="Times New Roman" w:hAnsi="Times New Roman"/>
              </w:rPr>
              <w:t>ermín ukončenia 31.12.2013</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top"/>
          </w:tcPr>
          <w:p w:rsidR="00A36751" w:rsidRPr="001560C8" w:rsidP="001560C8">
            <w:pPr>
              <w:autoSpaceDE w:val="0"/>
              <w:autoSpaceDN w:val="0"/>
              <w:bidi w:val="0"/>
              <w:adjustRightInd w:val="0"/>
              <w:spacing w:before="120"/>
              <w:rPr>
                <w:rFonts w:ascii="Times New Roman" w:hAnsi="Times New Roman"/>
                <w:color w:val="000000"/>
                <w:szCs w:val="24"/>
              </w:rPr>
            </w:pPr>
            <w:r w:rsidR="006C5409">
              <w:rPr>
                <w:rFonts w:ascii="Times New Roman" w:hAnsi="Times New Roman"/>
                <w:color w:val="000000"/>
                <w:szCs w:val="24"/>
              </w:rPr>
              <w:t>s</w:t>
            </w:r>
            <w:r w:rsidRPr="001560C8" w:rsidR="001560C8">
              <w:rPr>
                <w:rFonts w:ascii="Times New Roman" w:hAnsi="Times New Roman"/>
                <w:color w:val="000000"/>
                <w:szCs w:val="24"/>
              </w:rPr>
              <w:t>úvisiace systémy kontroly a riadenia (Post Acci</w:t>
            </w:r>
            <w:r w:rsidR="001560C8">
              <w:rPr>
                <w:rFonts w:ascii="Times New Roman" w:hAnsi="Times New Roman"/>
                <w:color w:val="000000"/>
                <w:szCs w:val="24"/>
              </w:rPr>
              <w:t>dent Monitoring System - PAMS)"</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Pr="00132485">
              <w:rPr>
                <w:rFonts w:ascii="Times New Roman" w:hAnsi="Times New Roman"/>
              </w:rPr>
              <w:t>3. a 4.</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00881F7D">
              <w:rPr>
                <w:rFonts w:ascii="Times New Roman" w:hAnsi="Times New Roman"/>
              </w:rPr>
              <w:t>t</w:t>
            </w:r>
            <w:r w:rsidRPr="00132485">
              <w:rPr>
                <w:rFonts w:ascii="Times New Roman" w:hAnsi="Times New Roman"/>
              </w:rPr>
              <w:t>ermín ukončenia 31.12.2013</w:t>
            </w:r>
          </w:p>
        </w:tc>
      </w:tr>
      <w:tr>
        <w:tblPrEx>
          <w:tblW w:w="0" w:type="auto"/>
          <w:tblInd w:w="108" w:type="dxa"/>
          <w:tblLook w:val="04A0"/>
        </w:tblPrEx>
        <w:tc>
          <w:tcPr>
            <w:tcW w:w="5345" w:type="dxa"/>
            <w:tcBorders>
              <w:top w:val="single" w:sz="4" w:space="0" w:color="auto"/>
              <w:left w:val="single" w:sz="4" w:space="0" w:color="auto"/>
              <w:bottom w:val="single" w:sz="4" w:space="0" w:color="auto"/>
              <w:right w:val="single" w:sz="4" w:space="0" w:color="auto"/>
            </w:tcBorders>
            <w:textDirection w:val="lrTb"/>
            <w:vAlign w:val="center"/>
          </w:tcPr>
          <w:p w:rsidR="00A36751" w:rsidRPr="004F3791" w:rsidP="001560C8">
            <w:pPr>
              <w:bidi w:val="0"/>
              <w:rPr>
                <w:rFonts w:ascii="Times New Roman" w:hAnsi="Times New Roman"/>
              </w:rPr>
            </w:pPr>
            <w:r w:rsidR="006C5409">
              <w:rPr>
                <w:rFonts w:ascii="Times New Roman" w:hAnsi="Times New Roman"/>
              </w:rPr>
              <w:t>d</w:t>
            </w:r>
            <w:r w:rsidRPr="004F3791">
              <w:rPr>
                <w:rFonts w:ascii="Times New Roman" w:hAnsi="Times New Roman"/>
              </w:rPr>
              <w:t>lhodobý odvod tepla</w:t>
            </w:r>
          </w:p>
        </w:tc>
        <w:tc>
          <w:tcPr>
            <w:tcW w:w="1318"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Pr="00132485">
              <w:rPr>
                <w:rFonts w:ascii="Times New Roman" w:hAnsi="Times New Roman"/>
              </w:rPr>
              <w:t>3. a 4.</w:t>
            </w:r>
          </w:p>
        </w:tc>
        <w:tc>
          <w:tcPr>
            <w:tcW w:w="2517" w:type="dxa"/>
            <w:tcBorders>
              <w:top w:val="single" w:sz="4" w:space="0" w:color="auto"/>
              <w:left w:val="single" w:sz="4" w:space="0" w:color="auto"/>
              <w:bottom w:val="single" w:sz="4" w:space="0" w:color="auto"/>
              <w:right w:val="single" w:sz="4" w:space="0" w:color="auto"/>
            </w:tcBorders>
            <w:textDirection w:val="lrTb"/>
            <w:vAlign w:val="top"/>
          </w:tcPr>
          <w:p w:rsidR="00A36751" w:rsidRPr="00132485" w:rsidP="00C40320">
            <w:pPr>
              <w:bidi w:val="0"/>
              <w:jc w:val="center"/>
              <w:rPr>
                <w:rFonts w:ascii="Times New Roman" w:hAnsi="Times New Roman"/>
              </w:rPr>
            </w:pPr>
            <w:r w:rsidR="00881F7D">
              <w:rPr>
                <w:rFonts w:ascii="Times New Roman" w:hAnsi="Times New Roman"/>
              </w:rPr>
              <w:t>t</w:t>
            </w:r>
            <w:r w:rsidRPr="00132485">
              <w:rPr>
                <w:rFonts w:ascii="Times New Roman" w:hAnsi="Times New Roman"/>
              </w:rPr>
              <w:t>ermín ukončenia 31.12.2013</w:t>
            </w:r>
          </w:p>
        </w:tc>
      </w:tr>
    </w:tbl>
    <w:p w:rsidR="00B77ED2" w:rsidP="00625A5D">
      <w:pPr>
        <w:pStyle w:val="BodyText31"/>
        <w:bidi w:val="0"/>
        <w:rPr>
          <w:rFonts w:ascii="Times New Roman" w:hAnsi="Times New Roman"/>
          <w:bCs/>
        </w:rPr>
      </w:pPr>
    </w:p>
    <w:p w:rsidR="00625A5D" w:rsidP="00625A5D">
      <w:pPr>
        <w:pStyle w:val="BodyText31"/>
        <w:bidi w:val="0"/>
        <w:rPr>
          <w:rFonts w:ascii="Times New Roman" w:hAnsi="Times New Roman"/>
          <w:bCs/>
        </w:rPr>
      </w:pPr>
      <w:r>
        <w:rPr>
          <w:rFonts w:ascii="Times New Roman" w:hAnsi="Times New Roman"/>
          <w:bCs/>
        </w:rPr>
        <w:t xml:space="preserve">Prevádzkové </w:t>
      </w:r>
      <w:r w:rsidR="006C5409">
        <w:rPr>
          <w:rFonts w:ascii="Times New Roman" w:hAnsi="Times New Roman"/>
          <w:bCs/>
        </w:rPr>
        <w:t>kontroly</w:t>
      </w:r>
    </w:p>
    <w:p w:rsidR="00A36751" w:rsidRPr="006C6E47" w:rsidP="00A36751">
      <w:pPr>
        <w:autoSpaceDE w:val="0"/>
        <w:autoSpaceDN w:val="0"/>
        <w:bidi w:val="0"/>
        <w:adjustRightInd w:val="0"/>
        <w:jc w:val="both"/>
        <w:rPr>
          <w:rFonts w:ascii="Times New Roman" w:hAnsi="Times New Roman"/>
          <w:iCs/>
          <w:noProof/>
        </w:rPr>
      </w:pPr>
      <w:r w:rsidRPr="006C6E47">
        <w:rPr>
          <w:rFonts w:ascii="Times New Roman" w:hAnsi="Times New Roman"/>
          <w:iCs/>
          <w:noProof/>
        </w:rPr>
        <w:t>V roku 201</w:t>
      </w:r>
      <w:r>
        <w:rPr>
          <w:rFonts w:ascii="Times New Roman" w:hAnsi="Times New Roman"/>
          <w:iCs/>
          <w:noProof/>
        </w:rPr>
        <w:t>1</w:t>
      </w:r>
      <w:r w:rsidRPr="006C6E47">
        <w:rPr>
          <w:rFonts w:ascii="Times New Roman" w:hAnsi="Times New Roman"/>
          <w:iCs/>
          <w:noProof/>
        </w:rPr>
        <w:t xml:space="preserve"> sa na oboch blokoch AE Bohunice V</w:t>
      </w:r>
      <w:r>
        <w:rPr>
          <w:rFonts w:ascii="Times New Roman" w:hAnsi="Times New Roman"/>
          <w:iCs/>
          <w:noProof/>
        </w:rPr>
        <w:t>-</w:t>
      </w:r>
      <w:r w:rsidRPr="006C6E47">
        <w:rPr>
          <w:rFonts w:ascii="Times New Roman" w:hAnsi="Times New Roman"/>
          <w:iCs/>
          <w:noProof/>
        </w:rPr>
        <w:t>2</w:t>
      </w:r>
      <w:r w:rsidR="00ED4418">
        <w:rPr>
          <w:rFonts w:ascii="Times New Roman" w:hAnsi="Times New Roman"/>
          <w:iCs/>
          <w:noProof/>
        </w:rPr>
        <w:t>,</w:t>
      </w:r>
      <w:r w:rsidRPr="006C6E47">
        <w:rPr>
          <w:rFonts w:ascii="Times New Roman" w:hAnsi="Times New Roman"/>
          <w:iCs/>
          <w:noProof/>
        </w:rPr>
        <w:t xml:space="preserve"> v rámci odstávok na výmenu paliva</w:t>
      </w:r>
      <w:r w:rsidR="00ED4418">
        <w:rPr>
          <w:rFonts w:ascii="Times New Roman" w:hAnsi="Times New Roman"/>
          <w:iCs/>
          <w:noProof/>
        </w:rPr>
        <w:t>,</w:t>
      </w:r>
      <w:r w:rsidRPr="006C6E47">
        <w:rPr>
          <w:rFonts w:ascii="Times New Roman" w:hAnsi="Times New Roman"/>
          <w:iCs/>
          <w:noProof/>
        </w:rPr>
        <w:t xml:space="preserve"> uskutočnili prevádzkové kontroly vybraných zariadení v súlade s ročným programom prevádzkových kontrol. Kontroly hlavných komponentov a potrubných systémov boli vykonané kvalifikovanými systémami nedeštruktívneho skúšania. Výsledky prevádzkových kontrol na oboch blokoch sú priaznivé, kontrolami boli zisťované indikácie, ktoré boli už nájdené pri predchádzajúcich kontrolách, pričom nebol zaznamenaný ich rozvoj. Táto skutočnosť svedčí o správnosti procesu kvalifikácie systémov pre nedeštruktívne skúšanie. </w:t>
      </w:r>
    </w:p>
    <w:p w:rsidR="001D5587" w:rsidP="00881F7D">
      <w:pPr>
        <w:autoSpaceDE w:val="0"/>
        <w:autoSpaceDN w:val="0"/>
        <w:bidi w:val="0"/>
        <w:adjustRightInd w:val="0"/>
        <w:jc w:val="both"/>
        <w:rPr>
          <w:rFonts w:ascii="Times New Roman" w:hAnsi="Times New Roman"/>
          <w:iCs/>
          <w:noProof/>
        </w:rPr>
      </w:pPr>
      <w:r w:rsidRPr="006C6E47" w:rsidR="00A36751">
        <w:rPr>
          <w:rFonts w:ascii="Times New Roman" w:hAnsi="Times New Roman"/>
          <w:iCs/>
          <w:noProof/>
        </w:rPr>
        <w:t xml:space="preserve">Prevádzkovateľ zabezpečuje hodnotenie únavovej životnosti hlavných komponentov a potrubných systémov i hodnotenie odolnosti materiálov tlakových nádob reaktorov voči krehkému porušeniu. Z vykonaného hodnotenia na oboch blokoch vyplýva, že ani únavová životnosť, ani </w:t>
      </w:r>
      <w:r w:rsidR="00A36751">
        <w:rPr>
          <w:rFonts w:ascii="Times New Roman" w:hAnsi="Times New Roman"/>
          <w:iCs/>
          <w:noProof/>
        </w:rPr>
        <w:t xml:space="preserve">výsledky analýz  v oblasti krehnutia tlakových nádob </w:t>
      </w:r>
      <w:r w:rsidRPr="006C6E47" w:rsidR="00A36751">
        <w:rPr>
          <w:rFonts w:ascii="Times New Roman" w:hAnsi="Times New Roman"/>
          <w:iCs/>
          <w:noProof/>
        </w:rPr>
        <w:t>reaktorov nelimitujú životnosť a vytvárajú predpoklad pre dlhodobú prevádzku blokov na</w:t>
      </w:r>
      <w:r w:rsidR="00881F7D">
        <w:rPr>
          <w:rFonts w:ascii="Times New Roman" w:hAnsi="Times New Roman"/>
          <w:iCs/>
          <w:noProof/>
        </w:rPr>
        <w:t xml:space="preserve">d dobu projektovej životnosti. </w:t>
      </w:r>
      <w:r w:rsidRPr="006C6E47" w:rsidR="00A36751">
        <w:rPr>
          <w:rFonts w:ascii="Times New Roman" w:hAnsi="Times New Roman"/>
          <w:iCs/>
          <w:noProof/>
        </w:rPr>
        <w:t>Skúšky tesnosti hermetickej zóny na oboch blokoch preukázali, že tesnosť hermetických priestorov je v súlade s požiadavkami limít a podmienok</w:t>
      </w:r>
      <w:r w:rsidR="00A36751">
        <w:rPr>
          <w:rFonts w:ascii="Times New Roman" w:hAnsi="Times New Roman"/>
          <w:iCs/>
          <w:noProof/>
        </w:rPr>
        <w:t xml:space="preserve">, je trvale sledovaná a program na odstraňovanie netesností </w:t>
      </w:r>
      <w:r w:rsidR="00881F7D">
        <w:rPr>
          <w:rFonts w:ascii="Times New Roman" w:hAnsi="Times New Roman"/>
          <w:iCs/>
          <w:noProof/>
        </w:rPr>
        <w:t>sa</w:t>
      </w:r>
      <w:r w:rsidR="00A36751">
        <w:rPr>
          <w:rFonts w:ascii="Times New Roman" w:hAnsi="Times New Roman"/>
          <w:iCs/>
          <w:noProof/>
        </w:rPr>
        <w:t xml:space="preserve"> pln</w:t>
      </w:r>
      <w:r w:rsidR="00881F7D">
        <w:rPr>
          <w:rFonts w:ascii="Times New Roman" w:hAnsi="Times New Roman"/>
          <w:iCs/>
          <w:noProof/>
        </w:rPr>
        <w:t>í.</w:t>
      </w:r>
    </w:p>
    <w:p w:rsidR="00A854AB" w:rsidP="00881F7D">
      <w:pPr>
        <w:autoSpaceDE w:val="0"/>
        <w:autoSpaceDN w:val="0"/>
        <w:bidi w:val="0"/>
        <w:adjustRightInd w:val="0"/>
        <w:jc w:val="both"/>
        <w:rPr>
          <w:rFonts w:ascii="Times New Roman" w:hAnsi="Times New Roman"/>
          <w:iCs/>
          <w:noProof/>
        </w:rPr>
      </w:pPr>
    </w:p>
    <w:p w:rsidR="00A854AB" w:rsidRPr="00A854AB" w:rsidP="00624032">
      <w:pPr>
        <w:pStyle w:val="BodyText"/>
        <w:suppressLineNumbers/>
        <w:bidi w:val="0"/>
        <w:rPr>
          <w:rFonts w:ascii="Times New Roman" w:hAnsi="Times New Roman"/>
          <w:b/>
          <w:bCs/>
          <w:lang w:val="sk-SK"/>
        </w:rPr>
      </w:pPr>
      <w:r>
        <w:rPr>
          <w:rFonts w:ascii="Times New Roman" w:hAnsi="Times New Roman"/>
          <w:b/>
          <w:bCs/>
        </w:rPr>
        <w:t>Prevádzkové udalosti</w:t>
      </w:r>
    </w:p>
    <w:p w:rsidR="00A854AB" w:rsidP="00624032">
      <w:pPr>
        <w:pStyle w:val="Caption"/>
        <w:suppressLineNumbers/>
        <w:bidi w:val="0"/>
        <w:spacing w:before="0" w:after="0"/>
        <w:jc w:val="both"/>
        <w:rPr>
          <w:rFonts w:ascii="Times New Roman" w:hAnsi="Times New Roman"/>
          <w:b w:val="0"/>
          <w:bCs w:val="0"/>
          <w:iCs/>
          <w:szCs w:val="20"/>
        </w:rPr>
      </w:pPr>
      <w:r w:rsidRPr="00565C73">
        <w:rPr>
          <w:rFonts w:ascii="Times New Roman" w:hAnsi="Times New Roman"/>
          <w:b w:val="0"/>
          <w:bCs w:val="0"/>
          <w:iCs/>
          <w:szCs w:val="20"/>
        </w:rPr>
        <w:t>Počet a ch</w:t>
      </w:r>
      <w:r>
        <w:rPr>
          <w:rFonts w:ascii="Times New Roman" w:hAnsi="Times New Roman"/>
          <w:b w:val="0"/>
          <w:bCs w:val="0"/>
          <w:iCs/>
          <w:szCs w:val="20"/>
        </w:rPr>
        <w:t>arakter udalostí bol v roku 2011</w:t>
      </w:r>
      <w:r w:rsidRPr="00565C73">
        <w:rPr>
          <w:rFonts w:ascii="Times New Roman" w:hAnsi="Times New Roman"/>
          <w:b w:val="0"/>
          <w:bCs w:val="0"/>
          <w:iCs/>
          <w:szCs w:val="20"/>
        </w:rPr>
        <w:t xml:space="preserve"> v rámci obvyklých technických porúch bez osobitnej bezpečnostnej významnosti.</w:t>
      </w:r>
    </w:p>
    <w:p w:rsidR="00A854AB" w:rsidRPr="002941F6" w:rsidP="002941F6">
      <w:pPr>
        <w:pStyle w:val="Caption"/>
        <w:suppressLineNumbers/>
        <w:bidi w:val="0"/>
        <w:spacing w:before="0" w:after="0"/>
        <w:jc w:val="both"/>
        <w:rPr>
          <w:rFonts w:ascii="Times New Roman" w:hAnsi="Times New Roman"/>
          <w:b w:val="0"/>
        </w:rPr>
      </w:pPr>
      <w:r w:rsidRPr="00565C73">
        <w:rPr>
          <w:rFonts w:ascii="Times New Roman" w:hAnsi="Times New Roman"/>
          <w:b w:val="0"/>
          <w:bCs w:val="0"/>
          <w:iCs/>
          <w:szCs w:val="20"/>
        </w:rPr>
        <w:t xml:space="preserve">Vyskytol sa jeden prípad automatického odstavenia reaktora AO-1 </w:t>
      </w:r>
      <w:r>
        <w:rPr>
          <w:rFonts w:ascii="Times New Roman" w:hAnsi="Times New Roman"/>
          <w:b w:val="0"/>
          <w:bCs w:val="0"/>
          <w:iCs/>
          <w:szCs w:val="20"/>
        </w:rPr>
        <w:t xml:space="preserve">na 3. bloku </w:t>
      </w:r>
      <w:r w:rsidRPr="00565C73">
        <w:rPr>
          <w:rFonts w:ascii="Times New Roman" w:hAnsi="Times New Roman"/>
          <w:b w:val="0"/>
          <w:bCs w:val="0"/>
          <w:iCs/>
          <w:szCs w:val="20"/>
        </w:rPr>
        <w:t>AE Bohunice V-2</w:t>
      </w:r>
      <w:r>
        <w:rPr>
          <w:rFonts w:ascii="Times New Roman" w:hAnsi="Times New Roman"/>
          <w:b w:val="0"/>
          <w:bCs w:val="0"/>
          <w:iCs/>
          <w:szCs w:val="20"/>
        </w:rPr>
        <w:t xml:space="preserve"> </w:t>
      </w:r>
      <w:r w:rsidRPr="00565C73">
        <w:rPr>
          <w:rFonts w:ascii="Times New Roman" w:hAnsi="Times New Roman"/>
          <w:b w:val="0"/>
          <w:bCs w:val="0"/>
          <w:iCs/>
          <w:szCs w:val="20"/>
        </w:rPr>
        <w:t xml:space="preserve">z </w:t>
      </w:r>
      <w:r>
        <w:rPr>
          <w:rFonts w:ascii="Times New Roman" w:hAnsi="Times New Roman"/>
          <w:b w:val="0"/>
          <w:bCs w:val="0"/>
          <w:iCs/>
          <w:szCs w:val="20"/>
        </w:rPr>
        <w:t>dôvodu</w:t>
      </w:r>
      <w:r w:rsidRPr="00597399">
        <w:rPr>
          <w:rFonts w:ascii="Times New Roman" w:hAnsi="Times New Roman"/>
          <w:b w:val="0"/>
          <w:bCs w:val="0"/>
          <w:iCs/>
          <w:szCs w:val="20"/>
        </w:rPr>
        <w:t xml:space="preserve"> poklesu hladiny v dvoch PG pod </w:t>
      </w:r>
      <w:smartTag w:uri="urn:schemas-microsoft-com:office:smarttags" w:element="metricconverter">
        <w:smartTagPr>
          <w:attr w:name="ProductID" w:val="1,52 m"/>
        </w:smartTagPr>
        <w:r w:rsidRPr="00597399">
          <w:rPr>
            <w:rFonts w:ascii="Times New Roman" w:hAnsi="Times New Roman"/>
            <w:b w:val="0"/>
            <w:bCs w:val="0"/>
            <w:iCs/>
            <w:szCs w:val="20"/>
          </w:rPr>
          <w:t>1,52 m</w:t>
        </w:r>
      </w:smartTag>
      <w:r w:rsidRPr="00597399">
        <w:rPr>
          <w:rFonts w:ascii="Times New Roman" w:hAnsi="Times New Roman"/>
          <w:b w:val="0"/>
          <w:bCs w:val="0"/>
          <w:iCs/>
          <w:szCs w:val="20"/>
        </w:rPr>
        <w:t xml:space="preserve"> celkovej hladiny</w:t>
      </w:r>
      <w:r>
        <w:rPr>
          <w:rFonts w:ascii="Times New Roman" w:hAnsi="Times New Roman"/>
          <w:b w:val="0"/>
          <w:bCs w:val="0"/>
          <w:iCs/>
          <w:szCs w:val="20"/>
        </w:rPr>
        <w:t xml:space="preserve"> po skrate </w:t>
      </w:r>
      <w:r w:rsidRPr="00B354CC">
        <w:rPr>
          <w:rFonts w:ascii="Times New Roman" w:hAnsi="Times New Roman"/>
          <w:b w:val="0"/>
          <w:bCs w:val="0"/>
          <w:iCs/>
          <w:szCs w:val="20"/>
        </w:rPr>
        <w:t xml:space="preserve">na </w:t>
      </w:r>
      <w:r>
        <w:rPr>
          <w:rFonts w:ascii="Times New Roman" w:hAnsi="Times New Roman"/>
          <w:b w:val="0"/>
          <w:bCs w:val="0"/>
          <w:iCs/>
          <w:szCs w:val="20"/>
        </w:rPr>
        <w:t xml:space="preserve">vysokonapäťovej linke (400 kV) vyvedenia výkonu z </w:t>
      </w:r>
      <w:r w:rsidRPr="00565C73">
        <w:rPr>
          <w:rFonts w:ascii="Times New Roman" w:hAnsi="Times New Roman"/>
          <w:b w:val="0"/>
          <w:bCs w:val="0"/>
          <w:iCs/>
          <w:szCs w:val="20"/>
        </w:rPr>
        <w:t>AE Bohunice V-2.</w:t>
      </w:r>
      <w:r w:rsidR="002941F6">
        <w:rPr>
          <w:rFonts w:ascii="Times New Roman" w:hAnsi="Times New Roman"/>
          <w:b w:val="0"/>
          <w:bCs w:val="0"/>
          <w:iCs/>
          <w:szCs w:val="20"/>
        </w:rPr>
        <w:t xml:space="preserve"> </w:t>
      </w:r>
      <w:r w:rsidRPr="002941F6">
        <w:rPr>
          <w:rFonts w:ascii="Times New Roman" w:hAnsi="Times New Roman"/>
          <w:b w:val="0"/>
        </w:rPr>
        <w:t>V tejto súvislosti prevádzkovateľ vykonal niekoľko preventívnych nápravných opatrení s cieľom predísť opakovaniu sa udalosti podobného charakteru. ÚJD SR následne vykonal neplánovanú kontrolu, výsledkom ktorej bolo potvrdenie, že činnosť obslužného personálu držiteľa povolenia pred vznikom, počas priebehu a pri vyhodnotení poruchy bola správna. Inšpekcia bola uzatvorená záznamom</w:t>
      </w:r>
      <w:r w:rsidRPr="002941F6" w:rsidR="00624032">
        <w:rPr>
          <w:rFonts w:ascii="Times New Roman" w:hAnsi="Times New Roman"/>
          <w:b w:val="0"/>
        </w:rPr>
        <w:t>.</w:t>
      </w:r>
    </w:p>
    <w:p w:rsidR="00A854AB" w:rsidP="002941F6">
      <w:pPr>
        <w:bidi w:val="0"/>
        <w:jc w:val="both"/>
        <w:rPr>
          <w:rFonts w:ascii="Times New Roman" w:hAnsi="Times New Roman"/>
        </w:rPr>
      </w:pPr>
    </w:p>
    <w:p w:rsidR="002B7B62" w:rsidP="002941F6">
      <w:pPr>
        <w:bidi w:val="0"/>
        <w:jc w:val="both"/>
        <w:rPr>
          <w:rFonts w:ascii="Times New Roman" w:hAnsi="Times New Roman"/>
        </w:rPr>
      </w:pPr>
      <w:r>
        <w:rPr>
          <w:rFonts w:ascii="Times New Roman" w:hAnsi="Times New Roman"/>
        </w:rPr>
        <w:t>Prehľad o počte prevádzkových udalostí v rokoch 2005 až 2011, ktoré podliehajú hláseniu na ÚJD SR a ich kategorizáciu podľa stupnice INES uvádza tabuľk</w:t>
      </w:r>
      <w:r w:rsidR="00881F7D">
        <w:rPr>
          <w:rFonts w:ascii="Times New Roman" w:hAnsi="Times New Roman"/>
        </w:rPr>
        <w:t>a</w:t>
      </w:r>
      <w:r>
        <w:rPr>
          <w:rFonts w:ascii="Times New Roman" w:hAnsi="Times New Roman"/>
        </w:rPr>
        <w:t xml:space="preserve"> č. 4.</w:t>
      </w:r>
    </w:p>
    <w:p w:rsidR="009E31B8" w:rsidP="009E31B8">
      <w:pPr>
        <w:bidi w:val="0"/>
        <w:jc w:val="both"/>
        <w:rPr>
          <w:rFonts w:ascii="Times New Roman" w:hAnsi="Times New Roman"/>
        </w:rPr>
      </w:pPr>
    </w:p>
    <w:p w:rsidR="00625A5D" w:rsidRPr="009E31B8" w:rsidP="009E31B8">
      <w:pPr>
        <w:bidi w:val="0"/>
        <w:jc w:val="both"/>
        <w:rPr>
          <w:rFonts w:ascii="Times New Roman" w:hAnsi="Times New Roman"/>
        </w:rPr>
      </w:pPr>
      <w:r>
        <w:rPr>
          <w:rFonts w:ascii="Times New Roman" w:hAnsi="Times New Roman"/>
          <w:bCs/>
        </w:rPr>
        <w:t xml:space="preserve">Tab. č. </w:t>
      </w:r>
      <w:r w:rsidR="00ED551E">
        <w:rPr>
          <w:rFonts w:ascii="Times New Roman" w:hAnsi="Times New Roman"/>
          <w:bCs/>
        </w:rPr>
        <w:t>4</w:t>
      </w:r>
      <w:r w:rsidR="009E31B8">
        <w:rPr>
          <w:rFonts w:ascii="Times New Roman" w:hAnsi="Times New Roman"/>
          <w:bCs/>
        </w:rPr>
        <w:t xml:space="preserve"> </w:t>
      </w:r>
      <w:r>
        <w:rPr>
          <w:rFonts w:ascii="Times New Roman" w:hAnsi="Times New Roman"/>
          <w:bCs/>
        </w:rPr>
        <w:t xml:space="preserve">Počet udalostí v AE </w:t>
      </w:r>
      <w:r w:rsidR="00546B98">
        <w:rPr>
          <w:rFonts w:ascii="Times New Roman" w:hAnsi="Times New Roman"/>
          <w:bCs/>
        </w:rPr>
        <w:t xml:space="preserve">Bohunice </w:t>
      </w:r>
      <w:r>
        <w:rPr>
          <w:rFonts w:ascii="Times New Roman" w:hAnsi="Times New Roman"/>
          <w:bCs/>
        </w:rPr>
        <w:t xml:space="preserve">V-2 </w:t>
      </w: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Pr>
      <w:tblGrid>
        <w:gridCol w:w="1602"/>
        <w:gridCol w:w="1067"/>
        <w:gridCol w:w="1067"/>
        <w:gridCol w:w="1067"/>
        <w:gridCol w:w="1067"/>
        <w:gridCol w:w="1067"/>
        <w:gridCol w:w="1067"/>
        <w:gridCol w:w="1068"/>
      </w:tblGrid>
      <w:tr>
        <w:tblPrEx>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PrEx>
        <w:trPr>
          <w:cantSplit/>
          <w:trHeight w:hRule="exact" w:val="567"/>
        </w:trPr>
        <w:tc>
          <w:tcPr>
            <w:tcW w:w="1602" w:type="dxa"/>
            <w:tcBorders>
              <w:top w:val="single" w:sz="12" w:space="0" w:color="auto"/>
              <w:left w:val="single" w:sz="12" w:space="0" w:color="auto"/>
              <w:bottom w:val="single" w:sz="6" w:space="0" w:color="auto"/>
              <w:right w:val="single" w:sz="6" w:space="0" w:color="auto"/>
            </w:tcBorders>
            <w:shd w:val="clear" w:color="auto" w:fill="E0E0E0"/>
            <w:textDirection w:val="lrTb"/>
            <w:vAlign w:val="center"/>
          </w:tcPr>
          <w:p w:rsidR="00A36751" w:rsidRPr="009C78AA" w:rsidP="00070AAF">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Stupnica INES/rok</w:t>
            </w:r>
          </w:p>
        </w:tc>
        <w:tc>
          <w:tcPr>
            <w:tcW w:w="1067" w:type="dxa"/>
            <w:tcBorders>
              <w:top w:val="single" w:sz="12" w:space="0" w:color="auto"/>
              <w:left w:val="single" w:sz="6" w:space="0" w:color="auto"/>
              <w:bottom w:val="single" w:sz="6"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2005</w:t>
            </w:r>
          </w:p>
        </w:tc>
        <w:tc>
          <w:tcPr>
            <w:tcW w:w="1067" w:type="dxa"/>
            <w:tcBorders>
              <w:top w:val="single" w:sz="12" w:space="0" w:color="auto"/>
              <w:left w:val="single" w:sz="6" w:space="0" w:color="auto"/>
              <w:bottom w:val="single" w:sz="6"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2006</w:t>
            </w:r>
          </w:p>
        </w:tc>
        <w:tc>
          <w:tcPr>
            <w:tcW w:w="1067" w:type="dxa"/>
            <w:tcBorders>
              <w:top w:val="single" w:sz="12" w:space="0" w:color="auto"/>
              <w:left w:val="single" w:sz="6" w:space="0" w:color="auto"/>
              <w:bottom w:val="single" w:sz="6" w:space="0" w:color="auto"/>
              <w:right w:val="single" w:sz="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2007</w:t>
            </w:r>
          </w:p>
        </w:tc>
        <w:tc>
          <w:tcPr>
            <w:tcW w:w="1067" w:type="dxa"/>
            <w:tcBorders>
              <w:top w:val="single" w:sz="12" w:space="0" w:color="auto"/>
              <w:left w:val="single" w:sz="2" w:space="0" w:color="auto"/>
              <w:bottom w:val="single" w:sz="6"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2008</w:t>
            </w:r>
          </w:p>
        </w:tc>
        <w:tc>
          <w:tcPr>
            <w:tcW w:w="1067" w:type="dxa"/>
            <w:tcBorders>
              <w:top w:val="single" w:sz="12" w:space="0" w:color="auto"/>
              <w:left w:val="single" w:sz="6" w:space="0" w:color="auto"/>
              <w:bottom w:val="single" w:sz="6" w:space="0" w:color="auto"/>
              <w:right w:val="single" w:sz="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2009</w:t>
            </w:r>
          </w:p>
        </w:tc>
        <w:tc>
          <w:tcPr>
            <w:tcW w:w="1067" w:type="dxa"/>
            <w:tcBorders>
              <w:top w:val="single" w:sz="12" w:space="0" w:color="auto"/>
              <w:left w:val="single" w:sz="2" w:space="0" w:color="auto"/>
              <w:bottom w:val="single" w:sz="6" w:space="0" w:color="auto"/>
              <w:right w:val="single" w:sz="1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2010</w:t>
            </w:r>
          </w:p>
        </w:tc>
        <w:tc>
          <w:tcPr>
            <w:tcW w:w="1068" w:type="dxa"/>
            <w:tcBorders>
              <w:top w:val="single" w:sz="12" w:space="0" w:color="auto"/>
              <w:left w:val="single" w:sz="2" w:space="0" w:color="auto"/>
              <w:bottom w:val="single" w:sz="6" w:space="0" w:color="auto"/>
              <w:right w:val="single" w:sz="1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Pr>
                <w:rFonts w:ascii="Times New Roman" w:hAnsi="Times New Roman"/>
                <w:b/>
                <w:bCs/>
                <w:lang w:val="sk-SK" w:eastAsia="sk-SK"/>
              </w:rPr>
              <w:t>2011</w:t>
            </w:r>
          </w:p>
        </w:tc>
      </w:tr>
      <w:tr>
        <w:tblPrEx>
          <w:tblW w:w="0" w:type="auto"/>
          <w:tblInd w:w="70" w:type="dxa"/>
          <w:tblLayout w:type="fixed"/>
          <w:tblCellMar>
            <w:left w:w="70" w:type="dxa"/>
            <w:right w:w="70" w:type="dxa"/>
          </w:tblCellMar>
        </w:tblPrEx>
        <w:trPr>
          <w:cantSplit/>
        </w:trPr>
        <w:tc>
          <w:tcPr>
            <w:tcW w:w="1602" w:type="dxa"/>
            <w:tcBorders>
              <w:top w:val="single" w:sz="6" w:space="0" w:color="auto"/>
              <w:left w:val="single" w:sz="12" w:space="0" w:color="auto"/>
              <w:bottom w:val="single" w:sz="6" w:space="0" w:color="auto"/>
              <w:right w:val="single" w:sz="6" w:space="0" w:color="auto"/>
            </w:tcBorders>
            <w:textDirection w:val="lrTb"/>
            <w:vAlign w:val="center"/>
          </w:tcPr>
          <w:p w:rsidR="00A36751" w:rsidRPr="00A4278F" w:rsidP="00A4278F">
            <w:pPr>
              <w:pStyle w:val="ListBullet"/>
              <w:bidi w:val="0"/>
              <w:rPr>
                <w:rFonts w:ascii="Times New Roman" w:hAnsi="Times New Roman"/>
              </w:rPr>
            </w:pPr>
            <w:r w:rsidRPr="00A4278F">
              <w:rPr>
                <w:rFonts w:ascii="Times New Roman" w:hAnsi="Times New Roman"/>
              </w:rPr>
              <w:t>mimo stupnice</w:t>
            </w:r>
            <w:r>
              <w:rPr>
                <w:rFonts w:ascii="Times New Roman" w:hAnsi="Times New Roman"/>
              </w:rPr>
              <w:t>/</w:t>
            </w:r>
          </w:p>
          <w:p w:rsidR="00A36751" w:rsidP="00A4278F">
            <w:pPr>
              <w:pStyle w:val="ListBullet"/>
              <w:bidi w:val="0"/>
              <w:rPr>
                <w:rFonts w:ascii="Times New Roman" w:hAnsi="Times New Roman"/>
              </w:rPr>
            </w:pPr>
            <w:r w:rsidRPr="00A4278F">
              <w:rPr>
                <w:rFonts w:ascii="Times New Roman" w:hAnsi="Times New Roman"/>
              </w:rPr>
              <w:t>(INES 0)</w:t>
            </w:r>
          </w:p>
        </w:tc>
        <w:tc>
          <w:tcPr>
            <w:tcW w:w="1067" w:type="dxa"/>
            <w:tcBorders>
              <w:top w:val="single" w:sz="6" w:space="0" w:color="auto"/>
              <w:left w:val="single" w:sz="6"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15</w:t>
            </w:r>
          </w:p>
        </w:tc>
        <w:tc>
          <w:tcPr>
            <w:tcW w:w="1067" w:type="dxa"/>
            <w:tcBorders>
              <w:top w:val="single" w:sz="6" w:space="0" w:color="auto"/>
              <w:left w:val="single" w:sz="6"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17</w:t>
            </w:r>
          </w:p>
        </w:tc>
        <w:tc>
          <w:tcPr>
            <w:tcW w:w="1067" w:type="dxa"/>
            <w:tcBorders>
              <w:top w:val="single" w:sz="6" w:space="0" w:color="auto"/>
              <w:left w:val="single" w:sz="6" w:space="0" w:color="auto"/>
              <w:bottom w:val="single" w:sz="6" w:space="0" w:color="auto"/>
              <w:right w:val="single" w:sz="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21</w:t>
            </w:r>
          </w:p>
        </w:tc>
        <w:tc>
          <w:tcPr>
            <w:tcW w:w="1067" w:type="dxa"/>
            <w:tcBorders>
              <w:top w:val="single" w:sz="6" w:space="0" w:color="auto"/>
              <w:left w:val="single" w:sz="2"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18</w:t>
            </w:r>
          </w:p>
        </w:tc>
        <w:tc>
          <w:tcPr>
            <w:tcW w:w="1067" w:type="dxa"/>
            <w:tcBorders>
              <w:top w:val="single" w:sz="6" w:space="0" w:color="auto"/>
              <w:left w:val="single" w:sz="6" w:space="0" w:color="auto"/>
              <w:bottom w:val="single" w:sz="6" w:space="0" w:color="auto"/>
              <w:right w:val="single" w:sz="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13</w:t>
            </w:r>
          </w:p>
        </w:tc>
        <w:tc>
          <w:tcPr>
            <w:tcW w:w="1067" w:type="dxa"/>
            <w:tcBorders>
              <w:top w:val="single" w:sz="6" w:space="0" w:color="auto"/>
              <w:left w:val="single" w:sz="2" w:space="0" w:color="auto"/>
              <w:bottom w:val="single" w:sz="6" w:space="0" w:color="auto"/>
              <w:right w:val="single" w:sz="1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18</w:t>
            </w:r>
          </w:p>
        </w:tc>
        <w:tc>
          <w:tcPr>
            <w:tcW w:w="1068" w:type="dxa"/>
            <w:tcBorders>
              <w:top w:val="single" w:sz="6" w:space="0" w:color="auto"/>
              <w:left w:val="single" w:sz="2" w:space="0" w:color="auto"/>
              <w:bottom w:val="single" w:sz="6" w:space="0" w:color="auto"/>
              <w:right w:val="single" w:sz="1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Pr>
                <w:rFonts w:ascii="Times New Roman" w:hAnsi="Times New Roman"/>
                <w:lang w:val="sk-SK" w:eastAsia="sk-SK"/>
              </w:rPr>
              <w:t>14</w:t>
            </w:r>
          </w:p>
        </w:tc>
      </w:tr>
      <w:tr>
        <w:tblPrEx>
          <w:tblW w:w="0" w:type="auto"/>
          <w:tblInd w:w="70" w:type="dxa"/>
          <w:tblLayout w:type="fixed"/>
          <w:tblCellMar>
            <w:left w:w="70" w:type="dxa"/>
            <w:right w:w="70" w:type="dxa"/>
          </w:tblCellMar>
        </w:tblPrEx>
        <w:trPr>
          <w:cantSplit/>
          <w:trHeight w:val="284"/>
        </w:trPr>
        <w:tc>
          <w:tcPr>
            <w:tcW w:w="1602" w:type="dxa"/>
            <w:tcBorders>
              <w:top w:val="single" w:sz="6" w:space="0" w:color="auto"/>
              <w:left w:val="single" w:sz="12" w:space="0" w:color="auto"/>
              <w:bottom w:val="single" w:sz="6" w:space="0" w:color="auto"/>
              <w:right w:val="single" w:sz="6" w:space="0" w:color="auto"/>
            </w:tcBorders>
            <w:textDirection w:val="lrTb"/>
            <w:vAlign w:val="top"/>
          </w:tcPr>
          <w:p w:rsidR="00A36751" w:rsidP="00A4278F">
            <w:pPr>
              <w:pStyle w:val="ListBullet"/>
              <w:bidi w:val="0"/>
              <w:rPr>
                <w:rFonts w:ascii="Times New Roman" w:hAnsi="Times New Roman"/>
              </w:rPr>
            </w:pPr>
            <w:r>
              <w:rPr>
                <w:rFonts w:ascii="Times New Roman" w:hAnsi="Times New Roman"/>
              </w:rPr>
              <w:t>INES 1</w:t>
            </w:r>
          </w:p>
        </w:tc>
        <w:tc>
          <w:tcPr>
            <w:tcW w:w="1067" w:type="dxa"/>
            <w:tcBorders>
              <w:top w:val="single" w:sz="6" w:space="0" w:color="auto"/>
              <w:left w:val="single" w:sz="6"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7" w:type="dxa"/>
            <w:tcBorders>
              <w:top w:val="single" w:sz="6" w:space="0" w:color="auto"/>
              <w:left w:val="single" w:sz="6"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7" w:type="dxa"/>
            <w:tcBorders>
              <w:top w:val="single" w:sz="6" w:space="0" w:color="auto"/>
              <w:left w:val="single" w:sz="6" w:space="0" w:color="auto"/>
              <w:bottom w:val="single" w:sz="6" w:space="0" w:color="auto"/>
              <w:right w:val="single" w:sz="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7" w:type="dxa"/>
            <w:tcBorders>
              <w:top w:val="single" w:sz="6" w:space="0" w:color="auto"/>
              <w:left w:val="single" w:sz="2" w:space="0" w:color="auto"/>
              <w:bottom w:val="single" w:sz="6" w:space="0" w:color="auto"/>
              <w:right w:val="single" w:sz="6"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7" w:type="dxa"/>
            <w:tcBorders>
              <w:top w:val="single" w:sz="6" w:space="0" w:color="auto"/>
              <w:left w:val="single" w:sz="6" w:space="0" w:color="auto"/>
              <w:bottom w:val="single" w:sz="6" w:space="0" w:color="auto"/>
              <w:right w:val="single" w:sz="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7" w:type="dxa"/>
            <w:tcBorders>
              <w:top w:val="single" w:sz="6" w:space="0" w:color="auto"/>
              <w:left w:val="single" w:sz="2" w:space="0" w:color="auto"/>
              <w:bottom w:val="single" w:sz="6" w:space="0" w:color="auto"/>
              <w:right w:val="single" w:sz="1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sidRPr="009C78AA">
              <w:rPr>
                <w:rFonts w:ascii="Times New Roman" w:hAnsi="Times New Roman"/>
                <w:lang w:val="sk-SK" w:eastAsia="sk-SK"/>
              </w:rPr>
              <w:t>0</w:t>
            </w:r>
          </w:p>
        </w:tc>
        <w:tc>
          <w:tcPr>
            <w:tcW w:w="1068" w:type="dxa"/>
            <w:tcBorders>
              <w:top w:val="single" w:sz="6" w:space="0" w:color="auto"/>
              <w:left w:val="single" w:sz="2" w:space="0" w:color="auto"/>
              <w:bottom w:val="single" w:sz="6" w:space="0" w:color="auto"/>
              <w:right w:val="single" w:sz="12" w:space="0" w:color="auto"/>
            </w:tcBorders>
            <w:textDirection w:val="lrTb"/>
            <w:vAlign w:val="center"/>
          </w:tcPr>
          <w:p w:rsidR="00A36751" w:rsidRPr="009C78AA" w:rsidP="00A36751">
            <w:pPr>
              <w:pStyle w:val="BodyText"/>
              <w:keepNext/>
              <w:keepLines/>
              <w:widowControl w:val="0"/>
              <w:suppressLineNumbers/>
              <w:bidi w:val="0"/>
              <w:jc w:val="center"/>
              <w:rPr>
                <w:rFonts w:ascii="Times New Roman" w:hAnsi="Times New Roman"/>
                <w:lang w:val="sk-SK" w:eastAsia="sk-SK"/>
              </w:rPr>
            </w:pPr>
            <w:r>
              <w:rPr>
                <w:rFonts w:ascii="Times New Roman" w:hAnsi="Times New Roman"/>
                <w:lang w:val="sk-SK" w:eastAsia="sk-SK"/>
              </w:rPr>
              <w:t>0</w:t>
            </w:r>
          </w:p>
        </w:tc>
      </w:tr>
      <w:tr>
        <w:tblPrEx>
          <w:tblW w:w="0" w:type="auto"/>
          <w:tblInd w:w="70" w:type="dxa"/>
          <w:tblLayout w:type="fixed"/>
          <w:tblCellMar>
            <w:left w:w="70" w:type="dxa"/>
            <w:right w:w="70" w:type="dxa"/>
          </w:tblCellMar>
        </w:tblPrEx>
        <w:trPr>
          <w:cantSplit/>
          <w:trHeight w:val="429"/>
        </w:trPr>
        <w:tc>
          <w:tcPr>
            <w:tcW w:w="1602" w:type="dxa"/>
            <w:tcBorders>
              <w:top w:val="single" w:sz="6" w:space="0" w:color="auto"/>
              <w:left w:val="single" w:sz="12" w:space="0" w:color="auto"/>
              <w:bottom w:val="single" w:sz="12" w:space="0" w:color="auto"/>
              <w:right w:val="single" w:sz="6" w:space="0" w:color="auto"/>
            </w:tcBorders>
            <w:shd w:val="clear" w:color="auto" w:fill="E0E0E0"/>
            <w:textDirection w:val="lrTb"/>
            <w:vAlign w:val="top"/>
          </w:tcPr>
          <w:p w:rsidR="00A36751" w:rsidRPr="009C78AA" w:rsidP="00881F7D">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Spolu</w:t>
            </w:r>
          </w:p>
        </w:tc>
        <w:tc>
          <w:tcPr>
            <w:tcW w:w="1067" w:type="dxa"/>
            <w:tcBorders>
              <w:top w:val="single" w:sz="6" w:space="0" w:color="auto"/>
              <w:left w:val="single" w:sz="6" w:space="0" w:color="auto"/>
              <w:bottom w:val="single" w:sz="12"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15</w:t>
            </w:r>
          </w:p>
        </w:tc>
        <w:tc>
          <w:tcPr>
            <w:tcW w:w="1067" w:type="dxa"/>
            <w:tcBorders>
              <w:top w:val="single" w:sz="6" w:space="0" w:color="auto"/>
              <w:left w:val="single" w:sz="6" w:space="0" w:color="auto"/>
              <w:bottom w:val="single" w:sz="12"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17</w:t>
            </w:r>
          </w:p>
        </w:tc>
        <w:tc>
          <w:tcPr>
            <w:tcW w:w="1067" w:type="dxa"/>
            <w:tcBorders>
              <w:top w:val="single" w:sz="6" w:space="0" w:color="auto"/>
              <w:left w:val="single" w:sz="6" w:space="0" w:color="auto"/>
              <w:bottom w:val="single" w:sz="12" w:space="0" w:color="auto"/>
              <w:right w:val="single" w:sz="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21</w:t>
            </w:r>
          </w:p>
        </w:tc>
        <w:tc>
          <w:tcPr>
            <w:tcW w:w="1067" w:type="dxa"/>
            <w:tcBorders>
              <w:top w:val="single" w:sz="6" w:space="0" w:color="auto"/>
              <w:left w:val="single" w:sz="2" w:space="0" w:color="auto"/>
              <w:bottom w:val="single" w:sz="12" w:space="0" w:color="auto"/>
              <w:right w:val="single" w:sz="6"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18</w:t>
            </w:r>
          </w:p>
        </w:tc>
        <w:tc>
          <w:tcPr>
            <w:tcW w:w="1067" w:type="dxa"/>
            <w:tcBorders>
              <w:top w:val="single" w:sz="6" w:space="0" w:color="auto"/>
              <w:left w:val="single" w:sz="6" w:space="0" w:color="auto"/>
              <w:bottom w:val="single" w:sz="12" w:space="0" w:color="auto"/>
              <w:right w:val="single" w:sz="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13</w:t>
            </w:r>
          </w:p>
        </w:tc>
        <w:tc>
          <w:tcPr>
            <w:tcW w:w="1067" w:type="dxa"/>
            <w:tcBorders>
              <w:top w:val="single" w:sz="6" w:space="0" w:color="auto"/>
              <w:left w:val="single" w:sz="2" w:space="0" w:color="auto"/>
              <w:bottom w:val="single" w:sz="12" w:space="0" w:color="auto"/>
              <w:right w:val="single" w:sz="1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sidRPr="009C78AA">
              <w:rPr>
                <w:rFonts w:ascii="Times New Roman" w:hAnsi="Times New Roman"/>
                <w:b/>
                <w:bCs/>
                <w:lang w:val="sk-SK" w:eastAsia="sk-SK"/>
              </w:rPr>
              <w:t>18</w:t>
            </w:r>
          </w:p>
        </w:tc>
        <w:tc>
          <w:tcPr>
            <w:tcW w:w="1068" w:type="dxa"/>
            <w:tcBorders>
              <w:top w:val="single" w:sz="6" w:space="0" w:color="auto"/>
              <w:left w:val="single" w:sz="2" w:space="0" w:color="auto"/>
              <w:bottom w:val="single" w:sz="12" w:space="0" w:color="auto"/>
              <w:right w:val="single" w:sz="12" w:space="0" w:color="auto"/>
            </w:tcBorders>
            <w:shd w:val="clear" w:color="auto" w:fill="E0E0E0"/>
            <w:textDirection w:val="lrTb"/>
            <w:vAlign w:val="center"/>
          </w:tcPr>
          <w:p w:rsidR="00A36751" w:rsidRPr="009C78AA" w:rsidP="00A36751">
            <w:pPr>
              <w:pStyle w:val="BodyText"/>
              <w:keepNext/>
              <w:keepLines/>
              <w:widowControl w:val="0"/>
              <w:suppressLineNumbers/>
              <w:bidi w:val="0"/>
              <w:jc w:val="center"/>
              <w:rPr>
                <w:rFonts w:ascii="Times New Roman" w:hAnsi="Times New Roman"/>
                <w:b/>
                <w:bCs/>
                <w:lang w:val="sk-SK" w:eastAsia="sk-SK"/>
              </w:rPr>
            </w:pPr>
            <w:r>
              <w:rPr>
                <w:rFonts w:ascii="Times New Roman" w:hAnsi="Times New Roman"/>
                <w:b/>
                <w:bCs/>
                <w:lang w:val="sk-SK" w:eastAsia="sk-SK"/>
              </w:rPr>
              <w:t>14</w:t>
            </w:r>
          </w:p>
        </w:tc>
      </w:tr>
    </w:tbl>
    <w:p w:rsidR="00A4278F" w:rsidP="00A4278F">
      <w:pPr>
        <w:pStyle w:val="hodnotenie"/>
        <w:suppressLineNumbers/>
        <w:bidi w:val="0"/>
        <w:spacing w:before="0" w:beforeAutospacing="0" w:after="0" w:afterAutospacing="0"/>
        <w:rPr>
          <w:rFonts w:ascii="Times New Roman" w:hAnsi="Times New Roman"/>
          <w:i/>
          <w:iCs/>
          <w:lang w:val="sk-SK"/>
        </w:rPr>
      </w:pPr>
    </w:p>
    <w:p w:rsidR="00904810" w:rsidRPr="002941F6" w:rsidP="00A4278F">
      <w:pPr>
        <w:pStyle w:val="hodnotenie"/>
        <w:suppressLineNumbers/>
        <w:bidi w:val="0"/>
        <w:spacing w:before="0" w:beforeAutospacing="0" w:after="0" w:afterAutospacing="0"/>
        <w:rPr>
          <w:rFonts w:ascii="Times New Roman" w:hAnsi="Times New Roman"/>
          <w:b w:val="0"/>
          <w:i/>
          <w:iCs/>
        </w:rPr>
      </w:pPr>
      <w:r w:rsidRPr="002941F6">
        <w:rPr>
          <w:rFonts w:ascii="Times New Roman" w:hAnsi="Times New Roman"/>
          <w:b w:val="0"/>
          <w:i/>
          <w:iCs/>
        </w:rPr>
        <w:t>Záver:</w:t>
      </w:r>
    </w:p>
    <w:p w:rsidR="00904810" w:rsidP="00A4278F">
      <w:pPr>
        <w:pStyle w:val="hodnotenie"/>
        <w:suppressLineNumbers/>
        <w:bidi w:val="0"/>
        <w:spacing w:before="0" w:beforeAutospacing="0" w:after="0" w:afterAutospacing="0"/>
        <w:rPr>
          <w:rFonts w:ascii="Times New Roman" w:hAnsi="Times New Roman"/>
          <w:i/>
          <w:iCs/>
        </w:rPr>
      </w:pPr>
      <w:r w:rsidRPr="002941F6">
        <w:rPr>
          <w:rFonts w:ascii="Times New Roman" w:hAnsi="Times New Roman"/>
          <w:b w:val="0"/>
          <w:i/>
          <w:iCs/>
        </w:rPr>
        <w:t xml:space="preserve">Po zhrnutí výsledkov </w:t>
      </w:r>
      <w:r w:rsidRPr="002941F6" w:rsidR="00637955">
        <w:rPr>
          <w:rFonts w:ascii="Times New Roman" w:hAnsi="Times New Roman"/>
          <w:b w:val="0"/>
          <w:i/>
          <w:iCs/>
          <w:lang w:val="sk-SK"/>
        </w:rPr>
        <w:t>inšpekcií</w:t>
      </w:r>
      <w:r w:rsidRPr="002941F6">
        <w:rPr>
          <w:rFonts w:ascii="Times New Roman" w:hAnsi="Times New Roman"/>
          <w:b w:val="0"/>
          <w:i/>
          <w:iCs/>
        </w:rPr>
        <w:t xml:space="preserve"> a na základe s</w:t>
      </w:r>
      <w:r w:rsidRPr="002941F6">
        <w:rPr>
          <w:rFonts w:ascii="Times New Roman" w:hAnsi="Times New Roman"/>
          <w:b w:val="0"/>
          <w:i/>
          <w:iCs/>
        </w:rPr>
        <w:t>u</w:t>
      </w:r>
      <w:r w:rsidRPr="002941F6">
        <w:rPr>
          <w:rFonts w:ascii="Times New Roman" w:hAnsi="Times New Roman"/>
          <w:b w:val="0"/>
          <w:i/>
          <w:iCs/>
        </w:rPr>
        <w:t>márneho hodnotenia bezpečnostných ukazovateľov ÚJD SR vyhodnotil pr</w:t>
      </w:r>
      <w:r w:rsidRPr="002941F6">
        <w:rPr>
          <w:rFonts w:ascii="Times New Roman" w:hAnsi="Times New Roman"/>
          <w:b w:val="0"/>
          <w:i/>
          <w:iCs/>
        </w:rPr>
        <w:t>e</w:t>
      </w:r>
      <w:r w:rsidRPr="002941F6">
        <w:rPr>
          <w:rFonts w:ascii="Times New Roman" w:hAnsi="Times New Roman"/>
          <w:b w:val="0"/>
          <w:i/>
          <w:iCs/>
        </w:rPr>
        <w:t>vádzku ob</w:t>
      </w:r>
      <w:r w:rsidRPr="002941F6" w:rsidR="00546B98">
        <w:rPr>
          <w:rFonts w:ascii="Times New Roman" w:hAnsi="Times New Roman"/>
          <w:b w:val="0"/>
          <w:i/>
          <w:iCs/>
          <w:lang w:val="sk-SK"/>
        </w:rPr>
        <w:t>idvoch</w:t>
      </w:r>
      <w:r w:rsidRPr="002941F6">
        <w:rPr>
          <w:rFonts w:ascii="Times New Roman" w:hAnsi="Times New Roman"/>
          <w:b w:val="0"/>
          <w:i/>
          <w:iCs/>
        </w:rPr>
        <w:t xml:space="preserve"> blokov AE </w:t>
      </w:r>
      <w:r w:rsidRPr="002941F6" w:rsidR="00637955">
        <w:rPr>
          <w:rFonts w:ascii="Times New Roman" w:hAnsi="Times New Roman"/>
          <w:b w:val="0"/>
          <w:i/>
          <w:iCs/>
          <w:lang w:val="sk-SK"/>
        </w:rPr>
        <w:t xml:space="preserve">Bohunice </w:t>
      </w:r>
      <w:r w:rsidRPr="002941F6">
        <w:rPr>
          <w:rFonts w:ascii="Times New Roman" w:hAnsi="Times New Roman"/>
          <w:b w:val="0"/>
          <w:i/>
          <w:iCs/>
        </w:rPr>
        <w:t>V-2 v roku 20</w:t>
      </w:r>
      <w:r w:rsidRPr="002941F6" w:rsidR="00637955">
        <w:rPr>
          <w:rFonts w:ascii="Times New Roman" w:hAnsi="Times New Roman"/>
          <w:b w:val="0"/>
          <w:i/>
          <w:iCs/>
          <w:lang w:val="sk-SK"/>
        </w:rPr>
        <w:t>1</w:t>
      </w:r>
      <w:r w:rsidRPr="002941F6" w:rsidR="00A36751">
        <w:rPr>
          <w:rFonts w:ascii="Times New Roman" w:hAnsi="Times New Roman"/>
          <w:b w:val="0"/>
          <w:i/>
          <w:iCs/>
          <w:lang w:val="sk-SK"/>
        </w:rPr>
        <w:t>1</w:t>
      </w:r>
      <w:r w:rsidRPr="002941F6">
        <w:rPr>
          <w:rFonts w:ascii="Times New Roman" w:hAnsi="Times New Roman"/>
          <w:b w:val="0"/>
          <w:i/>
          <w:iCs/>
        </w:rPr>
        <w:t xml:space="preserve"> ako spoľahlivú, bez závažných n</w:t>
      </w:r>
      <w:r w:rsidRPr="002941F6">
        <w:rPr>
          <w:rFonts w:ascii="Times New Roman" w:hAnsi="Times New Roman"/>
          <w:b w:val="0"/>
          <w:i/>
          <w:iCs/>
        </w:rPr>
        <w:t>e</w:t>
      </w:r>
      <w:r w:rsidRPr="002941F6">
        <w:rPr>
          <w:rFonts w:ascii="Times New Roman" w:hAnsi="Times New Roman"/>
          <w:b w:val="0"/>
          <w:i/>
          <w:iCs/>
        </w:rPr>
        <w:t>dostatkov v oblasti jadrovej bezpečnosti</w:t>
      </w:r>
      <w:r>
        <w:rPr>
          <w:rFonts w:ascii="Times New Roman" w:hAnsi="Times New Roman"/>
          <w:i/>
          <w:iCs/>
        </w:rPr>
        <w:t>.</w:t>
      </w:r>
    </w:p>
    <w:p w:rsidR="009E31B8" w:rsidP="009E31B8">
      <w:pPr>
        <w:pStyle w:val="Heading5"/>
        <w:suppressLineNumbers/>
        <w:bidi w:val="0"/>
        <w:jc w:val="left"/>
        <w:rPr>
          <w:rFonts w:ascii="Times New Roman" w:hAnsi="Times New Roman"/>
          <w:i/>
          <w:iCs/>
          <w:sz w:val="24"/>
        </w:rPr>
      </w:pPr>
    </w:p>
    <w:p w:rsidR="00625A5D" w:rsidP="003D2AF3">
      <w:pPr>
        <w:pStyle w:val="Heading5"/>
        <w:suppressLineNumbers/>
        <w:bidi w:val="0"/>
        <w:spacing w:after="100" w:afterAutospacing="1"/>
        <w:jc w:val="left"/>
        <w:rPr>
          <w:rFonts w:ascii="Times New Roman" w:hAnsi="Times New Roman"/>
          <w:i/>
          <w:iCs/>
          <w:sz w:val="24"/>
        </w:rPr>
      </w:pPr>
      <w:r w:rsidR="001531AB">
        <w:rPr>
          <w:rFonts w:ascii="Times New Roman" w:hAnsi="Times New Roman"/>
          <w:i/>
          <w:iCs/>
          <w:sz w:val="24"/>
        </w:rPr>
        <w:t>b</w:t>
      </w:r>
      <w:r>
        <w:rPr>
          <w:rFonts w:ascii="Times New Roman" w:hAnsi="Times New Roman"/>
          <w:i/>
          <w:iCs/>
          <w:sz w:val="24"/>
        </w:rPr>
        <w:t>) Atómov</w:t>
      </w:r>
      <w:r w:rsidR="00D95E1F">
        <w:rPr>
          <w:rFonts w:ascii="Times New Roman" w:hAnsi="Times New Roman"/>
          <w:i/>
          <w:iCs/>
          <w:sz w:val="24"/>
        </w:rPr>
        <w:t>é</w:t>
      </w:r>
      <w:r>
        <w:rPr>
          <w:rFonts w:ascii="Times New Roman" w:hAnsi="Times New Roman"/>
          <w:i/>
          <w:iCs/>
          <w:sz w:val="24"/>
        </w:rPr>
        <w:t xml:space="preserve"> elektrár</w:t>
      </w:r>
      <w:r w:rsidR="00D95E1F">
        <w:rPr>
          <w:rFonts w:ascii="Times New Roman" w:hAnsi="Times New Roman"/>
          <w:i/>
          <w:iCs/>
          <w:sz w:val="24"/>
        </w:rPr>
        <w:t>ne</w:t>
      </w:r>
      <w:r>
        <w:rPr>
          <w:rFonts w:ascii="Times New Roman" w:hAnsi="Times New Roman"/>
          <w:i/>
          <w:iCs/>
          <w:sz w:val="24"/>
        </w:rPr>
        <w:t xml:space="preserve"> Mochovce 1,2</w:t>
      </w:r>
    </w:p>
    <w:p w:rsidR="00A36751" w:rsidRPr="002B5594" w:rsidP="002B5594">
      <w:pPr>
        <w:pStyle w:val="BodyText"/>
        <w:autoSpaceDE w:val="0"/>
        <w:autoSpaceDN w:val="0"/>
        <w:bidi w:val="0"/>
        <w:adjustRightInd w:val="0"/>
        <w:rPr>
          <w:rFonts w:ascii="Times New Roman" w:hAnsi="Times New Roman"/>
          <w:iCs w:val="0"/>
          <w:szCs w:val="24"/>
        </w:rPr>
      </w:pPr>
      <w:r w:rsidRPr="009876B0">
        <w:rPr>
          <w:rFonts w:ascii="Times New Roman" w:hAnsi="Times New Roman"/>
          <w:iCs w:val="0"/>
          <w:szCs w:val="24"/>
        </w:rPr>
        <w:t>Ide o opakovaný projekt elektrárne prevádzkovaný v lokalite Bohunice, ďalej modifikovaný vzhľadom na rastúce požiadavky na zvyšovanie úrovne jadrovej bezpečnosti blokov typu VVER</w:t>
      </w:r>
      <w:r w:rsidR="002B5594">
        <w:rPr>
          <w:rFonts w:ascii="Times New Roman" w:hAnsi="Times New Roman"/>
          <w:iCs w:val="0"/>
          <w:szCs w:val="24"/>
          <w:lang w:val="sk-SK"/>
        </w:rPr>
        <w:t xml:space="preserve"> 440</w:t>
      </w:r>
      <w:r w:rsidRPr="009876B0">
        <w:rPr>
          <w:rFonts w:ascii="Times New Roman" w:hAnsi="Times New Roman"/>
          <w:iCs w:val="0"/>
          <w:szCs w:val="24"/>
        </w:rPr>
        <w:t xml:space="preserve"> a so zohľadnením </w:t>
      </w:r>
      <w:r w:rsidR="002B5594">
        <w:rPr>
          <w:rFonts w:ascii="Times New Roman" w:hAnsi="Times New Roman"/>
          <w:iCs w:val="0"/>
          <w:szCs w:val="24"/>
        </w:rPr>
        <w:t>geologických špecifík lokality.</w:t>
      </w:r>
      <w:r w:rsidR="002B5594">
        <w:rPr>
          <w:rFonts w:ascii="Times New Roman" w:hAnsi="Times New Roman"/>
          <w:iCs w:val="0"/>
          <w:szCs w:val="24"/>
          <w:lang w:val="sk-SK"/>
        </w:rPr>
        <w:t xml:space="preserve"> Tak ako AE Bohunice V-2 je elektráreň vybavená</w:t>
      </w:r>
      <w:r w:rsidRPr="009876B0">
        <w:rPr>
          <w:rFonts w:ascii="Times New Roman" w:hAnsi="Times New Roman"/>
          <w:szCs w:val="24"/>
        </w:rPr>
        <w:t xml:space="preserve"> hermetick</w:t>
      </w:r>
      <w:r w:rsidR="002B5594">
        <w:rPr>
          <w:rFonts w:ascii="Times New Roman" w:hAnsi="Times New Roman"/>
          <w:szCs w:val="24"/>
          <w:lang w:val="sk-SK"/>
        </w:rPr>
        <w:t>ou</w:t>
      </w:r>
      <w:r w:rsidRPr="009876B0">
        <w:rPr>
          <w:rFonts w:ascii="Times New Roman" w:hAnsi="Times New Roman"/>
          <w:szCs w:val="24"/>
        </w:rPr>
        <w:t xml:space="preserve"> zón</w:t>
      </w:r>
      <w:r w:rsidR="002B5594">
        <w:rPr>
          <w:rFonts w:ascii="Times New Roman" w:hAnsi="Times New Roman"/>
          <w:szCs w:val="24"/>
          <w:lang w:val="sk-SK"/>
        </w:rPr>
        <w:t>ou</w:t>
      </w:r>
      <w:r w:rsidRPr="009876B0">
        <w:rPr>
          <w:rFonts w:ascii="Times New Roman" w:hAnsi="Times New Roman"/>
          <w:szCs w:val="24"/>
        </w:rPr>
        <w:t xml:space="preserve"> (tzv. kontajnment</w:t>
      </w:r>
      <w:r w:rsidR="002B5594">
        <w:rPr>
          <w:rFonts w:ascii="Times New Roman" w:hAnsi="Times New Roman"/>
          <w:szCs w:val="24"/>
          <w:lang w:val="sk-SK"/>
        </w:rPr>
        <w:t>om</w:t>
      </w:r>
      <w:r w:rsidRPr="009876B0">
        <w:rPr>
          <w:rFonts w:ascii="Times New Roman" w:hAnsi="Times New Roman"/>
          <w:szCs w:val="24"/>
        </w:rPr>
        <w:t>) dimenzovan</w:t>
      </w:r>
      <w:r w:rsidR="002B5594">
        <w:rPr>
          <w:rFonts w:ascii="Times New Roman" w:hAnsi="Times New Roman"/>
          <w:szCs w:val="24"/>
          <w:lang w:val="sk-SK"/>
        </w:rPr>
        <w:t>ým</w:t>
      </w:r>
      <w:r w:rsidRPr="009876B0">
        <w:rPr>
          <w:rFonts w:ascii="Times New Roman" w:hAnsi="Times New Roman"/>
          <w:szCs w:val="24"/>
        </w:rPr>
        <w:t xml:space="preserve"> na zvládnutie postulovaných havarijných udalostí až do roztrhnutia hlavného cirkulačného potrubia s obojstranným výtokom chladiva bez závažnejších dopadov na životné prostredie a zdravie obyvateľstva</w:t>
      </w:r>
      <w:r w:rsidRPr="009876B0">
        <w:rPr>
          <w:rFonts w:ascii="Times New Roman" w:hAnsi="Times New Roman"/>
          <w:i/>
          <w:szCs w:val="24"/>
        </w:rPr>
        <w:t>.</w:t>
      </w:r>
    </w:p>
    <w:p w:rsidR="00A36751" w:rsidRPr="009876B0" w:rsidP="00A36751">
      <w:pPr>
        <w:pStyle w:val="BodyText"/>
        <w:autoSpaceDE w:val="0"/>
        <w:autoSpaceDN w:val="0"/>
        <w:bidi w:val="0"/>
        <w:adjustRightInd w:val="0"/>
        <w:rPr>
          <w:rFonts w:ascii="Times New Roman" w:hAnsi="Times New Roman"/>
          <w:szCs w:val="24"/>
        </w:rPr>
      </w:pPr>
      <w:r w:rsidRPr="009876B0">
        <w:rPr>
          <w:rFonts w:ascii="Times New Roman" w:hAnsi="Times New Roman"/>
          <w:iCs w:val="0"/>
          <w:szCs w:val="24"/>
        </w:rPr>
        <w:t xml:space="preserve">V AE Mochovce 1,2 sa v roku 2011 uskutočnili plánované odstavenia blokov na generálne opravy (ďalej len „GO“) a výmenu paliva. Počas GO boli vymenené aj clony na napájacej vode do parogenerátorov, ktoré umožnia presnejšie zmerať prietok napájacej vody. V dôsledku uvedených zmien </w:t>
      </w:r>
      <w:r w:rsidR="002B5594">
        <w:rPr>
          <w:rFonts w:ascii="Times New Roman" w:hAnsi="Times New Roman"/>
          <w:iCs w:val="0"/>
          <w:szCs w:val="24"/>
          <w:lang w:val="sk-SK"/>
        </w:rPr>
        <w:t>sú</w:t>
      </w:r>
      <w:r w:rsidRPr="009876B0">
        <w:rPr>
          <w:rFonts w:ascii="Times New Roman" w:hAnsi="Times New Roman"/>
          <w:iCs w:val="0"/>
          <w:szCs w:val="24"/>
        </w:rPr>
        <w:t xml:space="preserve"> tepelný výkon reaktora a prietoky cez reaktor stanoven</w:t>
      </w:r>
      <w:r w:rsidR="002B5594">
        <w:rPr>
          <w:rFonts w:ascii="Times New Roman" w:hAnsi="Times New Roman"/>
          <w:iCs w:val="0"/>
          <w:szCs w:val="24"/>
          <w:lang w:val="sk-SK"/>
        </w:rPr>
        <w:t>é</w:t>
      </w:r>
      <w:r w:rsidRPr="009876B0">
        <w:rPr>
          <w:rFonts w:ascii="Times New Roman" w:hAnsi="Times New Roman"/>
          <w:iCs w:val="0"/>
          <w:szCs w:val="24"/>
        </w:rPr>
        <w:t xml:space="preserve"> s vyššou presnosťou. </w:t>
      </w:r>
      <w:r w:rsidRPr="009876B0">
        <w:rPr>
          <w:rFonts w:ascii="Times New Roman" w:hAnsi="Times New Roman"/>
          <w:szCs w:val="24"/>
        </w:rPr>
        <w:t>V priebehu odstávok neboli na zariadeniach oboch blokov zistené také nedostatky, ktoré by si zo strany ÚJD SR vyžadovali prijať mimoriadne opatrenia.</w:t>
      </w:r>
    </w:p>
    <w:p w:rsidR="005008A8" w:rsidP="00A36751">
      <w:pPr>
        <w:autoSpaceDE w:val="0"/>
        <w:autoSpaceDN w:val="0"/>
        <w:bidi w:val="0"/>
        <w:adjustRightInd w:val="0"/>
        <w:rPr>
          <w:rFonts w:ascii="Times New Roman" w:hAnsi="Times New Roman"/>
          <w:b/>
          <w:szCs w:val="24"/>
        </w:rPr>
      </w:pPr>
    </w:p>
    <w:p w:rsidR="00A36751" w:rsidRPr="009876B0" w:rsidP="00A36751">
      <w:pPr>
        <w:autoSpaceDE w:val="0"/>
        <w:autoSpaceDN w:val="0"/>
        <w:bidi w:val="0"/>
        <w:adjustRightInd w:val="0"/>
        <w:rPr>
          <w:rFonts w:ascii="Times New Roman" w:hAnsi="Times New Roman"/>
          <w:b/>
          <w:szCs w:val="24"/>
        </w:rPr>
      </w:pPr>
      <w:r w:rsidRPr="009876B0">
        <w:rPr>
          <w:rFonts w:ascii="Times New Roman" w:hAnsi="Times New Roman"/>
          <w:b/>
          <w:szCs w:val="24"/>
        </w:rPr>
        <w:t xml:space="preserve">Prevádzkové kontroly </w:t>
      </w:r>
    </w:p>
    <w:p w:rsidR="00A36751" w:rsidRPr="006C6E47" w:rsidP="00A36751">
      <w:pPr>
        <w:autoSpaceDE w:val="0"/>
        <w:autoSpaceDN w:val="0"/>
        <w:bidi w:val="0"/>
        <w:adjustRightInd w:val="0"/>
        <w:jc w:val="both"/>
        <w:rPr>
          <w:rFonts w:ascii="Times New Roman" w:hAnsi="Times New Roman"/>
        </w:rPr>
      </w:pPr>
      <w:r w:rsidRPr="002941F6">
        <w:rPr>
          <w:rFonts w:ascii="Times New Roman" w:hAnsi="Times New Roman"/>
        </w:rPr>
        <w:t>Prevádzkové kontroly boli vykonané v zmysle ročných plánov prevádzkový</w:t>
      </w:r>
      <w:r w:rsidRPr="002941F6" w:rsidR="002B5594">
        <w:rPr>
          <w:rFonts w:ascii="Times New Roman" w:hAnsi="Times New Roman"/>
        </w:rPr>
        <w:t xml:space="preserve">ch kontrol, posúdených ÚJD SR. </w:t>
      </w:r>
      <w:r w:rsidRPr="002941F6">
        <w:rPr>
          <w:rFonts w:ascii="Times New Roman" w:hAnsi="Times New Roman"/>
        </w:rPr>
        <w:t xml:space="preserve">ÚJD SR vykonal kontrolu realizácie prevádzkových kontrol, pričom </w:t>
      </w:r>
      <w:r w:rsidRPr="002941F6" w:rsidR="00ED4418">
        <w:rPr>
          <w:rFonts w:ascii="Times New Roman" w:hAnsi="Times New Roman"/>
        </w:rPr>
        <w:t>sa z</w:t>
      </w:r>
      <w:r w:rsidRPr="002941F6">
        <w:rPr>
          <w:rFonts w:ascii="Times New Roman" w:hAnsi="Times New Roman"/>
        </w:rPr>
        <w:t>amera</w:t>
      </w:r>
      <w:r w:rsidRPr="002941F6" w:rsidR="00ED4418">
        <w:rPr>
          <w:rFonts w:ascii="Times New Roman" w:hAnsi="Times New Roman"/>
        </w:rPr>
        <w:t>l</w:t>
      </w:r>
      <w:r w:rsidRPr="002941F6">
        <w:rPr>
          <w:rFonts w:ascii="Times New Roman" w:hAnsi="Times New Roman"/>
        </w:rPr>
        <w:t xml:space="preserve"> na úplnosť splnenia </w:t>
      </w:r>
      <w:r w:rsidRPr="002941F6" w:rsidR="00ED4418">
        <w:rPr>
          <w:rFonts w:ascii="Times New Roman" w:hAnsi="Times New Roman"/>
        </w:rPr>
        <w:t xml:space="preserve">ich </w:t>
      </w:r>
      <w:r w:rsidRPr="002941F6">
        <w:rPr>
          <w:rFonts w:ascii="Times New Roman" w:hAnsi="Times New Roman"/>
        </w:rPr>
        <w:t>plánovaného rozsahu a dokumentovani</w:t>
      </w:r>
      <w:r w:rsidR="002941F6">
        <w:rPr>
          <w:rFonts w:ascii="Times New Roman" w:hAnsi="Times New Roman"/>
        </w:rPr>
        <w:t>a</w:t>
      </w:r>
      <w:r w:rsidRPr="002941F6">
        <w:rPr>
          <w:rFonts w:ascii="Times New Roman" w:hAnsi="Times New Roman"/>
        </w:rPr>
        <w:t xml:space="preserve">. Pri prevádzkových kontrolách boli potvrdené indikácie, či už opakovane z predchádzajúcich kontrol, ale aj nové, ktoré boli </w:t>
      </w:r>
      <w:r w:rsidR="002941F6">
        <w:rPr>
          <w:rFonts w:ascii="Times New Roman" w:hAnsi="Times New Roman"/>
        </w:rPr>
        <w:t>zistené</w:t>
      </w:r>
      <w:r w:rsidRPr="002941F6">
        <w:rPr>
          <w:rFonts w:ascii="Times New Roman" w:hAnsi="Times New Roman"/>
        </w:rPr>
        <w:t xml:space="preserve"> v dôsledku použitia modernejších a citlivejších prístrojov a kvalifikovaných systémov kontroly. Prípustnosť zistených indikácií pre prevádzku bola preukázaná výpočtami a odbornými posudkami.</w:t>
      </w:r>
      <w:r w:rsidRPr="006C6E47">
        <w:rPr>
          <w:rFonts w:ascii="Times New Roman" w:hAnsi="Times New Roman"/>
        </w:rPr>
        <w:t xml:space="preserve"> </w:t>
      </w:r>
    </w:p>
    <w:p w:rsidR="00ED4418" w:rsidP="00ED551E">
      <w:pPr>
        <w:autoSpaceDE w:val="0"/>
        <w:autoSpaceDN w:val="0"/>
        <w:bidi w:val="0"/>
        <w:adjustRightInd w:val="0"/>
        <w:jc w:val="both"/>
        <w:rPr>
          <w:rFonts w:ascii="Times New Roman" w:hAnsi="Times New Roman"/>
        </w:rPr>
      </w:pPr>
      <w:r w:rsidRPr="006C6E47" w:rsidR="00A36751">
        <w:rPr>
          <w:rFonts w:ascii="Times New Roman" w:hAnsi="Times New Roman"/>
        </w:rPr>
        <w:t xml:space="preserve">Prevádzkovateľ každoročne predkladá ÚJD SR hodnotiace správy o čerpaní životnosti hlavných komponentov a vybraných potrubných trás. Sledované parametre všetkých hodnotených zariadení i stav materiálov tlakových nádob reaktora sú hlboko pod stanovenými limitmi. </w:t>
      </w:r>
    </w:p>
    <w:p w:rsidR="00A36751" w:rsidRPr="00ED551E" w:rsidP="00ED551E">
      <w:pPr>
        <w:autoSpaceDE w:val="0"/>
        <w:autoSpaceDN w:val="0"/>
        <w:bidi w:val="0"/>
        <w:adjustRightInd w:val="0"/>
        <w:jc w:val="both"/>
        <w:rPr>
          <w:rFonts w:ascii="Times New Roman" w:hAnsi="Times New Roman"/>
          <w:szCs w:val="24"/>
        </w:rPr>
      </w:pPr>
      <w:r w:rsidRPr="006C6E47">
        <w:rPr>
          <w:rFonts w:ascii="Times New Roman" w:hAnsi="Times New Roman"/>
        </w:rPr>
        <w:t>Na oboch blokoch elektrárne boli vykonané práce na údržbe hermetickej zóny, aby sa udržala vysoká tesnosť priestorov zabraňujúcich úniku rádioaktívnych látok do životného prostredia. Rozšírenú starostlivosť o stav a tesnosť hermetickej zóny oboch blokov vykonáva prevádzkovateľ na základe prevádzkových skúsenost</w:t>
      </w:r>
      <w:r w:rsidR="00CE1C3C">
        <w:rPr>
          <w:rFonts w:ascii="Times New Roman" w:hAnsi="Times New Roman"/>
        </w:rPr>
        <w:t>í</w:t>
      </w:r>
      <w:r w:rsidRPr="006C6E47">
        <w:rPr>
          <w:rFonts w:ascii="Times New Roman" w:hAnsi="Times New Roman"/>
        </w:rPr>
        <w:t xml:space="preserve"> a analýz v súlade s požiadavkami ÚJD SR.</w:t>
      </w:r>
      <w:r w:rsidR="00ED551E">
        <w:rPr>
          <w:rFonts w:ascii="Times New Roman" w:hAnsi="Times New Roman"/>
        </w:rPr>
        <w:t xml:space="preserve"> </w:t>
      </w:r>
      <w:r w:rsidR="00ED4418">
        <w:rPr>
          <w:rFonts w:ascii="Times New Roman" w:hAnsi="Times New Roman"/>
        </w:rPr>
        <w:t>V </w:t>
      </w:r>
      <w:r>
        <w:rPr>
          <w:rFonts w:ascii="Times New Roman" w:hAnsi="Times New Roman"/>
          <w:szCs w:val="24"/>
        </w:rPr>
        <w:t>rok</w:t>
      </w:r>
      <w:r w:rsidR="00ED4418">
        <w:rPr>
          <w:rFonts w:ascii="Times New Roman" w:hAnsi="Times New Roman"/>
          <w:szCs w:val="24"/>
        </w:rPr>
        <w:t>u 2011</w:t>
      </w:r>
      <w:r>
        <w:rPr>
          <w:rFonts w:ascii="Times New Roman" w:hAnsi="Times New Roman"/>
          <w:szCs w:val="24"/>
        </w:rPr>
        <w:t xml:space="preserve"> bola potvrdená na druhom bloku </w:t>
      </w:r>
      <w:r w:rsidR="00ED551E">
        <w:rPr>
          <w:rFonts w:ascii="Times New Roman" w:hAnsi="Times New Roman"/>
          <w:szCs w:val="24"/>
        </w:rPr>
        <w:t>AE Mochovce</w:t>
      </w:r>
      <w:r>
        <w:rPr>
          <w:rFonts w:ascii="Times New Roman" w:hAnsi="Times New Roman"/>
          <w:szCs w:val="24"/>
        </w:rPr>
        <w:t xml:space="preserve"> historicky najnižšia hodnota netesnosti hermetického priestoru</w:t>
      </w:r>
      <w:r w:rsidR="002B5594">
        <w:rPr>
          <w:rFonts w:ascii="Times New Roman" w:hAnsi="Times New Roman"/>
          <w:szCs w:val="24"/>
        </w:rPr>
        <w:t>.</w:t>
      </w:r>
      <w:r>
        <w:rPr>
          <w:rFonts w:ascii="Times New Roman" w:hAnsi="Times New Roman"/>
          <w:szCs w:val="24"/>
        </w:rPr>
        <w:t xml:space="preserve"> </w:t>
      </w:r>
    </w:p>
    <w:p w:rsidR="00A36751" w:rsidP="00A36751">
      <w:pPr>
        <w:autoSpaceDE w:val="0"/>
        <w:autoSpaceDN w:val="0"/>
        <w:bidi w:val="0"/>
        <w:adjustRightInd w:val="0"/>
        <w:rPr>
          <w:rFonts w:ascii="Times New Roman" w:hAnsi="Times New Roman"/>
        </w:rPr>
      </w:pPr>
    </w:p>
    <w:p w:rsidR="00A36751" w:rsidRPr="005008A8" w:rsidP="00A36751">
      <w:pPr>
        <w:pStyle w:val="BodyText"/>
        <w:suppressLineNumbers/>
        <w:bidi w:val="0"/>
        <w:rPr>
          <w:rFonts w:ascii="Times New Roman" w:hAnsi="Times New Roman"/>
          <w:b/>
          <w:bCs/>
          <w:lang w:val="sk-SK"/>
        </w:rPr>
      </w:pPr>
      <w:r w:rsidR="005008A8">
        <w:rPr>
          <w:rFonts w:ascii="Times New Roman" w:hAnsi="Times New Roman"/>
          <w:b/>
          <w:bCs/>
        </w:rPr>
        <w:t>Prevádzkové udalosti</w:t>
      </w:r>
    </w:p>
    <w:p w:rsidR="00A36751" w:rsidRPr="00A16146" w:rsidP="00A16146">
      <w:pPr>
        <w:bidi w:val="0"/>
        <w:rPr>
          <w:rFonts w:ascii="Times New Roman" w:hAnsi="Times New Roman"/>
        </w:rPr>
      </w:pPr>
      <w:r>
        <w:rPr>
          <w:rFonts w:ascii="Times New Roman" w:hAnsi="Times New Roman"/>
        </w:rPr>
        <w:t>Na AE Mochovce 1, 2 sa nevyskytol prípad automatického odstavenia reaktora AO-1</w:t>
      </w:r>
      <w:r w:rsidR="00A16146">
        <w:rPr>
          <w:rFonts w:ascii="Times New Roman" w:hAnsi="Times New Roman"/>
        </w:rPr>
        <w:t>.</w:t>
      </w:r>
    </w:p>
    <w:p w:rsidR="0029661F" w:rsidRPr="002B7B62" w:rsidP="002941F6">
      <w:pPr>
        <w:pStyle w:val="BodyText"/>
        <w:suppressLineNumbers/>
        <w:bidi w:val="0"/>
        <w:rPr>
          <w:rFonts w:ascii="Times New Roman" w:hAnsi="Times New Roman"/>
        </w:rPr>
      </w:pPr>
      <w:r w:rsidR="00A36751">
        <w:rPr>
          <w:rFonts w:ascii="Times New Roman" w:hAnsi="Times New Roman"/>
        </w:rPr>
        <w:t xml:space="preserve">Najvýznamnejšia udalosť sa stala na 1. bloku </w:t>
      </w:r>
      <w:r w:rsidR="00ED551E">
        <w:rPr>
          <w:rFonts w:ascii="Times New Roman" w:hAnsi="Times New Roman"/>
          <w:szCs w:val="24"/>
        </w:rPr>
        <w:t>AE Mochovce</w:t>
      </w:r>
      <w:r w:rsidR="00A36751">
        <w:rPr>
          <w:rFonts w:ascii="Times New Roman" w:hAnsi="Times New Roman"/>
        </w:rPr>
        <w:t xml:space="preserve"> v máji 2011. Počas nábehu bloku po </w:t>
      </w:r>
      <w:r w:rsidR="004F3791">
        <w:rPr>
          <w:rFonts w:ascii="Times New Roman" w:hAnsi="Times New Roman"/>
          <w:lang w:val="sk-SK"/>
        </w:rPr>
        <w:t>GO</w:t>
      </w:r>
      <w:r w:rsidR="00A36751">
        <w:rPr>
          <w:rFonts w:ascii="Times New Roman" w:hAnsi="Times New Roman"/>
        </w:rPr>
        <w:t xml:space="preserve"> boli zistené nesprávne nastavené poistné ventily jedného </w:t>
      </w:r>
      <w:r w:rsidR="00ED551E">
        <w:rPr>
          <w:rFonts w:ascii="Times New Roman" w:hAnsi="Times New Roman"/>
          <w:lang w:val="sk-SK"/>
        </w:rPr>
        <w:t>z parogenerátorov (PG)</w:t>
      </w:r>
      <w:r w:rsidR="00A36751">
        <w:rPr>
          <w:rFonts w:ascii="Times New Roman" w:hAnsi="Times New Roman"/>
        </w:rPr>
        <w:t>. Hodnoty nastavenia boli nižšie</w:t>
      </w:r>
      <w:r w:rsidR="00A854AB">
        <w:rPr>
          <w:rFonts w:ascii="Times New Roman" w:hAnsi="Times New Roman"/>
          <w:lang w:val="sk-SK"/>
        </w:rPr>
        <w:t>,</w:t>
      </w:r>
      <w:r w:rsidR="00A36751">
        <w:rPr>
          <w:rFonts w:ascii="Times New Roman" w:hAnsi="Times New Roman"/>
        </w:rPr>
        <w:t xml:space="preserve"> ako vyžadujú limity a podmienky pre bezpečnú prevádzku. Funkcia zabezpečujúca integritu tlakov</w:t>
      </w:r>
      <w:r w:rsidR="0094474A">
        <w:rPr>
          <w:rFonts w:ascii="Times New Roman" w:hAnsi="Times New Roman"/>
        </w:rPr>
        <w:t>ej n</w:t>
      </w:r>
      <w:r w:rsidR="00CE1C3C">
        <w:rPr>
          <w:rFonts w:ascii="Times New Roman" w:hAnsi="Times New Roman"/>
          <w:lang w:val="sk-SK"/>
        </w:rPr>
        <w:t>á</w:t>
      </w:r>
      <w:r w:rsidR="0094474A">
        <w:rPr>
          <w:rFonts w:ascii="Times New Roman" w:hAnsi="Times New Roman"/>
        </w:rPr>
        <w:t>doby PG nebola porušená.</w:t>
      </w:r>
      <w:r w:rsidR="002B5594">
        <w:rPr>
          <w:rFonts w:ascii="Times New Roman" w:hAnsi="Times New Roman"/>
          <w:lang w:val="sk-SK"/>
        </w:rPr>
        <w:t xml:space="preserve"> </w:t>
      </w:r>
      <w:r w:rsidRPr="008243F6" w:rsidR="00A36751">
        <w:rPr>
          <w:rFonts w:ascii="Times New Roman" w:hAnsi="Times New Roman"/>
        </w:rPr>
        <w:t xml:space="preserve">ÚJD SR následne vykonal neplánovanú kontrolu, </w:t>
      </w:r>
      <w:r w:rsidR="00A36751">
        <w:rPr>
          <w:rFonts w:ascii="Times New Roman" w:hAnsi="Times New Roman"/>
        </w:rPr>
        <w:t xml:space="preserve">ktorá </w:t>
      </w:r>
      <w:r w:rsidRPr="008243F6" w:rsidR="00A36751">
        <w:rPr>
          <w:rFonts w:ascii="Times New Roman" w:hAnsi="Times New Roman"/>
        </w:rPr>
        <w:t xml:space="preserve">bola uzatvorená </w:t>
      </w:r>
      <w:r w:rsidR="00A36751">
        <w:rPr>
          <w:rFonts w:ascii="Times New Roman" w:hAnsi="Times New Roman"/>
        </w:rPr>
        <w:t>protokolom.</w:t>
      </w:r>
      <w:r w:rsidR="002B5594">
        <w:rPr>
          <w:rFonts w:ascii="Times New Roman" w:hAnsi="Times New Roman"/>
          <w:lang w:val="sk-SK"/>
        </w:rPr>
        <w:t xml:space="preserve"> </w:t>
      </w:r>
      <w:r w:rsidRPr="008243F6" w:rsidR="00A36751">
        <w:rPr>
          <w:rFonts w:ascii="Times New Roman" w:hAnsi="Times New Roman"/>
        </w:rPr>
        <w:t>V tejto súvislosti prevádzkovateľ vykonal niekoľko preventívnych nápravných opatrení s cieľom predísť opakovaniu sa udalosti podobného charakteru.</w:t>
      </w:r>
    </w:p>
    <w:p w:rsidR="0094474A" w:rsidP="002941F6">
      <w:pPr>
        <w:bidi w:val="0"/>
        <w:jc w:val="both"/>
        <w:rPr>
          <w:rFonts w:ascii="Times New Roman" w:hAnsi="Times New Roman"/>
        </w:rPr>
      </w:pPr>
    </w:p>
    <w:p w:rsidR="00877FEB" w:rsidP="002941F6">
      <w:pPr>
        <w:bidi w:val="0"/>
        <w:jc w:val="both"/>
        <w:rPr>
          <w:rFonts w:ascii="Times New Roman" w:hAnsi="Times New Roman"/>
        </w:rPr>
      </w:pPr>
      <w:r w:rsidR="00625A5D">
        <w:rPr>
          <w:rFonts w:ascii="Times New Roman" w:hAnsi="Times New Roman"/>
        </w:rPr>
        <w:t>Prehľad o počte prevádzkových udalostí v rokoch 200</w:t>
      </w:r>
      <w:r w:rsidR="004F3791">
        <w:rPr>
          <w:rFonts w:ascii="Times New Roman" w:hAnsi="Times New Roman"/>
        </w:rPr>
        <w:t>5</w:t>
      </w:r>
      <w:r w:rsidR="00625A5D">
        <w:rPr>
          <w:rFonts w:ascii="Times New Roman" w:hAnsi="Times New Roman"/>
        </w:rPr>
        <w:t xml:space="preserve"> až 201</w:t>
      </w:r>
      <w:r w:rsidR="004F3791">
        <w:rPr>
          <w:rFonts w:ascii="Times New Roman" w:hAnsi="Times New Roman"/>
        </w:rPr>
        <w:t>1</w:t>
      </w:r>
      <w:r w:rsidR="00625A5D">
        <w:rPr>
          <w:rFonts w:ascii="Times New Roman" w:hAnsi="Times New Roman"/>
        </w:rPr>
        <w:t>, ktoré podliehajú hláseniu na ÚJD SR a ich kategorizáciu podľa stupnice INES uvádza tabuľk</w:t>
      </w:r>
      <w:r w:rsidR="002B5594">
        <w:rPr>
          <w:rFonts w:ascii="Times New Roman" w:hAnsi="Times New Roman"/>
        </w:rPr>
        <w:t>a</w:t>
      </w:r>
      <w:r w:rsidR="00625A5D">
        <w:rPr>
          <w:rFonts w:ascii="Times New Roman" w:hAnsi="Times New Roman"/>
        </w:rPr>
        <w:t xml:space="preserve"> č. </w:t>
      </w:r>
      <w:r w:rsidR="004F3791">
        <w:rPr>
          <w:rFonts w:ascii="Times New Roman" w:hAnsi="Times New Roman"/>
        </w:rPr>
        <w:t>5</w:t>
      </w:r>
      <w:r w:rsidR="00625A5D">
        <w:rPr>
          <w:rFonts w:ascii="Times New Roman" w:hAnsi="Times New Roman"/>
        </w:rPr>
        <w:t>.</w:t>
      </w:r>
    </w:p>
    <w:p w:rsidR="00877FEB" w:rsidP="0029661F">
      <w:pPr>
        <w:bidi w:val="0"/>
        <w:jc w:val="both"/>
        <w:rPr>
          <w:rFonts w:ascii="Times New Roman" w:hAnsi="Times New Roman"/>
        </w:rPr>
      </w:pPr>
    </w:p>
    <w:p w:rsidR="00625A5D" w:rsidRPr="0029661F" w:rsidP="0029661F">
      <w:pPr>
        <w:bidi w:val="0"/>
        <w:jc w:val="both"/>
        <w:rPr>
          <w:rFonts w:ascii="Times New Roman" w:hAnsi="Times New Roman"/>
        </w:rPr>
      </w:pPr>
      <w:r>
        <w:rPr>
          <w:rFonts w:ascii="Times New Roman" w:hAnsi="Times New Roman"/>
          <w:bCs/>
        </w:rPr>
        <w:t xml:space="preserve">Tab. č. </w:t>
      </w:r>
      <w:r w:rsidR="00ED551E">
        <w:rPr>
          <w:rFonts w:ascii="Times New Roman" w:hAnsi="Times New Roman"/>
          <w:bCs/>
        </w:rPr>
        <w:t>5</w:t>
      </w:r>
      <w:r w:rsidR="0029661F">
        <w:rPr>
          <w:rFonts w:ascii="Times New Roman" w:hAnsi="Times New Roman"/>
          <w:bCs/>
        </w:rPr>
        <w:t xml:space="preserve"> </w:t>
      </w:r>
      <w:r>
        <w:rPr>
          <w:rFonts w:ascii="Times New Roman" w:hAnsi="Times New Roman"/>
          <w:bCs/>
        </w:rPr>
        <w:t xml:space="preserve">Počet udalostí v AE Mochovce 1,2 </w:t>
      </w:r>
    </w:p>
    <w:tbl>
      <w:tblPr>
        <w:tblStyle w:val="TableNormal"/>
        <w:tblW w:w="4925"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
      <w:tblGrid>
        <w:gridCol w:w="1561"/>
        <w:gridCol w:w="1073"/>
        <w:gridCol w:w="1073"/>
        <w:gridCol w:w="1073"/>
        <w:gridCol w:w="1073"/>
        <w:gridCol w:w="1073"/>
        <w:gridCol w:w="1072"/>
        <w:gridCol w:w="1074"/>
      </w:tblGrid>
      <w:tr>
        <w:tblPrEx>
          <w:tblW w:w="4925" w:type="pct"/>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cantSplit/>
          <w:trHeight w:val="567"/>
        </w:trPr>
        <w:tc>
          <w:tcPr>
            <w:tcW w:w="860" w:type="pct"/>
            <w:tcBorders>
              <w:top w:val="single" w:sz="12" w:space="0" w:color="auto"/>
              <w:left w:val="single" w:sz="12" w:space="0" w:color="auto"/>
              <w:bottom w:val="single" w:sz="6" w:space="0" w:color="auto"/>
              <w:right w:val="single" w:sz="6" w:space="0" w:color="auto"/>
            </w:tcBorders>
            <w:shd w:val="clear" w:color="auto" w:fill="E0E0E0"/>
            <w:textDirection w:val="lrTb"/>
            <w:vAlign w:val="center"/>
          </w:tcPr>
          <w:p w:rsidR="00ED551E" w:rsidP="00ED551E">
            <w:pPr>
              <w:bidi w:val="0"/>
              <w:jc w:val="center"/>
              <w:rPr>
                <w:rFonts w:ascii="Times New Roman" w:hAnsi="Times New Roman"/>
                <w:b/>
                <w:bCs/>
              </w:rPr>
            </w:pPr>
            <w:r>
              <w:rPr>
                <w:rFonts w:ascii="Times New Roman" w:hAnsi="Times New Roman"/>
                <w:b/>
                <w:bCs/>
              </w:rPr>
              <w:t>Stupnica INES/rok</w:t>
            </w:r>
          </w:p>
        </w:tc>
        <w:tc>
          <w:tcPr>
            <w:tcW w:w="591" w:type="pct"/>
            <w:tcBorders>
              <w:top w:val="single" w:sz="12" w:space="0" w:color="auto"/>
              <w:left w:val="single" w:sz="6" w:space="0" w:color="auto"/>
              <w:bottom w:val="single" w:sz="6" w:space="0" w:color="auto"/>
              <w:right w:val="single" w:sz="6" w:space="0" w:color="auto"/>
            </w:tcBorders>
            <w:shd w:val="clear" w:color="auto" w:fill="E0E0E0"/>
            <w:textDirection w:val="lrTb"/>
            <w:vAlign w:val="center"/>
          </w:tcPr>
          <w:p w:rsidR="00ED551E" w:rsidP="00ED551E">
            <w:pPr>
              <w:bidi w:val="0"/>
              <w:jc w:val="center"/>
              <w:rPr>
                <w:rFonts w:ascii="Times New Roman" w:hAnsi="Times New Roman"/>
                <w:b/>
                <w:bCs/>
              </w:rPr>
            </w:pPr>
            <w:r>
              <w:rPr>
                <w:rFonts w:ascii="Times New Roman" w:hAnsi="Times New Roman"/>
                <w:b/>
                <w:bCs/>
              </w:rPr>
              <w:t>2005</w:t>
            </w:r>
          </w:p>
        </w:tc>
        <w:tc>
          <w:tcPr>
            <w:tcW w:w="591" w:type="pct"/>
            <w:tcBorders>
              <w:top w:val="single" w:sz="12" w:space="0" w:color="auto"/>
              <w:left w:val="single" w:sz="6" w:space="0" w:color="auto"/>
              <w:bottom w:val="single" w:sz="6" w:space="0" w:color="auto"/>
              <w:right w:val="single" w:sz="6"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2006</w:t>
            </w:r>
          </w:p>
        </w:tc>
        <w:tc>
          <w:tcPr>
            <w:tcW w:w="591" w:type="pct"/>
            <w:tcBorders>
              <w:top w:val="single" w:sz="12" w:space="0" w:color="auto"/>
              <w:left w:val="single" w:sz="6" w:space="0" w:color="auto"/>
              <w:bottom w:val="single" w:sz="6"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2007</w:t>
            </w:r>
          </w:p>
        </w:tc>
        <w:tc>
          <w:tcPr>
            <w:tcW w:w="591" w:type="pct"/>
            <w:tcBorders>
              <w:top w:val="single" w:sz="12" w:space="0" w:color="auto"/>
              <w:left w:val="single" w:sz="6" w:space="0" w:color="auto"/>
              <w:bottom w:val="single" w:sz="6"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2008</w:t>
            </w:r>
          </w:p>
        </w:tc>
        <w:tc>
          <w:tcPr>
            <w:tcW w:w="591" w:type="pct"/>
            <w:tcBorders>
              <w:top w:val="single" w:sz="12" w:space="0" w:color="auto"/>
              <w:left w:val="single" w:sz="6" w:space="0" w:color="auto"/>
              <w:bottom w:val="single" w:sz="6"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2009</w:t>
            </w:r>
          </w:p>
        </w:tc>
        <w:tc>
          <w:tcPr>
            <w:tcW w:w="591" w:type="pct"/>
            <w:tcBorders>
              <w:top w:val="single" w:sz="12" w:space="0" w:color="auto"/>
              <w:left w:val="single" w:sz="6" w:space="0" w:color="auto"/>
              <w:bottom w:val="single" w:sz="6"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2010</w:t>
            </w:r>
          </w:p>
        </w:tc>
        <w:tc>
          <w:tcPr>
            <w:tcW w:w="592" w:type="pct"/>
            <w:tcBorders>
              <w:top w:val="single" w:sz="12" w:space="0" w:color="auto"/>
              <w:left w:val="single" w:sz="6" w:space="0" w:color="auto"/>
              <w:bottom w:val="single" w:sz="6"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2011</w:t>
            </w:r>
          </w:p>
        </w:tc>
      </w:tr>
      <w:tr>
        <w:tblPrEx>
          <w:tblW w:w="4925" w:type="pct"/>
          <w:tblInd w:w="70" w:type="dxa"/>
          <w:tblCellMar>
            <w:left w:w="70" w:type="dxa"/>
            <w:right w:w="70" w:type="dxa"/>
          </w:tblCellMar>
        </w:tblPrEx>
        <w:trPr>
          <w:cantSplit/>
        </w:trPr>
        <w:tc>
          <w:tcPr>
            <w:tcW w:w="860" w:type="pct"/>
            <w:tcBorders>
              <w:top w:val="single" w:sz="6" w:space="0" w:color="auto"/>
              <w:left w:val="single" w:sz="12" w:space="0" w:color="auto"/>
              <w:bottom w:val="single" w:sz="6" w:space="0" w:color="auto"/>
              <w:right w:val="single" w:sz="6" w:space="0" w:color="auto"/>
            </w:tcBorders>
            <w:textDirection w:val="lrTb"/>
            <w:vAlign w:val="center"/>
          </w:tcPr>
          <w:p w:rsidR="00ED551E" w:rsidRPr="00A4278F" w:rsidP="00ED551E">
            <w:pPr>
              <w:pStyle w:val="ListBullet"/>
              <w:bidi w:val="0"/>
              <w:rPr>
                <w:rFonts w:ascii="Times New Roman" w:hAnsi="Times New Roman"/>
              </w:rPr>
            </w:pPr>
            <w:r w:rsidRPr="00A4278F">
              <w:rPr>
                <w:rFonts w:ascii="Times New Roman" w:hAnsi="Times New Roman"/>
              </w:rPr>
              <w:t>mimo stupnice</w:t>
            </w:r>
            <w:r>
              <w:rPr>
                <w:rFonts w:ascii="Times New Roman" w:hAnsi="Times New Roman"/>
              </w:rPr>
              <w:t>/</w:t>
            </w:r>
            <w:r w:rsidRPr="00A4278F">
              <w:rPr>
                <w:rFonts w:ascii="Times New Roman" w:hAnsi="Times New Roman"/>
              </w:rPr>
              <w:t xml:space="preserve"> (INES 0)</w:t>
            </w:r>
          </w:p>
        </w:tc>
        <w:tc>
          <w:tcPr>
            <w:tcW w:w="591" w:type="pct"/>
            <w:tcBorders>
              <w:top w:val="single" w:sz="6" w:space="0" w:color="auto"/>
              <w:left w:val="single" w:sz="6" w:space="0" w:color="auto"/>
              <w:bottom w:val="single" w:sz="6" w:space="0" w:color="auto"/>
              <w:right w:val="single" w:sz="6" w:space="0" w:color="auto"/>
            </w:tcBorders>
            <w:textDirection w:val="lrTb"/>
            <w:vAlign w:val="center"/>
          </w:tcPr>
          <w:p w:rsidR="00ED551E" w:rsidP="00ED551E">
            <w:pPr>
              <w:bidi w:val="0"/>
              <w:jc w:val="center"/>
              <w:rPr>
                <w:rFonts w:ascii="Times New Roman" w:hAnsi="Times New Roman"/>
              </w:rPr>
            </w:pPr>
            <w:r>
              <w:rPr>
                <w:rFonts w:ascii="Times New Roman" w:hAnsi="Times New Roman"/>
              </w:rPr>
              <w:t>17</w:t>
            </w:r>
          </w:p>
        </w:tc>
        <w:tc>
          <w:tcPr>
            <w:tcW w:w="591" w:type="pct"/>
            <w:tcBorders>
              <w:top w:val="single" w:sz="6" w:space="0" w:color="auto"/>
              <w:left w:val="single" w:sz="6" w:space="0" w:color="auto"/>
              <w:bottom w:val="single" w:sz="6" w:space="0" w:color="auto"/>
              <w:right w:val="single" w:sz="6"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24</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13</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14</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34</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20</w:t>
            </w:r>
          </w:p>
        </w:tc>
        <w:tc>
          <w:tcPr>
            <w:tcW w:w="592"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pStyle w:val="T"/>
              <w:suppressLineNumbers/>
              <w:bidi w:val="0"/>
              <w:spacing w:before="0" w:after="0"/>
              <w:rPr>
                <w:rFonts w:ascii="Times New Roman" w:hAnsi="Times New Roman"/>
              </w:rPr>
            </w:pPr>
            <w:r>
              <w:rPr>
                <w:rFonts w:ascii="Times New Roman" w:hAnsi="Times New Roman"/>
              </w:rPr>
              <w:t>19</w:t>
            </w:r>
          </w:p>
        </w:tc>
      </w:tr>
      <w:tr>
        <w:tblPrEx>
          <w:tblW w:w="4925" w:type="pct"/>
          <w:tblInd w:w="70" w:type="dxa"/>
          <w:tblCellMar>
            <w:left w:w="70" w:type="dxa"/>
            <w:right w:w="70" w:type="dxa"/>
          </w:tblCellMar>
        </w:tblPrEx>
        <w:trPr>
          <w:cantSplit/>
          <w:trHeight w:val="284"/>
        </w:trPr>
        <w:tc>
          <w:tcPr>
            <w:tcW w:w="860" w:type="pct"/>
            <w:tcBorders>
              <w:top w:val="single" w:sz="6" w:space="0" w:color="auto"/>
              <w:left w:val="single" w:sz="12" w:space="0" w:color="auto"/>
              <w:bottom w:val="single" w:sz="6" w:space="0" w:color="auto"/>
              <w:right w:val="single" w:sz="6" w:space="0" w:color="auto"/>
            </w:tcBorders>
            <w:textDirection w:val="lrTb"/>
            <w:vAlign w:val="center"/>
          </w:tcPr>
          <w:p w:rsidR="00ED551E" w:rsidP="00ED551E">
            <w:pPr>
              <w:pStyle w:val="ListBullet"/>
              <w:bidi w:val="0"/>
              <w:rPr>
                <w:rFonts w:ascii="Times New Roman" w:hAnsi="Times New Roman"/>
              </w:rPr>
            </w:pPr>
            <w:r>
              <w:rPr>
                <w:rFonts w:ascii="Times New Roman" w:hAnsi="Times New Roman"/>
              </w:rPr>
              <w:t>INES 1</w:t>
            </w:r>
          </w:p>
        </w:tc>
        <w:tc>
          <w:tcPr>
            <w:tcW w:w="591" w:type="pct"/>
            <w:tcBorders>
              <w:top w:val="single" w:sz="6" w:space="0" w:color="auto"/>
              <w:left w:val="single" w:sz="6" w:space="0" w:color="auto"/>
              <w:bottom w:val="single" w:sz="6" w:space="0" w:color="auto"/>
              <w:right w:val="single" w:sz="6" w:space="0" w:color="auto"/>
            </w:tcBorders>
            <w:textDirection w:val="lrTb"/>
            <w:vAlign w:val="center"/>
          </w:tcPr>
          <w:p w:rsidR="00ED551E" w:rsidP="00ED551E">
            <w:pPr>
              <w:bidi w:val="0"/>
              <w:jc w:val="center"/>
              <w:rPr>
                <w:rFonts w:ascii="Times New Roman" w:hAnsi="Times New Roman"/>
              </w:rPr>
            </w:pPr>
            <w:r>
              <w:rPr>
                <w:rFonts w:ascii="Times New Roman" w:hAnsi="Times New Roman"/>
              </w:rPr>
              <w:t>1</w:t>
            </w:r>
          </w:p>
        </w:tc>
        <w:tc>
          <w:tcPr>
            <w:tcW w:w="591" w:type="pct"/>
            <w:tcBorders>
              <w:top w:val="single" w:sz="6" w:space="0" w:color="auto"/>
              <w:left w:val="single" w:sz="6" w:space="0" w:color="auto"/>
              <w:bottom w:val="single" w:sz="6" w:space="0" w:color="auto"/>
              <w:right w:val="single" w:sz="6"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0</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2</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1</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0</w:t>
            </w:r>
          </w:p>
        </w:tc>
        <w:tc>
          <w:tcPr>
            <w:tcW w:w="591"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1</w:t>
            </w:r>
          </w:p>
        </w:tc>
        <w:tc>
          <w:tcPr>
            <w:tcW w:w="592" w:type="pct"/>
            <w:tcBorders>
              <w:top w:val="single" w:sz="6" w:space="0" w:color="auto"/>
              <w:left w:val="single" w:sz="6" w:space="0" w:color="auto"/>
              <w:bottom w:val="single" w:sz="6" w:space="0" w:color="auto"/>
              <w:right w:val="single" w:sz="12" w:space="0" w:color="auto"/>
            </w:tcBorders>
            <w:textDirection w:val="lrTb"/>
            <w:vAlign w:val="center"/>
          </w:tcPr>
          <w:p w:rsidR="00ED551E" w:rsidP="00ED551E">
            <w:pPr>
              <w:suppressLineNumbers/>
              <w:bidi w:val="0"/>
              <w:jc w:val="center"/>
              <w:rPr>
                <w:rFonts w:ascii="Times New Roman" w:hAnsi="Times New Roman"/>
              </w:rPr>
            </w:pPr>
            <w:r>
              <w:rPr>
                <w:rFonts w:ascii="Times New Roman" w:hAnsi="Times New Roman"/>
              </w:rPr>
              <w:t>0</w:t>
            </w:r>
          </w:p>
        </w:tc>
      </w:tr>
      <w:tr>
        <w:tblPrEx>
          <w:tblW w:w="4925" w:type="pct"/>
          <w:tblInd w:w="70" w:type="dxa"/>
          <w:tblCellMar>
            <w:left w:w="70" w:type="dxa"/>
            <w:right w:w="70" w:type="dxa"/>
          </w:tblCellMar>
        </w:tblPrEx>
        <w:trPr>
          <w:cantSplit/>
          <w:trHeight w:val="284"/>
        </w:trPr>
        <w:tc>
          <w:tcPr>
            <w:tcW w:w="860" w:type="pct"/>
            <w:tcBorders>
              <w:top w:val="single" w:sz="6" w:space="0" w:color="auto"/>
              <w:left w:val="single" w:sz="12" w:space="0" w:color="auto"/>
              <w:bottom w:val="single" w:sz="12" w:space="0" w:color="auto"/>
              <w:right w:val="single" w:sz="6" w:space="0" w:color="auto"/>
            </w:tcBorders>
            <w:shd w:val="clear" w:color="auto" w:fill="E0E0E0"/>
            <w:textDirection w:val="lrTb"/>
            <w:vAlign w:val="center"/>
          </w:tcPr>
          <w:p w:rsidR="00ED551E" w:rsidP="00ED551E">
            <w:pPr>
              <w:pStyle w:val="Footer"/>
              <w:bidi w:val="0"/>
              <w:jc w:val="center"/>
              <w:rPr>
                <w:rFonts w:ascii="Times New Roman" w:hAnsi="Times New Roman"/>
                <w:b/>
                <w:bCs/>
              </w:rPr>
            </w:pPr>
            <w:r>
              <w:rPr>
                <w:rFonts w:ascii="Times New Roman" w:hAnsi="Times New Roman"/>
                <w:b/>
                <w:bCs/>
              </w:rPr>
              <w:t>Spolu</w:t>
            </w:r>
          </w:p>
        </w:tc>
        <w:tc>
          <w:tcPr>
            <w:tcW w:w="591" w:type="pct"/>
            <w:tcBorders>
              <w:top w:val="single" w:sz="6" w:space="0" w:color="auto"/>
              <w:left w:val="single" w:sz="6" w:space="0" w:color="auto"/>
              <w:bottom w:val="single" w:sz="12" w:space="0" w:color="auto"/>
              <w:right w:val="single" w:sz="6" w:space="0" w:color="auto"/>
            </w:tcBorders>
            <w:shd w:val="clear" w:color="auto" w:fill="E0E0E0"/>
            <w:textDirection w:val="lrTb"/>
            <w:vAlign w:val="center"/>
          </w:tcPr>
          <w:p w:rsidR="00ED551E" w:rsidP="00ED551E">
            <w:pPr>
              <w:bidi w:val="0"/>
              <w:jc w:val="center"/>
              <w:rPr>
                <w:rFonts w:ascii="Times New Roman" w:hAnsi="Times New Roman"/>
                <w:b/>
                <w:bCs/>
              </w:rPr>
            </w:pPr>
            <w:r>
              <w:rPr>
                <w:rFonts w:ascii="Times New Roman" w:hAnsi="Times New Roman"/>
                <w:b/>
                <w:bCs/>
              </w:rPr>
              <w:t>18</w:t>
            </w:r>
          </w:p>
        </w:tc>
        <w:tc>
          <w:tcPr>
            <w:tcW w:w="591" w:type="pct"/>
            <w:tcBorders>
              <w:top w:val="single" w:sz="6" w:space="0" w:color="auto"/>
              <w:left w:val="single" w:sz="6" w:space="0" w:color="auto"/>
              <w:bottom w:val="single" w:sz="12" w:space="0" w:color="auto"/>
              <w:right w:val="single" w:sz="6"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24</w:t>
            </w:r>
          </w:p>
        </w:tc>
        <w:tc>
          <w:tcPr>
            <w:tcW w:w="591" w:type="pct"/>
            <w:tcBorders>
              <w:top w:val="single" w:sz="6" w:space="0" w:color="auto"/>
              <w:left w:val="single" w:sz="6" w:space="0" w:color="auto"/>
              <w:bottom w:val="single" w:sz="12"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15</w:t>
            </w:r>
          </w:p>
        </w:tc>
        <w:tc>
          <w:tcPr>
            <w:tcW w:w="591" w:type="pct"/>
            <w:tcBorders>
              <w:top w:val="single" w:sz="6" w:space="0" w:color="auto"/>
              <w:left w:val="single" w:sz="6" w:space="0" w:color="auto"/>
              <w:bottom w:val="single" w:sz="12"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15</w:t>
            </w:r>
          </w:p>
        </w:tc>
        <w:tc>
          <w:tcPr>
            <w:tcW w:w="591" w:type="pct"/>
            <w:tcBorders>
              <w:top w:val="single" w:sz="6" w:space="0" w:color="auto"/>
              <w:left w:val="single" w:sz="6" w:space="0" w:color="auto"/>
              <w:bottom w:val="single" w:sz="12"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34</w:t>
            </w:r>
          </w:p>
        </w:tc>
        <w:tc>
          <w:tcPr>
            <w:tcW w:w="591" w:type="pct"/>
            <w:tcBorders>
              <w:top w:val="single" w:sz="6" w:space="0" w:color="auto"/>
              <w:left w:val="single" w:sz="6" w:space="0" w:color="auto"/>
              <w:bottom w:val="single" w:sz="12"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21</w:t>
            </w:r>
          </w:p>
        </w:tc>
        <w:tc>
          <w:tcPr>
            <w:tcW w:w="592" w:type="pct"/>
            <w:tcBorders>
              <w:top w:val="single" w:sz="6" w:space="0" w:color="auto"/>
              <w:left w:val="single" w:sz="6" w:space="0" w:color="auto"/>
              <w:bottom w:val="single" w:sz="12" w:space="0" w:color="auto"/>
              <w:right w:val="single" w:sz="12" w:space="0" w:color="auto"/>
            </w:tcBorders>
            <w:shd w:val="clear" w:color="auto" w:fill="E0E0E0"/>
            <w:textDirection w:val="lrTb"/>
            <w:vAlign w:val="center"/>
          </w:tcPr>
          <w:p w:rsidR="00ED551E" w:rsidP="00ED551E">
            <w:pPr>
              <w:suppressLineNumbers/>
              <w:bidi w:val="0"/>
              <w:jc w:val="center"/>
              <w:rPr>
                <w:rFonts w:ascii="Times New Roman" w:hAnsi="Times New Roman"/>
                <w:b/>
                <w:bCs/>
              </w:rPr>
            </w:pPr>
            <w:r>
              <w:rPr>
                <w:rFonts w:ascii="Times New Roman" w:hAnsi="Times New Roman"/>
                <w:b/>
                <w:bCs/>
              </w:rPr>
              <w:t>19</w:t>
            </w:r>
          </w:p>
        </w:tc>
      </w:tr>
    </w:tbl>
    <w:p w:rsidR="00BE090E" w:rsidP="00BE090E">
      <w:pPr>
        <w:pStyle w:val="Heading4"/>
        <w:numPr>
          <w:ilvl w:val="0"/>
          <w:numId w:val="0"/>
        </w:numPr>
        <w:tabs>
          <w:tab w:val="clear" w:pos="794"/>
          <w:tab w:val="left" w:pos="851"/>
          <w:tab w:val="clear" w:pos="1800"/>
        </w:tabs>
        <w:bidi w:val="0"/>
        <w:ind w:firstLine="0"/>
        <w:rPr>
          <w:rFonts w:ascii="Times New Roman" w:hAnsi="Times New Roman"/>
        </w:rPr>
      </w:pPr>
      <w:bookmarkStart w:id="47" w:name="_Toc132187135"/>
      <w:bookmarkStart w:id="48" w:name="_Toc158112588"/>
      <w:bookmarkStart w:id="49" w:name="_Toc162317357"/>
      <w:bookmarkStart w:id="50" w:name="_Toc224458814"/>
      <w:bookmarkStart w:id="51" w:name="_Toc285032446"/>
    </w:p>
    <w:p w:rsidR="002B7B62" w:rsidRPr="00D95E1F" w:rsidP="0064005D">
      <w:pPr>
        <w:bidi w:val="0"/>
        <w:jc w:val="both"/>
        <w:rPr>
          <w:rFonts w:ascii="Times New Roman" w:hAnsi="Times New Roman"/>
          <w:b/>
          <w:i/>
        </w:rPr>
      </w:pPr>
      <w:r w:rsidRPr="00D95E1F">
        <w:rPr>
          <w:rFonts w:ascii="Times New Roman" w:hAnsi="Times New Roman"/>
          <w:i/>
        </w:rPr>
        <w:t>Záver</w:t>
      </w:r>
      <w:r w:rsidRPr="00D95E1F">
        <w:rPr>
          <w:rFonts w:ascii="Times New Roman" w:hAnsi="Times New Roman"/>
          <w:b/>
          <w:i/>
        </w:rPr>
        <w:t>:</w:t>
      </w:r>
    </w:p>
    <w:p w:rsidR="00BE090E" w:rsidRPr="002941F6" w:rsidP="0064005D">
      <w:pPr>
        <w:bidi w:val="0"/>
        <w:jc w:val="both"/>
        <w:rPr>
          <w:rFonts w:ascii="Times New Roman" w:hAnsi="Times New Roman"/>
          <w:i/>
          <w:iCs/>
        </w:rPr>
      </w:pPr>
      <w:r w:rsidRPr="002941F6" w:rsidR="002B7B62">
        <w:rPr>
          <w:rFonts w:ascii="Times New Roman" w:hAnsi="Times New Roman"/>
          <w:i/>
          <w:iCs/>
        </w:rPr>
        <w:t>Na základe výsledkov kontrolnej a hodnotiacej činnosti ÚJD SR bola vyhodnotená prevádzka AE Mochovce 1,2 v roku 2011 ako bezpečná. Nedostatky, ktoré boli počas inšpekcií zistené, boli odstránené a boli prijaté také nápravné opatrenia, ktoré minimalizujú pravdepodobnosť ich opakovania.</w:t>
      </w:r>
    </w:p>
    <w:p w:rsidR="002B7B62" w:rsidRPr="0064005D" w:rsidP="0064005D">
      <w:pPr>
        <w:bidi w:val="0"/>
        <w:jc w:val="both"/>
        <w:rPr>
          <w:rFonts w:ascii="Times New Roman" w:hAnsi="Times New Roman"/>
          <w:b/>
          <w:i/>
        </w:rPr>
      </w:pPr>
    </w:p>
    <w:p w:rsidR="00BE090E" w:rsidRPr="00BE090E" w:rsidP="003D2AF3">
      <w:pPr>
        <w:pStyle w:val="Heading4"/>
        <w:tabs>
          <w:tab w:val="num" w:pos="0"/>
          <w:tab w:val="clear" w:pos="794"/>
          <w:tab w:val="left" w:pos="851"/>
          <w:tab w:val="clear" w:pos="1800"/>
        </w:tabs>
        <w:bidi w:val="0"/>
        <w:spacing w:after="100" w:afterAutospacing="1"/>
        <w:ind w:left="0" w:firstLine="0"/>
        <w:rPr>
          <w:rFonts w:ascii="Times New Roman" w:hAnsi="Times New Roman"/>
        </w:rPr>
      </w:pPr>
      <w:bookmarkStart w:id="52" w:name="_Toc320719718"/>
      <w:r w:rsidR="00625A5D">
        <w:rPr>
          <w:rFonts w:ascii="Times New Roman" w:hAnsi="Times New Roman"/>
        </w:rPr>
        <w:t>Atómové elektrárne vo výstavbe</w:t>
      </w:r>
      <w:bookmarkEnd w:id="47"/>
      <w:bookmarkEnd w:id="48"/>
      <w:bookmarkEnd w:id="49"/>
      <w:bookmarkEnd w:id="50"/>
      <w:bookmarkEnd w:id="51"/>
      <w:bookmarkEnd w:id="52"/>
    </w:p>
    <w:p w:rsidR="002C34E3" w:rsidP="002C34E3">
      <w:pPr>
        <w:pStyle w:val="BodyText2"/>
        <w:bidi w:val="0"/>
        <w:spacing w:after="120"/>
        <w:rPr>
          <w:rFonts w:ascii="Times New Roman" w:hAnsi="Times New Roman"/>
        </w:rPr>
      </w:pPr>
      <w:r w:rsidR="00625A5D">
        <w:rPr>
          <w:rFonts w:ascii="Times New Roman" w:hAnsi="Times New Roman"/>
        </w:rPr>
        <w:t xml:space="preserve">V súčasnosti </w:t>
      </w:r>
      <w:r>
        <w:rPr>
          <w:rFonts w:ascii="Times New Roman" w:hAnsi="Times New Roman"/>
        </w:rPr>
        <w:t>sú</w:t>
      </w:r>
      <w:r w:rsidR="00625A5D">
        <w:rPr>
          <w:rFonts w:ascii="Times New Roman" w:hAnsi="Times New Roman"/>
        </w:rPr>
        <w:t xml:space="preserve"> v SR rozostavan</w:t>
      </w:r>
      <w:r>
        <w:rPr>
          <w:rFonts w:ascii="Times New Roman" w:hAnsi="Times New Roman"/>
        </w:rPr>
        <w:t>é</w:t>
      </w:r>
      <w:r w:rsidR="00625A5D">
        <w:rPr>
          <w:rFonts w:ascii="Times New Roman" w:hAnsi="Times New Roman"/>
        </w:rPr>
        <w:t xml:space="preserve"> AE Mochovce 3, 4, ktor</w:t>
      </w:r>
      <w:r>
        <w:rPr>
          <w:rFonts w:ascii="Times New Roman" w:hAnsi="Times New Roman"/>
        </w:rPr>
        <w:t>ých</w:t>
      </w:r>
      <w:r w:rsidR="00625A5D">
        <w:rPr>
          <w:rFonts w:ascii="Times New Roman" w:hAnsi="Times New Roman"/>
        </w:rPr>
        <w:t xml:space="preserve"> vlastníkom sú SE, a.</w:t>
      </w:r>
      <w:r w:rsidR="00624032">
        <w:rPr>
          <w:rFonts w:ascii="Times New Roman" w:hAnsi="Times New Roman"/>
        </w:rPr>
        <w:t> </w:t>
      </w:r>
      <w:r w:rsidR="00625A5D">
        <w:rPr>
          <w:rFonts w:ascii="Times New Roman" w:hAnsi="Times New Roman"/>
        </w:rPr>
        <w:t>s.</w:t>
      </w:r>
    </w:p>
    <w:p w:rsidR="003D2AF3" w:rsidRPr="003D2AF3" w:rsidP="00E700F5">
      <w:pPr>
        <w:pStyle w:val="Heading5"/>
        <w:numPr>
          <w:ilvl w:val="4"/>
          <w:numId w:val="5"/>
        </w:numPr>
        <w:suppressLineNumbers/>
        <w:bidi w:val="0"/>
        <w:spacing w:after="120"/>
        <w:jc w:val="both"/>
        <w:rPr>
          <w:rFonts w:ascii="Times New Roman" w:hAnsi="Times New Roman"/>
          <w:i/>
          <w:iCs/>
          <w:sz w:val="24"/>
        </w:rPr>
      </w:pPr>
      <w:r w:rsidR="00625A5D">
        <w:rPr>
          <w:rFonts w:ascii="Times New Roman" w:hAnsi="Times New Roman"/>
          <w:i/>
          <w:iCs/>
          <w:sz w:val="24"/>
        </w:rPr>
        <w:t>Atómov</w:t>
      </w:r>
      <w:r w:rsidR="00483D7E">
        <w:rPr>
          <w:rFonts w:ascii="Times New Roman" w:hAnsi="Times New Roman"/>
          <w:i/>
          <w:iCs/>
          <w:sz w:val="24"/>
        </w:rPr>
        <w:t>é</w:t>
      </w:r>
      <w:r w:rsidR="00625A5D">
        <w:rPr>
          <w:rFonts w:ascii="Times New Roman" w:hAnsi="Times New Roman"/>
          <w:i/>
          <w:iCs/>
          <w:sz w:val="24"/>
        </w:rPr>
        <w:t xml:space="preserve"> elektrár</w:t>
      </w:r>
      <w:r w:rsidR="00483D7E">
        <w:rPr>
          <w:rFonts w:ascii="Times New Roman" w:hAnsi="Times New Roman"/>
          <w:i/>
          <w:iCs/>
          <w:sz w:val="24"/>
        </w:rPr>
        <w:t>ne</w:t>
      </w:r>
      <w:r w:rsidR="00625A5D">
        <w:rPr>
          <w:rFonts w:ascii="Times New Roman" w:hAnsi="Times New Roman"/>
          <w:i/>
          <w:iCs/>
          <w:sz w:val="24"/>
        </w:rPr>
        <w:t xml:space="preserve"> Mochovce 3,4</w:t>
      </w:r>
    </w:p>
    <w:p w:rsidR="00ED551E" w:rsidRPr="00666E26" w:rsidP="0094474A">
      <w:pPr>
        <w:autoSpaceDE w:val="0"/>
        <w:autoSpaceDN w:val="0"/>
        <w:bidi w:val="0"/>
        <w:adjustRightInd w:val="0"/>
        <w:jc w:val="both"/>
        <w:rPr>
          <w:rFonts w:ascii="Times New Roman" w:hAnsi="Times New Roman"/>
        </w:rPr>
      </w:pPr>
      <w:r w:rsidRPr="006C6E47">
        <w:rPr>
          <w:rFonts w:ascii="Times New Roman" w:hAnsi="Times New Roman"/>
        </w:rPr>
        <w:t>AE Mochovce 3,4 tvoria dva rozostavané bloky VVER 440 s reaktormi typu V</w:t>
      </w:r>
      <w:r>
        <w:rPr>
          <w:rFonts w:ascii="Times New Roman" w:hAnsi="Times New Roman"/>
        </w:rPr>
        <w:t>-</w:t>
      </w:r>
      <w:r w:rsidRPr="006C6E47">
        <w:rPr>
          <w:rFonts w:ascii="Times New Roman" w:hAnsi="Times New Roman"/>
        </w:rPr>
        <w:t>213 so zvýšenou bezpečnosťou. Ich výstavba bola v polovici 90. rokov pozastavená a zariadenia boli zakonzervované postupom odsúhlaseným ÚJD SR. V</w:t>
      </w:r>
      <w:r w:rsidR="00811DE9">
        <w:rPr>
          <w:rFonts w:ascii="Times New Roman" w:hAnsi="Times New Roman"/>
        </w:rPr>
        <w:t xml:space="preserve">  roku 2011 sa </w:t>
      </w:r>
      <w:r w:rsidRPr="006C6E47">
        <w:rPr>
          <w:rFonts w:ascii="Times New Roman" w:hAnsi="Times New Roman"/>
        </w:rPr>
        <w:t xml:space="preserve">na stavbe </w:t>
      </w:r>
      <w:r w:rsidR="001F29FE">
        <w:rPr>
          <w:rFonts w:ascii="Times New Roman" w:hAnsi="Times New Roman"/>
        </w:rPr>
        <w:t>JZ</w:t>
      </w:r>
      <w:r w:rsidRPr="006C6E47">
        <w:rPr>
          <w:rFonts w:ascii="Times New Roman" w:hAnsi="Times New Roman"/>
        </w:rPr>
        <w:t xml:space="preserve"> </w:t>
      </w:r>
      <w:r w:rsidR="00811DE9">
        <w:rPr>
          <w:rFonts w:ascii="Times New Roman" w:hAnsi="Times New Roman"/>
        </w:rPr>
        <w:t xml:space="preserve">uskutočnili </w:t>
      </w:r>
      <w:r w:rsidRPr="006C6E47">
        <w:rPr>
          <w:rFonts w:ascii="Times New Roman" w:hAnsi="Times New Roman"/>
        </w:rPr>
        <w:t>intenzívne práce zamerané na repasie stavebných objektov, konštrukcií a technologických komponentov,</w:t>
      </w:r>
      <w:r>
        <w:rPr>
          <w:rFonts w:ascii="Times New Roman" w:hAnsi="Times New Roman"/>
        </w:rPr>
        <w:t xml:space="preserve"> </w:t>
      </w:r>
      <w:r w:rsidRPr="00666E26" w:rsidR="0094474A">
        <w:rPr>
          <w:rFonts w:ascii="Times New Roman" w:hAnsi="Times New Roman"/>
        </w:rPr>
        <w:t>montáž potrubných trás napájacej vody</w:t>
      </w:r>
      <w:r w:rsidR="0094474A">
        <w:rPr>
          <w:rFonts w:ascii="Times New Roman" w:hAnsi="Times New Roman"/>
        </w:rPr>
        <w:t>,</w:t>
      </w:r>
      <w:r w:rsidRPr="00666E26" w:rsidR="0094474A">
        <w:rPr>
          <w:rFonts w:ascii="Times New Roman" w:hAnsi="Times New Roman"/>
        </w:rPr>
        <w:t xml:space="preserve"> hlavného parného potrubia</w:t>
      </w:r>
      <w:r w:rsidR="0094474A">
        <w:rPr>
          <w:rFonts w:ascii="Times New Roman" w:hAnsi="Times New Roman"/>
        </w:rPr>
        <w:t xml:space="preserve"> a</w:t>
      </w:r>
      <w:r w:rsidRPr="00666E26" w:rsidR="0094474A">
        <w:rPr>
          <w:rFonts w:ascii="Times New Roman" w:hAnsi="Times New Roman"/>
        </w:rPr>
        <w:t xml:space="preserve">  hlavného cirkulačného potrubia 3. </w:t>
      </w:r>
      <w:r w:rsidR="0094474A">
        <w:rPr>
          <w:rFonts w:ascii="Times New Roman" w:hAnsi="Times New Roman"/>
        </w:rPr>
        <w:t>b</w:t>
      </w:r>
      <w:r w:rsidRPr="00666E26" w:rsidR="0094474A">
        <w:rPr>
          <w:rFonts w:ascii="Times New Roman" w:hAnsi="Times New Roman"/>
        </w:rPr>
        <w:t>loku</w:t>
      </w:r>
      <w:r w:rsidR="0094474A">
        <w:rPr>
          <w:rFonts w:ascii="Times New Roman" w:hAnsi="Times New Roman"/>
        </w:rPr>
        <w:t>,</w:t>
      </w:r>
      <w:r w:rsidRPr="006C6E47" w:rsidR="0094474A">
        <w:rPr>
          <w:rFonts w:ascii="Times New Roman" w:hAnsi="Times New Roman"/>
        </w:rPr>
        <w:t xml:space="preserve"> </w:t>
      </w:r>
      <w:r w:rsidR="00624032">
        <w:rPr>
          <w:rFonts w:ascii="Times New Roman" w:hAnsi="Times New Roman"/>
        </w:rPr>
        <w:t xml:space="preserve">uskutočnili sa </w:t>
      </w:r>
      <w:r w:rsidRPr="00666E26" w:rsidR="0094474A">
        <w:rPr>
          <w:rFonts w:ascii="Times New Roman" w:hAnsi="Times New Roman"/>
        </w:rPr>
        <w:t>transport a osadenie tlakovej nádoby reaktora 4</w:t>
      </w:r>
      <w:r w:rsidR="0094474A">
        <w:rPr>
          <w:rFonts w:ascii="Times New Roman" w:hAnsi="Times New Roman"/>
        </w:rPr>
        <w:t>.</w:t>
      </w:r>
      <w:r w:rsidR="005008A8">
        <w:rPr>
          <w:rFonts w:ascii="Times New Roman" w:hAnsi="Times New Roman"/>
        </w:rPr>
        <w:t xml:space="preserve"> </w:t>
      </w:r>
      <w:r w:rsidR="0094474A">
        <w:rPr>
          <w:rFonts w:ascii="Times New Roman" w:hAnsi="Times New Roman"/>
        </w:rPr>
        <w:t xml:space="preserve">bloku, </w:t>
      </w:r>
      <w:r w:rsidRPr="00666E26" w:rsidR="0094474A">
        <w:rPr>
          <w:rFonts w:ascii="Times New Roman" w:hAnsi="Times New Roman"/>
        </w:rPr>
        <w:t>seizmické zodolnenie tepelných výmen</w:t>
      </w:r>
      <w:r w:rsidR="002B5594">
        <w:rPr>
          <w:rFonts w:ascii="Times New Roman" w:hAnsi="Times New Roman"/>
        </w:rPr>
        <w:t>n</w:t>
      </w:r>
      <w:r w:rsidRPr="00666E26" w:rsidR="0094474A">
        <w:rPr>
          <w:rFonts w:ascii="Times New Roman" w:hAnsi="Times New Roman"/>
        </w:rPr>
        <w:t>íkov havarijných systémov chladenia aktívnej zóny, montáž a postupné oživovanie zariadení plnorozsahového simuláto</w:t>
      </w:r>
      <w:r w:rsidR="0094474A">
        <w:rPr>
          <w:rFonts w:ascii="Times New Roman" w:hAnsi="Times New Roman"/>
        </w:rPr>
        <w:t>ra blokovej a núdzovej dozorne,</w:t>
      </w:r>
      <w:r w:rsidRPr="006C6E47" w:rsidR="0094474A">
        <w:rPr>
          <w:rFonts w:ascii="Times New Roman" w:hAnsi="Times New Roman"/>
        </w:rPr>
        <w:t xml:space="preserve"> </w:t>
      </w:r>
      <w:r w:rsidRPr="006C6E47">
        <w:rPr>
          <w:rFonts w:ascii="Times New Roman" w:hAnsi="Times New Roman"/>
        </w:rPr>
        <w:t xml:space="preserve">ďalej </w:t>
      </w:r>
      <w:r w:rsidR="00624032">
        <w:rPr>
          <w:rFonts w:ascii="Times New Roman" w:hAnsi="Times New Roman"/>
        </w:rPr>
        <w:t xml:space="preserve">sa realizovali </w:t>
      </w:r>
      <w:r w:rsidRPr="006C6E47">
        <w:rPr>
          <w:rFonts w:ascii="Times New Roman" w:hAnsi="Times New Roman"/>
        </w:rPr>
        <w:t>projektové zmeny vyplývajúce zo zvyšovania úrovne jadro</w:t>
      </w:r>
      <w:r w:rsidRPr="00666E26">
        <w:rPr>
          <w:rFonts w:ascii="Times New Roman" w:hAnsi="Times New Roman"/>
        </w:rPr>
        <w:t xml:space="preserve">vej bezpečnosti úvodného projektu, a tiež prípravné, projekčné a výrobné činnosti a operácie na hlavných komponentoch a systémoch kontroly a riadenia </w:t>
      </w:r>
      <w:r w:rsidR="001F29FE">
        <w:rPr>
          <w:rFonts w:ascii="Times New Roman" w:hAnsi="Times New Roman"/>
        </w:rPr>
        <w:t>JZ</w:t>
      </w:r>
      <w:r w:rsidRPr="00666E26">
        <w:rPr>
          <w:rFonts w:ascii="Times New Roman" w:hAnsi="Times New Roman"/>
        </w:rPr>
        <w:t xml:space="preserve">. </w:t>
      </w:r>
    </w:p>
    <w:p w:rsidR="00ED551E" w:rsidP="00ED551E">
      <w:pPr>
        <w:autoSpaceDE w:val="0"/>
        <w:autoSpaceDN w:val="0"/>
        <w:bidi w:val="0"/>
        <w:adjustRightInd w:val="0"/>
        <w:jc w:val="both"/>
        <w:rPr>
          <w:rFonts w:ascii="Times New Roman" w:hAnsi="Times New Roman"/>
        </w:rPr>
      </w:pPr>
      <w:r w:rsidRPr="00666E26">
        <w:rPr>
          <w:rFonts w:ascii="Times New Roman" w:hAnsi="Times New Roman"/>
        </w:rPr>
        <w:t>V priebehu roku 2011 predkladal držiteľ povolenia a vlastník elektrárne na ÚJD SR k posúdeniu a schváleniu najmä dokumentáciu systému kvality súvisiacu s vybranými zariadeniam</w:t>
      </w:r>
      <w:r>
        <w:rPr>
          <w:rFonts w:ascii="Times New Roman" w:hAnsi="Times New Roman"/>
        </w:rPr>
        <w:t>i v zmysle vyhlášky ÚJD SR č. 56</w:t>
      </w:r>
      <w:r w:rsidRPr="00666E26">
        <w:rPr>
          <w:rFonts w:ascii="Times New Roman" w:hAnsi="Times New Roman"/>
        </w:rPr>
        <w:t>/2006 Z.</w:t>
      </w:r>
      <w:r w:rsidRPr="006C6E47">
        <w:rPr>
          <w:rFonts w:ascii="Times New Roman" w:hAnsi="Times New Roman"/>
        </w:rPr>
        <w:t xml:space="preserve"> z., ktoré budú súčasťou technológie </w:t>
      </w:r>
      <w:r w:rsidR="001F29FE">
        <w:rPr>
          <w:rFonts w:ascii="Times New Roman" w:hAnsi="Times New Roman"/>
        </w:rPr>
        <w:t>JZ</w:t>
      </w:r>
      <w:r w:rsidRPr="006C6E47">
        <w:rPr>
          <w:rFonts w:ascii="Times New Roman" w:hAnsi="Times New Roman"/>
        </w:rPr>
        <w:t xml:space="preserve">. ÚJD SR pravidelne kontroloval a hodnotil celkový stav </w:t>
      </w:r>
      <w:r w:rsidR="002B7B62">
        <w:rPr>
          <w:rFonts w:ascii="Times New Roman" w:hAnsi="Times New Roman"/>
        </w:rPr>
        <w:t>JZ</w:t>
      </w:r>
      <w:r w:rsidRPr="006C6E47">
        <w:rPr>
          <w:rFonts w:ascii="Times New Roman" w:hAnsi="Times New Roman"/>
        </w:rPr>
        <w:t>, hlavných komponentov a hlavných technologických celkov</w:t>
      </w:r>
      <w:r w:rsidR="00624032">
        <w:rPr>
          <w:rFonts w:ascii="Times New Roman" w:hAnsi="Times New Roman"/>
        </w:rPr>
        <w:t>,</w:t>
      </w:r>
      <w:r w:rsidRPr="006C6E47">
        <w:rPr>
          <w:rFonts w:ascii="Times New Roman" w:hAnsi="Times New Roman"/>
        </w:rPr>
        <w:t xml:space="preserve"> ako aj priebeh prác na stavbe </w:t>
      </w:r>
      <w:r w:rsidR="002B7B62">
        <w:rPr>
          <w:rFonts w:ascii="Times New Roman" w:hAnsi="Times New Roman"/>
        </w:rPr>
        <w:t>JZ</w:t>
      </w:r>
      <w:r w:rsidRPr="006C6E47">
        <w:rPr>
          <w:rFonts w:ascii="Times New Roman" w:hAnsi="Times New Roman"/>
        </w:rPr>
        <w:t>.</w:t>
      </w:r>
    </w:p>
    <w:p w:rsidR="00625A5D" w:rsidP="00625A5D">
      <w:pPr>
        <w:autoSpaceDE w:val="0"/>
        <w:autoSpaceDN w:val="0"/>
        <w:bidi w:val="0"/>
        <w:adjustRightInd w:val="0"/>
        <w:jc w:val="both"/>
        <w:rPr>
          <w:rFonts w:ascii="Times New Roman" w:hAnsi="Times New Roman"/>
        </w:rPr>
      </w:pPr>
    </w:p>
    <w:p w:rsidR="0004591B" w:rsidP="00A4278F">
      <w:pPr>
        <w:pStyle w:val="Heading4"/>
        <w:bidi w:val="0"/>
        <w:spacing w:after="120"/>
        <w:ind w:left="0" w:firstLine="0"/>
        <w:rPr>
          <w:rFonts w:ascii="Times New Roman" w:hAnsi="Times New Roman"/>
        </w:rPr>
      </w:pPr>
      <w:bookmarkStart w:id="53" w:name="_Toc285032447"/>
      <w:bookmarkStart w:id="54" w:name="_Toc320719719"/>
      <w:r>
        <w:rPr>
          <w:rFonts w:ascii="Times New Roman" w:hAnsi="Times New Roman"/>
        </w:rPr>
        <w:t>Atómové elektrárne vo vyraďovaní</w:t>
      </w:r>
      <w:bookmarkEnd w:id="12"/>
      <w:bookmarkEnd w:id="13"/>
      <w:bookmarkEnd w:id="53"/>
      <w:bookmarkEnd w:id="54"/>
    </w:p>
    <w:p w:rsidR="00F2399D" w:rsidRPr="001851C6" w:rsidP="00E700F5">
      <w:pPr>
        <w:pStyle w:val="Heading5"/>
        <w:numPr>
          <w:ilvl w:val="4"/>
          <w:numId w:val="5"/>
        </w:numPr>
        <w:suppressLineNumbers/>
        <w:bidi w:val="0"/>
        <w:spacing w:after="100" w:afterAutospacing="1"/>
        <w:jc w:val="left"/>
        <w:rPr>
          <w:rFonts w:ascii="Times New Roman" w:hAnsi="Times New Roman"/>
          <w:i/>
          <w:iCs/>
          <w:sz w:val="24"/>
        </w:rPr>
      </w:pPr>
      <w:r w:rsidR="00D70434">
        <w:rPr>
          <w:rFonts w:ascii="Times New Roman" w:hAnsi="Times New Roman"/>
          <w:i/>
          <w:iCs/>
          <w:sz w:val="24"/>
        </w:rPr>
        <w:t xml:space="preserve">a) </w:t>
      </w:r>
      <w:r w:rsidRPr="001851C6">
        <w:rPr>
          <w:rFonts w:ascii="Times New Roman" w:hAnsi="Times New Roman"/>
          <w:i/>
          <w:iCs/>
          <w:sz w:val="24"/>
        </w:rPr>
        <w:t>Atómov</w:t>
      </w:r>
      <w:r w:rsidR="00A4278F">
        <w:rPr>
          <w:rFonts w:ascii="Times New Roman" w:hAnsi="Times New Roman"/>
          <w:i/>
          <w:iCs/>
          <w:sz w:val="24"/>
        </w:rPr>
        <w:t>á</w:t>
      </w:r>
      <w:r w:rsidRPr="001851C6">
        <w:rPr>
          <w:rFonts w:ascii="Times New Roman" w:hAnsi="Times New Roman"/>
          <w:i/>
          <w:iCs/>
          <w:sz w:val="24"/>
        </w:rPr>
        <w:t xml:space="preserve"> elektrár</w:t>
      </w:r>
      <w:r w:rsidR="00A4278F">
        <w:rPr>
          <w:rFonts w:ascii="Times New Roman" w:hAnsi="Times New Roman"/>
          <w:i/>
          <w:iCs/>
          <w:sz w:val="24"/>
        </w:rPr>
        <w:t>eň</w:t>
      </w:r>
      <w:r w:rsidRPr="001851C6">
        <w:rPr>
          <w:rFonts w:ascii="Times New Roman" w:hAnsi="Times New Roman"/>
          <w:i/>
          <w:iCs/>
          <w:sz w:val="24"/>
        </w:rPr>
        <w:t xml:space="preserve"> </w:t>
      </w:r>
      <w:r w:rsidRPr="001851C6" w:rsidR="009C4AF2">
        <w:rPr>
          <w:rFonts w:ascii="Times New Roman" w:hAnsi="Times New Roman"/>
          <w:i/>
          <w:iCs/>
          <w:sz w:val="24"/>
        </w:rPr>
        <w:t xml:space="preserve">Bohunice </w:t>
      </w:r>
      <w:r w:rsidRPr="001851C6">
        <w:rPr>
          <w:rFonts w:ascii="Times New Roman" w:hAnsi="Times New Roman"/>
          <w:i/>
          <w:iCs/>
          <w:sz w:val="24"/>
        </w:rPr>
        <w:t xml:space="preserve">A-1 </w:t>
      </w:r>
    </w:p>
    <w:p w:rsidR="00C74A0F" w:rsidRPr="00DA7E4A" w:rsidP="00E700F5">
      <w:pPr>
        <w:numPr>
          <w:numId w:val="5"/>
        </w:numPr>
        <w:autoSpaceDE w:val="0"/>
        <w:autoSpaceDN w:val="0"/>
        <w:bidi w:val="0"/>
        <w:adjustRightInd w:val="0"/>
        <w:jc w:val="both"/>
        <w:rPr>
          <w:rFonts w:ascii="Times New Roman" w:hAnsi="Times New Roman"/>
        </w:rPr>
      </w:pPr>
      <w:r w:rsidR="0094474A">
        <w:rPr>
          <w:rFonts w:ascii="Times New Roman" w:hAnsi="Times New Roman"/>
        </w:rPr>
        <w:t xml:space="preserve">Experimentálna </w:t>
      </w:r>
      <w:r w:rsidRPr="00DA7E4A">
        <w:rPr>
          <w:rFonts w:ascii="Times New Roman" w:hAnsi="Times New Roman"/>
        </w:rPr>
        <w:t xml:space="preserve">AE </w:t>
      </w:r>
      <w:r w:rsidRPr="00DA7E4A" w:rsidR="001D5587">
        <w:rPr>
          <w:rFonts w:ascii="Times New Roman" w:hAnsi="Times New Roman"/>
        </w:rPr>
        <w:t xml:space="preserve">Bohunice </w:t>
      </w:r>
      <w:r w:rsidRPr="00DA7E4A">
        <w:rPr>
          <w:rFonts w:ascii="Times New Roman" w:hAnsi="Times New Roman"/>
        </w:rPr>
        <w:t>A-1 s heterogénnym reaktorom na báze tepelných neutrónov s označením KS-150 bola projektovaná na brutto elektrický výkon 143 MW. Ako palivo bol použitý prírodný kovový urán, moderátorom bola ťažká voda (D</w:t>
      </w:r>
      <w:r w:rsidRPr="00DA7E4A">
        <w:rPr>
          <w:rFonts w:ascii="Times New Roman" w:hAnsi="Times New Roman"/>
          <w:vertAlign w:val="subscript"/>
        </w:rPr>
        <w:t>2</w:t>
      </w:r>
      <w:r w:rsidRPr="00DA7E4A">
        <w:rPr>
          <w:rFonts w:ascii="Times New Roman" w:hAnsi="Times New Roman"/>
        </w:rPr>
        <w:t>O) a chladivom oxid uhličitý (CO</w:t>
      </w:r>
      <w:r w:rsidRPr="00DA7E4A">
        <w:rPr>
          <w:rFonts w:ascii="Times New Roman" w:hAnsi="Times New Roman"/>
          <w:vertAlign w:val="subscript"/>
        </w:rPr>
        <w:t>2</w:t>
      </w:r>
      <w:r w:rsidRPr="00DA7E4A">
        <w:rPr>
          <w:rFonts w:ascii="Times New Roman" w:hAnsi="Times New Roman"/>
        </w:rPr>
        <w:t>). Definitívne bola odstavená z prevádzky po udalosti v roku 1977 a v roku 1979 vláda rozhodla o</w:t>
      </w:r>
      <w:r w:rsidR="002B5594">
        <w:rPr>
          <w:rFonts w:ascii="Times New Roman" w:hAnsi="Times New Roman"/>
        </w:rPr>
        <w:t xml:space="preserve"> jej </w:t>
      </w:r>
      <w:r w:rsidRPr="00DA7E4A">
        <w:rPr>
          <w:rFonts w:ascii="Times New Roman" w:hAnsi="Times New Roman"/>
        </w:rPr>
        <w:t xml:space="preserve">vyradení z prevádzky. V roku 1995 </w:t>
      </w:r>
      <w:r w:rsidR="000F4674">
        <w:rPr>
          <w:rFonts w:ascii="Times New Roman" w:hAnsi="Times New Roman"/>
        </w:rPr>
        <w:t xml:space="preserve">sa začal </w:t>
      </w:r>
      <w:r w:rsidRPr="00DA7E4A">
        <w:rPr>
          <w:rFonts w:ascii="Times New Roman" w:hAnsi="Times New Roman"/>
        </w:rPr>
        <w:t xml:space="preserve">projekt vyraďovania zameraný na dosiahnutie radiačne bezpečného stavu, čo pre AE </w:t>
      </w:r>
      <w:r w:rsidRPr="00DA7E4A" w:rsidR="000F4674">
        <w:rPr>
          <w:rFonts w:ascii="Times New Roman" w:hAnsi="Times New Roman"/>
        </w:rPr>
        <w:t xml:space="preserve">Bohunice </w:t>
      </w:r>
      <w:r w:rsidRPr="00DA7E4A">
        <w:rPr>
          <w:rFonts w:ascii="Times New Roman" w:hAnsi="Times New Roman"/>
        </w:rPr>
        <w:t xml:space="preserve">A-1 znamenalo ukončenie odvozu </w:t>
      </w:r>
      <w:r w:rsidR="00282B57">
        <w:rPr>
          <w:rFonts w:ascii="Times New Roman" w:hAnsi="Times New Roman"/>
        </w:rPr>
        <w:t>vyhoretého jadrového paliva (ďalej len „VJP“)</w:t>
      </w:r>
      <w:r w:rsidRPr="00DA7E4A">
        <w:rPr>
          <w:rFonts w:ascii="Times New Roman" w:hAnsi="Times New Roman"/>
        </w:rPr>
        <w:t xml:space="preserve">, spracovanie, resp. bezpečné uskladnenie prevádzkových RAO, obnovenie stavebných bariér a odizolovanie objektov AE </w:t>
      </w:r>
      <w:r w:rsidRPr="00DA7E4A" w:rsidR="000F4674">
        <w:rPr>
          <w:rFonts w:ascii="Times New Roman" w:hAnsi="Times New Roman"/>
        </w:rPr>
        <w:t xml:space="preserve">Bohunice </w:t>
      </w:r>
      <w:r w:rsidRPr="00DA7E4A">
        <w:rPr>
          <w:rFonts w:ascii="Times New Roman" w:hAnsi="Times New Roman"/>
        </w:rPr>
        <w:t>A-1, obsahujúcich inventár RAO, od životného prostredia. ÚJD SR v roku 1999 zahrnul uvedené predpoklady do podmienok povolenia na I. etapu vyraďovania. V súčasnosti sú realizované práce súvisiace s II. etapou, ktorej plán je rozvrhnutý na obdobie do roku 2016. Cieľom tejto etapy je vyradenie nepotrebných pôvodných technologických zariadení a odstránenie negatívnych dôsledkov prevádzky</w:t>
      </w:r>
      <w:r w:rsidR="000F4674">
        <w:rPr>
          <w:rFonts w:ascii="Times New Roman" w:hAnsi="Times New Roman"/>
        </w:rPr>
        <w:t xml:space="preserve"> tejto</w:t>
      </w:r>
      <w:r w:rsidRPr="00DA7E4A">
        <w:rPr>
          <w:rFonts w:ascii="Times New Roman" w:hAnsi="Times New Roman"/>
        </w:rPr>
        <w:t xml:space="preserve"> AE. Po skončení II. etapy vyraďovania budú predmetom ďalších etáp vyraďovania už iba dva objekty </w:t>
      </w:r>
      <w:r w:rsidR="000F4674">
        <w:rPr>
          <w:rFonts w:ascii="Times New Roman" w:hAnsi="Times New Roman"/>
        </w:rPr>
        <w:t>hlavn</w:t>
      </w:r>
      <w:r w:rsidR="00624032">
        <w:rPr>
          <w:rFonts w:ascii="Times New Roman" w:hAnsi="Times New Roman"/>
        </w:rPr>
        <w:t>ého</w:t>
      </w:r>
      <w:r w:rsidR="000F4674">
        <w:rPr>
          <w:rFonts w:ascii="Times New Roman" w:hAnsi="Times New Roman"/>
        </w:rPr>
        <w:t xml:space="preserve"> výrobn</w:t>
      </w:r>
      <w:r w:rsidR="00624032">
        <w:rPr>
          <w:rFonts w:ascii="Times New Roman" w:hAnsi="Times New Roman"/>
        </w:rPr>
        <w:t>ého</w:t>
      </w:r>
      <w:r w:rsidR="000F4674">
        <w:rPr>
          <w:rFonts w:ascii="Times New Roman" w:hAnsi="Times New Roman"/>
        </w:rPr>
        <w:t xml:space="preserve"> blok</w:t>
      </w:r>
      <w:r w:rsidR="00624032">
        <w:rPr>
          <w:rFonts w:ascii="Times New Roman" w:hAnsi="Times New Roman"/>
        </w:rPr>
        <w:t>u</w:t>
      </w:r>
      <w:r w:rsidRPr="00DA7E4A">
        <w:rPr>
          <w:rFonts w:ascii="Times New Roman" w:hAnsi="Times New Roman"/>
        </w:rPr>
        <w:t xml:space="preserve"> – reaktorovňa a medzistrojovňa. Ukončenie procesu vyraďovania AE </w:t>
      </w:r>
      <w:r w:rsidRPr="00DA7E4A" w:rsidR="000F4674">
        <w:rPr>
          <w:rFonts w:ascii="Times New Roman" w:hAnsi="Times New Roman"/>
        </w:rPr>
        <w:t xml:space="preserve">Bohunice </w:t>
      </w:r>
      <w:r w:rsidRPr="00DA7E4A">
        <w:rPr>
          <w:rFonts w:ascii="Times New Roman" w:hAnsi="Times New Roman"/>
        </w:rPr>
        <w:t xml:space="preserve">A-1 je plánované </w:t>
      </w:r>
      <w:r w:rsidR="00624032">
        <w:rPr>
          <w:rFonts w:ascii="Times New Roman" w:hAnsi="Times New Roman"/>
        </w:rPr>
        <w:t>v</w:t>
      </w:r>
      <w:r w:rsidRPr="00DA7E4A">
        <w:rPr>
          <w:rFonts w:ascii="Times New Roman" w:hAnsi="Times New Roman"/>
        </w:rPr>
        <w:t xml:space="preserve"> rok</w:t>
      </w:r>
      <w:r w:rsidR="00624032">
        <w:rPr>
          <w:rFonts w:ascii="Times New Roman" w:hAnsi="Times New Roman"/>
        </w:rPr>
        <w:t>u</w:t>
      </w:r>
      <w:r w:rsidRPr="00DA7E4A">
        <w:rPr>
          <w:rFonts w:ascii="Times New Roman" w:hAnsi="Times New Roman"/>
        </w:rPr>
        <w:t xml:space="preserve"> 2033. </w:t>
      </w:r>
    </w:p>
    <w:p w:rsidR="00C74A0F" w:rsidP="00E700F5">
      <w:pPr>
        <w:numPr>
          <w:numId w:val="5"/>
        </w:numPr>
        <w:autoSpaceDE w:val="0"/>
        <w:autoSpaceDN w:val="0"/>
        <w:bidi w:val="0"/>
        <w:adjustRightInd w:val="0"/>
        <w:jc w:val="both"/>
        <w:rPr>
          <w:rFonts w:ascii="Times New Roman" w:hAnsi="Times New Roman"/>
        </w:rPr>
      </w:pPr>
      <w:r w:rsidRPr="00DA7E4A">
        <w:rPr>
          <w:rFonts w:ascii="Times New Roman" w:hAnsi="Times New Roman"/>
        </w:rPr>
        <w:t xml:space="preserve">V roku 2011 boli postupne vydané rozhodnutia na technologické zariadenia, ktoré sa v súčasnosti využívajú na preskladňovanie rádioaktívneho kalu bazéna dlhodobého skladu do nových preskladňovacích nádrží, na znižovanie mernej aktivity dowthermu a na spracovanie a dekontamináciu puzdier dlhodobého skladu. </w:t>
      </w:r>
    </w:p>
    <w:p w:rsidR="00C74A0F" w:rsidRPr="00DA7E4A" w:rsidP="00E700F5">
      <w:pPr>
        <w:numPr>
          <w:numId w:val="5"/>
        </w:numPr>
        <w:autoSpaceDE w:val="0"/>
        <w:autoSpaceDN w:val="0"/>
        <w:bidi w:val="0"/>
        <w:adjustRightInd w:val="0"/>
        <w:jc w:val="both"/>
        <w:rPr>
          <w:rFonts w:ascii="Times New Roman" w:hAnsi="Times New Roman"/>
          <w:sz w:val="20"/>
        </w:rPr>
      </w:pPr>
      <w:r w:rsidRPr="00DA7E4A">
        <w:rPr>
          <w:rFonts w:ascii="Times New Roman" w:hAnsi="Times New Roman"/>
        </w:rPr>
        <w:t xml:space="preserve">Plánované inšpekcie v AE </w:t>
      </w:r>
      <w:r w:rsidRPr="00DA7E4A" w:rsidR="000F4674">
        <w:rPr>
          <w:rFonts w:ascii="Times New Roman" w:hAnsi="Times New Roman"/>
        </w:rPr>
        <w:t xml:space="preserve">Bohunice </w:t>
      </w:r>
      <w:r w:rsidRPr="00DA7E4A">
        <w:rPr>
          <w:rFonts w:ascii="Times New Roman" w:hAnsi="Times New Roman"/>
        </w:rPr>
        <w:t>A-1 boli zamerané na kontrolu súladu postupu vyraďovania elektrárne s podmienkami rozhodnutia ÚJD SR v súvislosti s II. etapou vyraďovania elektrárne z prevádzky a  kontrolu spôsobu využívania technológií na spracovanie RAO umiestnených v</w:t>
      </w:r>
      <w:r w:rsidR="000F4674">
        <w:rPr>
          <w:rFonts w:ascii="Times New Roman" w:hAnsi="Times New Roman"/>
        </w:rPr>
        <w:t> </w:t>
      </w:r>
      <w:r w:rsidRPr="00DA7E4A">
        <w:rPr>
          <w:rFonts w:ascii="Times New Roman" w:hAnsi="Times New Roman"/>
        </w:rPr>
        <w:t>obj</w:t>
      </w:r>
      <w:r w:rsidR="000F4674">
        <w:rPr>
          <w:rFonts w:ascii="Times New Roman" w:hAnsi="Times New Roman"/>
        </w:rPr>
        <w:t>ekte hlavného výrobného bloku.</w:t>
      </w:r>
    </w:p>
    <w:p w:rsidR="00EF0065" w:rsidP="00EF0065">
      <w:pPr>
        <w:pStyle w:val="ListParagraph"/>
        <w:bidi w:val="0"/>
        <w:rPr>
          <w:rFonts w:ascii="Times New Roman" w:hAnsi="Times New Roman"/>
        </w:rPr>
      </w:pPr>
    </w:p>
    <w:p w:rsidR="00D95E1F" w:rsidP="00963799">
      <w:pPr>
        <w:pStyle w:val="hodnotenie"/>
        <w:bidi w:val="0"/>
        <w:spacing w:before="0" w:beforeAutospacing="0" w:after="0" w:afterAutospacing="0"/>
        <w:rPr>
          <w:rFonts w:ascii="Times New Roman" w:hAnsi="Times New Roman"/>
          <w:b w:val="0"/>
          <w:i/>
          <w:iCs/>
          <w:lang w:val="sk-SK"/>
        </w:rPr>
      </w:pPr>
      <w:r w:rsidRPr="00D95E1F" w:rsidR="00EB55CA">
        <w:rPr>
          <w:rFonts w:ascii="Times New Roman" w:hAnsi="Times New Roman"/>
          <w:b w:val="0"/>
          <w:i/>
          <w:iCs/>
        </w:rPr>
        <w:t xml:space="preserve">Záver: </w:t>
      </w:r>
    </w:p>
    <w:p w:rsidR="009B18CE" w:rsidRPr="00D95E1F" w:rsidP="00963799">
      <w:pPr>
        <w:pStyle w:val="hodnotenie"/>
        <w:bidi w:val="0"/>
        <w:spacing w:before="0" w:beforeAutospacing="0" w:after="0" w:afterAutospacing="0"/>
        <w:rPr>
          <w:rFonts w:ascii="Times New Roman" w:hAnsi="Times New Roman"/>
          <w:b w:val="0"/>
          <w:i/>
          <w:iCs/>
        </w:rPr>
      </w:pPr>
      <w:r w:rsidRPr="00D95E1F" w:rsidR="00EB55CA">
        <w:rPr>
          <w:rFonts w:ascii="Times New Roman" w:hAnsi="Times New Roman"/>
          <w:b w:val="0"/>
          <w:i/>
          <w:iCs/>
        </w:rPr>
        <w:t xml:space="preserve">Vyraďovanie AE </w:t>
      </w:r>
      <w:r w:rsidRPr="00D95E1F" w:rsidR="00B61AC5">
        <w:rPr>
          <w:rFonts w:ascii="Times New Roman" w:hAnsi="Times New Roman"/>
          <w:b w:val="0"/>
          <w:i/>
          <w:iCs/>
        </w:rPr>
        <w:t xml:space="preserve">Bohunice </w:t>
      </w:r>
      <w:r w:rsidRPr="00D95E1F" w:rsidR="00EB55CA">
        <w:rPr>
          <w:rFonts w:ascii="Times New Roman" w:hAnsi="Times New Roman"/>
          <w:b w:val="0"/>
          <w:i/>
          <w:iCs/>
        </w:rPr>
        <w:t xml:space="preserve">A-1 </w:t>
      </w:r>
      <w:r w:rsidRPr="00D95E1F" w:rsidR="00963799">
        <w:rPr>
          <w:rFonts w:ascii="Times New Roman" w:hAnsi="Times New Roman"/>
          <w:b w:val="0"/>
          <w:i/>
          <w:iCs/>
        </w:rPr>
        <w:t>sa v roku 2011 realizovalo</w:t>
      </w:r>
      <w:r w:rsidRPr="00D95E1F" w:rsidR="00B61AC5">
        <w:rPr>
          <w:rFonts w:ascii="Times New Roman" w:hAnsi="Times New Roman"/>
          <w:b w:val="0"/>
          <w:i/>
          <w:iCs/>
        </w:rPr>
        <w:t xml:space="preserve"> </w:t>
      </w:r>
      <w:r w:rsidRPr="00D95E1F" w:rsidR="00EB55CA">
        <w:rPr>
          <w:rFonts w:ascii="Times New Roman" w:hAnsi="Times New Roman"/>
          <w:b w:val="0"/>
          <w:i/>
          <w:iCs/>
        </w:rPr>
        <w:t>podľa plánu II. etapy vyraďovania</w:t>
      </w:r>
      <w:r w:rsidRPr="00D95E1F" w:rsidR="001D5587">
        <w:rPr>
          <w:rFonts w:ascii="Times New Roman" w:hAnsi="Times New Roman"/>
          <w:b w:val="0"/>
          <w:i/>
          <w:iCs/>
        </w:rPr>
        <w:t>.</w:t>
      </w:r>
    </w:p>
    <w:p w:rsidR="005E7ED4" w:rsidP="005E7ED4">
      <w:pPr>
        <w:autoSpaceDE w:val="0"/>
        <w:autoSpaceDN w:val="0"/>
        <w:bidi w:val="0"/>
        <w:adjustRightInd w:val="0"/>
        <w:rPr>
          <w:rFonts w:ascii="Times New Roman" w:hAnsi="Times New Roman"/>
        </w:rPr>
      </w:pPr>
    </w:p>
    <w:p w:rsidR="005E7ED4" w:rsidRPr="005E7ED4" w:rsidP="00E700F5">
      <w:pPr>
        <w:pStyle w:val="Heading5"/>
        <w:numPr>
          <w:ilvl w:val="4"/>
          <w:numId w:val="5"/>
        </w:numPr>
        <w:suppressLineNumbers/>
        <w:bidi w:val="0"/>
        <w:spacing w:after="100" w:afterAutospacing="1"/>
        <w:jc w:val="left"/>
        <w:rPr>
          <w:rFonts w:ascii="Times New Roman" w:hAnsi="Times New Roman"/>
          <w:i/>
          <w:iCs/>
          <w:sz w:val="24"/>
        </w:rPr>
      </w:pPr>
      <w:r w:rsidR="00D70434">
        <w:rPr>
          <w:rFonts w:ascii="Times New Roman" w:hAnsi="Times New Roman"/>
          <w:i/>
          <w:iCs/>
          <w:sz w:val="24"/>
        </w:rPr>
        <w:t xml:space="preserve">b) </w:t>
      </w:r>
      <w:r w:rsidRPr="001851C6">
        <w:rPr>
          <w:rFonts w:ascii="Times New Roman" w:hAnsi="Times New Roman"/>
          <w:i/>
          <w:iCs/>
          <w:sz w:val="24"/>
        </w:rPr>
        <w:t>Atómov</w:t>
      </w:r>
      <w:r w:rsidR="00D95E1F">
        <w:rPr>
          <w:rFonts w:ascii="Times New Roman" w:hAnsi="Times New Roman"/>
          <w:i/>
          <w:iCs/>
          <w:sz w:val="24"/>
        </w:rPr>
        <w:t>é</w:t>
      </w:r>
      <w:r w:rsidRPr="001851C6">
        <w:rPr>
          <w:rFonts w:ascii="Times New Roman" w:hAnsi="Times New Roman"/>
          <w:i/>
          <w:iCs/>
          <w:sz w:val="24"/>
        </w:rPr>
        <w:t xml:space="preserve"> elektrár</w:t>
      </w:r>
      <w:r w:rsidR="00D95E1F">
        <w:rPr>
          <w:rFonts w:ascii="Times New Roman" w:hAnsi="Times New Roman"/>
          <w:i/>
          <w:iCs/>
          <w:sz w:val="24"/>
        </w:rPr>
        <w:t>ne</w:t>
      </w:r>
      <w:r w:rsidRPr="001851C6">
        <w:rPr>
          <w:rFonts w:ascii="Times New Roman" w:hAnsi="Times New Roman"/>
          <w:i/>
          <w:iCs/>
          <w:sz w:val="24"/>
        </w:rPr>
        <w:t xml:space="preserve"> Bohunice </w:t>
      </w:r>
      <w:r>
        <w:rPr>
          <w:rFonts w:ascii="Times New Roman" w:hAnsi="Times New Roman"/>
          <w:i/>
          <w:iCs/>
          <w:sz w:val="24"/>
        </w:rPr>
        <w:t>V</w:t>
      </w:r>
      <w:r w:rsidRPr="001851C6">
        <w:rPr>
          <w:rFonts w:ascii="Times New Roman" w:hAnsi="Times New Roman"/>
          <w:i/>
          <w:iCs/>
          <w:sz w:val="24"/>
        </w:rPr>
        <w:t xml:space="preserve">-1 </w:t>
      </w:r>
    </w:p>
    <w:p w:rsidR="00530B58" w:rsidRPr="00DA7E4A" w:rsidP="000F4674">
      <w:pPr>
        <w:autoSpaceDE w:val="0"/>
        <w:autoSpaceDN w:val="0"/>
        <w:bidi w:val="0"/>
        <w:adjustRightInd w:val="0"/>
        <w:jc w:val="both"/>
        <w:rPr>
          <w:rFonts w:ascii="Times New Roman" w:hAnsi="Times New Roman"/>
        </w:rPr>
      </w:pPr>
      <w:r w:rsidRPr="00DA7E4A">
        <w:rPr>
          <w:rFonts w:ascii="Times New Roman" w:hAnsi="Times New Roman"/>
        </w:rPr>
        <w:t xml:space="preserve">ÚJD SR v júli 2011 vydal rozhodnutie, ktorým </w:t>
      </w:r>
      <w:r w:rsidRPr="00DA7E4A" w:rsidR="000F4674">
        <w:rPr>
          <w:rFonts w:ascii="Times New Roman" w:hAnsi="Times New Roman"/>
        </w:rPr>
        <w:t xml:space="preserve"> udelil </w:t>
      </w:r>
      <w:r w:rsidR="000F4674">
        <w:rPr>
          <w:rFonts w:ascii="Times New Roman" w:hAnsi="Times New Roman"/>
        </w:rPr>
        <w:t xml:space="preserve">spoločnosti </w:t>
      </w:r>
      <w:r w:rsidRPr="00DA7E4A">
        <w:rPr>
          <w:rFonts w:ascii="Times New Roman" w:hAnsi="Times New Roman"/>
        </w:rPr>
        <w:t>JAVYS, a. s</w:t>
      </w:r>
      <w:r w:rsidR="005008A8">
        <w:rPr>
          <w:rFonts w:ascii="Times New Roman" w:hAnsi="Times New Roman"/>
        </w:rPr>
        <w:t>.</w:t>
      </w:r>
      <w:r w:rsidRPr="00DA7E4A">
        <w:rPr>
          <w:rFonts w:ascii="Times New Roman" w:hAnsi="Times New Roman"/>
        </w:rPr>
        <w:t xml:space="preserve"> </w:t>
      </w:r>
      <w:r w:rsidRPr="00DA7E4A" w:rsidR="000F4674">
        <w:rPr>
          <w:rFonts w:ascii="Times New Roman" w:hAnsi="Times New Roman"/>
        </w:rPr>
        <w:t xml:space="preserve">povolenie na I. etapu vyraďovania </w:t>
      </w:r>
      <w:r w:rsidR="000F4674">
        <w:rPr>
          <w:rFonts w:ascii="Times New Roman" w:hAnsi="Times New Roman"/>
        </w:rPr>
        <w:t>AE Bohunice</w:t>
      </w:r>
      <w:r w:rsidRPr="00DA7E4A" w:rsidR="000F4674">
        <w:rPr>
          <w:rFonts w:ascii="Times New Roman" w:hAnsi="Times New Roman"/>
        </w:rPr>
        <w:t xml:space="preserve"> V-1 z prevádzky </w:t>
      </w:r>
      <w:r w:rsidRPr="00DA7E4A">
        <w:rPr>
          <w:rFonts w:ascii="Times New Roman" w:hAnsi="Times New Roman"/>
        </w:rPr>
        <w:t>na obdobie do konca roku 2014 a</w:t>
      </w:r>
      <w:r w:rsidR="00963799">
        <w:rPr>
          <w:rFonts w:ascii="Times New Roman" w:hAnsi="Times New Roman"/>
        </w:rPr>
        <w:t>ko i p</w:t>
      </w:r>
      <w:r w:rsidRPr="00DA7E4A">
        <w:rPr>
          <w:rFonts w:ascii="Times New Roman" w:hAnsi="Times New Roman"/>
        </w:rPr>
        <w:t xml:space="preserve">ovolenia na nakladanie s </w:t>
      </w:r>
      <w:r w:rsidR="000F4674">
        <w:rPr>
          <w:rFonts w:ascii="Times New Roman" w:hAnsi="Times New Roman"/>
        </w:rPr>
        <w:t>RAO</w:t>
      </w:r>
      <w:r w:rsidRPr="00DA7E4A">
        <w:rPr>
          <w:rFonts w:ascii="Times New Roman" w:hAnsi="Times New Roman"/>
        </w:rPr>
        <w:t xml:space="preserve"> a na nakladanie s </w:t>
      </w:r>
      <w:r w:rsidR="001F29FE">
        <w:rPr>
          <w:rFonts w:ascii="Times New Roman" w:hAnsi="Times New Roman"/>
        </w:rPr>
        <w:t>JM</w:t>
      </w:r>
      <w:r w:rsidRPr="00DA7E4A">
        <w:rPr>
          <w:rFonts w:ascii="Times New Roman" w:hAnsi="Times New Roman"/>
        </w:rPr>
        <w:t xml:space="preserve"> počas I. etapy vyraďovania tohto </w:t>
      </w:r>
      <w:r w:rsidR="000F4674">
        <w:rPr>
          <w:rFonts w:ascii="Times New Roman" w:hAnsi="Times New Roman"/>
        </w:rPr>
        <w:t>JZ</w:t>
      </w:r>
      <w:r w:rsidRPr="00DA7E4A">
        <w:rPr>
          <w:rFonts w:ascii="Times New Roman" w:hAnsi="Times New Roman"/>
        </w:rPr>
        <w:t>. Práce realizované v priebehu roku 2011 boli zamerané na dosiahnutie podmienok na získanie povolenia na I. etapu vyraďovania</w:t>
      </w:r>
      <w:r w:rsidR="000F4674">
        <w:rPr>
          <w:rFonts w:ascii="Times New Roman" w:hAnsi="Times New Roman"/>
        </w:rPr>
        <w:t>.</w:t>
      </w:r>
      <w:r w:rsidRPr="00DA7E4A">
        <w:rPr>
          <w:rFonts w:ascii="Times New Roman" w:hAnsi="Times New Roman"/>
        </w:rPr>
        <w:t xml:space="preserve"> Išlo najmä o postupný odvoz </w:t>
      </w:r>
      <w:r w:rsidR="000F4674">
        <w:rPr>
          <w:rFonts w:ascii="Times New Roman" w:hAnsi="Times New Roman"/>
        </w:rPr>
        <w:t xml:space="preserve">VJP </w:t>
      </w:r>
      <w:r w:rsidRPr="00DA7E4A">
        <w:rPr>
          <w:rFonts w:ascii="Times New Roman" w:hAnsi="Times New Roman"/>
        </w:rPr>
        <w:t xml:space="preserve">do </w:t>
      </w:r>
      <w:r w:rsidR="002B58F6">
        <w:rPr>
          <w:rFonts w:ascii="Times New Roman" w:hAnsi="Times New Roman"/>
        </w:rPr>
        <w:t>Medziskladu vyhoretého paliva (ďalej len „</w:t>
      </w:r>
      <w:r w:rsidRPr="002B58F6">
        <w:rPr>
          <w:rFonts w:ascii="Times New Roman" w:hAnsi="Times New Roman"/>
        </w:rPr>
        <w:t>MSVP</w:t>
      </w:r>
      <w:r w:rsidR="002B58F6">
        <w:rPr>
          <w:rFonts w:ascii="Times New Roman" w:hAnsi="Times New Roman"/>
        </w:rPr>
        <w:t>“)</w:t>
      </w:r>
      <w:r w:rsidRPr="00DA7E4A">
        <w:rPr>
          <w:rFonts w:ascii="Times New Roman" w:hAnsi="Times New Roman"/>
        </w:rPr>
        <w:t xml:space="preserve"> a o spracovávanie skladovaných RAO pochádzajúcich z prevádzky tohto JZ. V tejto súvislosti ÚJD SR vydal desať ďalších rozhodnutí, ktorými schválil vybrané položky dokumentácie ako plnenie osobitných podmienok pre udelenie povolení na činnosti, ktoré boli predmetom žiadosti. Povoľovaciemu procesu predchádzalo posúdenie vplyvov navrhovanej činnosti na životné prostredie podľa príslušného zákona. Nakoľko povolenie ÚJD SR je podmienené tiež splnením povinností vyplývajúcich z čl. 37 Zmluvy E</w:t>
      </w:r>
      <w:r w:rsidR="00C164A9">
        <w:rPr>
          <w:rFonts w:ascii="Times New Roman" w:hAnsi="Times New Roman"/>
        </w:rPr>
        <w:t>uratom</w:t>
      </w:r>
      <w:r w:rsidRPr="00DA7E4A">
        <w:rPr>
          <w:rFonts w:ascii="Times New Roman" w:hAnsi="Times New Roman"/>
        </w:rPr>
        <w:t xml:space="preserve">, bola notifikovaná </w:t>
      </w:r>
      <w:r w:rsidR="00ED4418">
        <w:rPr>
          <w:rFonts w:ascii="Times New Roman" w:hAnsi="Times New Roman"/>
        </w:rPr>
        <w:t xml:space="preserve">aj </w:t>
      </w:r>
      <w:r w:rsidRPr="00DA7E4A">
        <w:rPr>
          <w:rFonts w:ascii="Times New Roman" w:hAnsi="Times New Roman"/>
        </w:rPr>
        <w:t>E</w:t>
      </w:r>
      <w:r w:rsidR="000F4674">
        <w:rPr>
          <w:rFonts w:ascii="Times New Roman" w:hAnsi="Times New Roman"/>
        </w:rPr>
        <w:t>K</w:t>
      </w:r>
      <w:r w:rsidRPr="00DA7E4A">
        <w:rPr>
          <w:rFonts w:ascii="Times New Roman" w:hAnsi="Times New Roman"/>
        </w:rPr>
        <w:t xml:space="preserve">, ktorá následne vydala kladné stanovisko. Celý proces posudzovania bol uverejnený aj na webovej stránke </w:t>
      </w:r>
      <w:r w:rsidR="000F4674">
        <w:rPr>
          <w:rFonts w:ascii="Times New Roman" w:hAnsi="Times New Roman"/>
        </w:rPr>
        <w:t xml:space="preserve">ÚJD SR </w:t>
      </w:r>
      <w:r w:rsidRPr="00DA7E4A">
        <w:rPr>
          <w:rFonts w:ascii="Times New Roman" w:hAnsi="Times New Roman"/>
        </w:rPr>
        <w:t>a o začatí správneho konania bol</w:t>
      </w:r>
      <w:r w:rsidR="00963799">
        <w:rPr>
          <w:rFonts w:ascii="Times New Roman" w:hAnsi="Times New Roman"/>
        </w:rPr>
        <w:t>i</w:t>
      </w:r>
      <w:r w:rsidRPr="00DA7E4A">
        <w:rPr>
          <w:rFonts w:ascii="Times New Roman" w:hAnsi="Times New Roman"/>
        </w:rPr>
        <w:t xml:space="preserve"> tiež písomne informovan</w:t>
      </w:r>
      <w:r w:rsidR="00963799">
        <w:rPr>
          <w:rFonts w:ascii="Times New Roman" w:hAnsi="Times New Roman"/>
        </w:rPr>
        <w:t>í</w:t>
      </w:r>
      <w:r w:rsidRPr="00DA7E4A">
        <w:rPr>
          <w:rFonts w:ascii="Times New Roman" w:hAnsi="Times New Roman"/>
        </w:rPr>
        <w:t xml:space="preserve"> Občianska informačná komisia </w:t>
      </w:r>
      <w:r w:rsidR="000F4674">
        <w:rPr>
          <w:rFonts w:ascii="Times New Roman" w:hAnsi="Times New Roman"/>
        </w:rPr>
        <w:t>Bohunice</w:t>
      </w:r>
      <w:r w:rsidRPr="00DA7E4A">
        <w:rPr>
          <w:rFonts w:ascii="Times New Roman" w:hAnsi="Times New Roman"/>
        </w:rPr>
        <w:t xml:space="preserve"> a Obecný úrad Jaslovské Bohunice. V priebehu doby zverejnenia </w:t>
      </w:r>
      <w:r w:rsidR="000F4674">
        <w:rPr>
          <w:rFonts w:ascii="Times New Roman" w:hAnsi="Times New Roman"/>
        </w:rPr>
        <w:t>ÚJD SR</w:t>
      </w:r>
      <w:r w:rsidRPr="00DA7E4A">
        <w:rPr>
          <w:rFonts w:ascii="Times New Roman" w:hAnsi="Times New Roman"/>
        </w:rPr>
        <w:t xml:space="preserve"> ne</w:t>
      </w:r>
      <w:r w:rsidR="00C164A9">
        <w:rPr>
          <w:rFonts w:ascii="Times New Roman" w:hAnsi="Times New Roman"/>
        </w:rPr>
        <w:t>dostal</w:t>
      </w:r>
      <w:r w:rsidRPr="00DA7E4A">
        <w:rPr>
          <w:rFonts w:ascii="Times New Roman" w:hAnsi="Times New Roman"/>
        </w:rPr>
        <w:t xml:space="preserve"> zo strany verejnosti</w:t>
      </w:r>
      <w:r w:rsidR="000F4674">
        <w:rPr>
          <w:rFonts w:ascii="Times New Roman" w:hAnsi="Times New Roman"/>
        </w:rPr>
        <w:t xml:space="preserve"> a</w:t>
      </w:r>
      <w:r w:rsidRPr="00DA7E4A">
        <w:rPr>
          <w:rFonts w:ascii="Times New Roman" w:hAnsi="Times New Roman"/>
        </w:rPr>
        <w:t xml:space="preserve"> ani iných organizácií žiadnu požiadavku so záujmom vstúpiť do správneho konania.</w:t>
      </w:r>
    </w:p>
    <w:p w:rsidR="00530B58" w:rsidRPr="00DA7E4A" w:rsidP="00A16146">
      <w:pPr>
        <w:numPr>
          <w:numId w:val="5"/>
        </w:numPr>
        <w:bidi w:val="0"/>
        <w:jc w:val="both"/>
        <w:rPr>
          <w:rFonts w:ascii="Times New Roman" w:hAnsi="Times New Roman"/>
        </w:rPr>
      </w:pPr>
      <w:r w:rsidRPr="00DA7E4A">
        <w:rPr>
          <w:rFonts w:ascii="Times New Roman" w:hAnsi="Times New Roman"/>
        </w:rPr>
        <w:t xml:space="preserve">Toto rozhodnutie ÚJD SR bolo zavŕšením niekoľkoročného procesu prípravy vyraďovania </w:t>
      </w:r>
      <w:r w:rsidR="000F4674">
        <w:rPr>
          <w:rFonts w:ascii="Times New Roman" w:hAnsi="Times New Roman"/>
        </w:rPr>
        <w:t>AE Bohunice</w:t>
      </w:r>
      <w:r w:rsidRPr="00DA7E4A">
        <w:rPr>
          <w:rFonts w:ascii="Times New Roman" w:hAnsi="Times New Roman"/>
        </w:rPr>
        <w:t xml:space="preserve"> V-1 po tom, ako bolo prijaté rozhodnutie o jej odstavení v rokoch 2006 a 2008.</w:t>
      </w:r>
      <w:r>
        <w:rPr>
          <w:rFonts w:ascii="Times New Roman" w:hAnsi="Times New Roman"/>
        </w:rPr>
        <w:t xml:space="preserve"> </w:t>
      </w:r>
      <w:r w:rsidRPr="00DA7E4A">
        <w:rPr>
          <w:rFonts w:ascii="Times New Roman" w:hAnsi="Times New Roman"/>
        </w:rPr>
        <w:t xml:space="preserve">Proces vyraďovania bude prebiehať v dvoch etapách. Činnosti vyraďovania v I. etape sú zamerané predovšetkým na vyraďovanie neaktívnych objektov a zariadení a na problematiku spracovania </w:t>
      </w:r>
      <w:r w:rsidR="000F4674">
        <w:rPr>
          <w:rFonts w:ascii="Times New Roman" w:hAnsi="Times New Roman"/>
        </w:rPr>
        <w:t xml:space="preserve">RAO </w:t>
      </w:r>
      <w:r w:rsidRPr="00DA7E4A">
        <w:rPr>
          <w:rFonts w:ascii="Times New Roman" w:hAnsi="Times New Roman"/>
        </w:rPr>
        <w:t>z prevádzky.</w:t>
      </w:r>
    </w:p>
    <w:p w:rsidR="00530B58" w:rsidRPr="00DA7E4A" w:rsidP="00E700F5">
      <w:pPr>
        <w:numPr>
          <w:numId w:val="5"/>
        </w:numPr>
        <w:bidi w:val="0"/>
        <w:jc w:val="both"/>
        <w:rPr>
          <w:rFonts w:ascii="Times New Roman" w:hAnsi="Times New Roman"/>
          <w:sz w:val="28"/>
          <w:szCs w:val="28"/>
        </w:rPr>
      </w:pPr>
      <w:r w:rsidRPr="00DA7E4A">
        <w:rPr>
          <w:rFonts w:ascii="Times New Roman" w:hAnsi="Times New Roman"/>
        </w:rPr>
        <w:t xml:space="preserve">Plánované inšpekcie na AE </w:t>
      </w:r>
      <w:r w:rsidRPr="00DA7E4A" w:rsidR="000F4674">
        <w:rPr>
          <w:rFonts w:ascii="Times New Roman" w:hAnsi="Times New Roman"/>
        </w:rPr>
        <w:t xml:space="preserve">Bohunice </w:t>
      </w:r>
      <w:r w:rsidRPr="00DA7E4A">
        <w:rPr>
          <w:rFonts w:ascii="Times New Roman" w:hAnsi="Times New Roman"/>
        </w:rPr>
        <w:t>V-1 boli zamerané na kontrolu súladu predpokladaného počiatočného stavu vyraďovania AE</w:t>
      </w:r>
      <w:r w:rsidRPr="000F4674" w:rsidR="000F4674">
        <w:rPr>
          <w:rFonts w:ascii="Times New Roman" w:hAnsi="Times New Roman"/>
        </w:rPr>
        <w:t xml:space="preserve"> </w:t>
      </w:r>
      <w:r w:rsidRPr="00DA7E4A" w:rsidR="000F4674">
        <w:rPr>
          <w:rFonts w:ascii="Times New Roman" w:hAnsi="Times New Roman"/>
        </w:rPr>
        <w:t>Bohunice</w:t>
      </w:r>
      <w:r w:rsidRPr="00DA7E4A">
        <w:rPr>
          <w:rFonts w:ascii="Times New Roman" w:hAnsi="Times New Roman"/>
        </w:rPr>
        <w:t xml:space="preserve"> V-1 so stavom popísaným v pláne etapy vyraďovania AE </w:t>
      </w:r>
      <w:r w:rsidRPr="00DA7E4A" w:rsidR="000F4674">
        <w:rPr>
          <w:rFonts w:ascii="Times New Roman" w:hAnsi="Times New Roman"/>
        </w:rPr>
        <w:t xml:space="preserve">Bohunice </w:t>
      </w:r>
      <w:r w:rsidRPr="00DA7E4A">
        <w:rPr>
          <w:rFonts w:ascii="Times New Roman" w:hAnsi="Times New Roman"/>
        </w:rPr>
        <w:t>V-1</w:t>
      </w:r>
      <w:r>
        <w:rPr>
          <w:rFonts w:ascii="Times New Roman" w:hAnsi="Times New Roman"/>
        </w:rPr>
        <w:t xml:space="preserve"> </w:t>
      </w:r>
      <w:r w:rsidRPr="00DA7E4A">
        <w:rPr>
          <w:rFonts w:ascii="Times New Roman" w:hAnsi="Times New Roman"/>
        </w:rPr>
        <w:t>a na kontrolu progresu v spracovaní prevádzkových odpadov.</w:t>
      </w:r>
    </w:p>
    <w:p w:rsidR="001D5587" w:rsidRPr="00DA7E4A" w:rsidP="001D5587">
      <w:pPr>
        <w:bidi w:val="0"/>
        <w:jc w:val="both"/>
        <w:rPr>
          <w:rFonts w:ascii="Times New Roman" w:hAnsi="Times New Roman"/>
          <w:sz w:val="28"/>
          <w:szCs w:val="28"/>
        </w:rPr>
      </w:pPr>
    </w:p>
    <w:p w:rsidR="001D5587" w:rsidRPr="00D95E1F" w:rsidP="00E700F5">
      <w:pPr>
        <w:pStyle w:val="hodnotenie"/>
        <w:numPr>
          <w:numId w:val="5"/>
        </w:numPr>
        <w:bidi w:val="0"/>
        <w:spacing w:before="0" w:beforeAutospacing="0" w:after="0" w:afterAutospacing="0"/>
        <w:rPr>
          <w:rFonts w:ascii="Times New Roman" w:hAnsi="Times New Roman"/>
          <w:b w:val="0"/>
          <w:i/>
          <w:iCs/>
        </w:rPr>
      </w:pPr>
      <w:r w:rsidRPr="00D95E1F">
        <w:rPr>
          <w:rFonts w:ascii="Times New Roman" w:hAnsi="Times New Roman"/>
          <w:b w:val="0"/>
          <w:i/>
          <w:iCs/>
        </w:rPr>
        <w:t xml:space="preserve">Záver: </w:t>
      </w:r>
    </w:p>
    <w:p w:rsidR="001D5587" w:rsidRPr="00D95E1F" w:rsidP="00963799">
      <w:pPr>
        <w:pStyle w:val="ListParagraph"/>
        <w:numPr>
          <w:numId w:val="5"/>
        </w:numPr>
        <w:bidi w:val="0"/>
        <w:ind w:left="0"/>
        <w:jc w:val="both"/>
        <w:rPr>
          <w:rFonts w:ascii="MyriadPro-Light" w:hAnsi="MyriadPro-Light" w:cs="MyriadPro-Light"/>
          <w:color w:val="333333"/>
          <w:sz w:val="20"/>
        </w:rPr>
      </w:pPr>
      <w:r w:rsidRPr="00D95E1F">
        <w:rPr>
          <w:rFonts w:ascii="Times New Roman" w:hAnsi="Times New Roman"/>
          <w:i/>
          <w:iCs/>
        </w:rPr>
        <w:t xml:space="preserve">Vyraďovanie AE Bohunice V-1 </w:t>
      </w:r>
      <w:r w:rsidRPr="00D95E1F" w:rsidR="00963799">
        <w:rPr>
          <w:rFonts w:ascii="Times New Roman" w:hAnsi="Times New Roman"/>
          <w:i/>
          <w:iCs/>
        </w:rPr>
        <w:t xml:space="preserve">sa </w:t>
      </w:r>
      <w:r w:rsidRPr="00D95E1F">
        <w:rPr>
          <w:rFonts w:ascii="Times New Roman" w:hAnsi="Times New Roman"/>
          <w:i/>
          <w:iCs/>
        </w:rPr>
        <w:t>v roku 2011</w:t>
      </w:r>
      <w:r w:rsidRPr="00D95E1F" w:rsidR="00963799">
        <w:rPr>
          <w:rFonts w:ascii="Times New Roman" w:hAnsi="Times New Roman"/>
          <w:i/>
          <w:iCs/>
        </w:rPr>
        <w:t xml:space="preserve"> realizovalo</w:t>
      </w:r>
      <w:r w:rsidRPr="00D95E1F">
        <w:rPr>
          <w:rFonts w:ascii="Times New Roman" w:hAnsi="Times New Roman"/>
          <w:i/>
          <w:iCs/>
        </w:rPr>
        <w:t xml:space="preserve"> podľa plánu I. etapy vyraďovania.</w:t>
      </w:r>
    </w:p>
    <w:p w:rsidR="006D0191" w:rsidP="006D0191">
      <w:pPr>
        <w:autoSpaceDE w:val="0"/>
        <w:autoSpaceDN w:val="0"/>
        <w:bidi w:val="0"/>
        <w:adjustRightInd w:val="0"/>
        <w:jc w:val="both"/>
        <w:rPr>
          <w:rFonts w:ascii="Times New Roman" w:hAnsi="Times New Roman"/>
        </w:rPr>
      </w:pPr>
    </w:p>
    <w:p w:rsidR="006D0191" w:rsidP="00B922C7">
      <w:pPr>
        <w:pStyle w:val="Heading4"/>
        <w:bidi w:val="0"/>
        <w:ind w:left="0" w:firstLine="0"/>
        <w:rPr>
          <w:rFonts w:ascii="Times New Roman" w:hAnsi="Times New Roman"/>
        </w:rPr>
      </w:pPr>
      <w:bookmarkStart w:id="55" w:name="_Toc320719720"/>
      <w:r>
        <w:rPr>
          <w:rFonts w:ascii="Times New Roman" w:hAnsi="Times New Roman"/>
        </w:rPr>
        <w:t>Záťažové testy</w:t>
      </w:r>
      <w:bookmarkEnd w:id="55"/>
    </w:p>
    <w:p w:rsidR="000C437D" w:rsidRPr="00C164A9" w:rsidP="00C164A9">
      <w:pPr>
        <w:autoSpaceDE w:val="0"/>
        <w:autoSpaceDN w:val="0"/>
        <w:bidi w:val="0"/>
        <w:adjustRightInd w:val="0"/>
        <w:jc w:val="both"/>
        <w:rPr>
          <w:rFonts w:ascii="Times New Roman" w:hAnsi="Times New Roman" w:cs="Calibri"/>
          <w:szCs w:val="24"/>
        </w:rPr>
      </w:pPr>
      <w:r w:rsidR="00C44485">
        <w:rPr>
          <w:rFonts w:ascii="Times New Roman" w:hAnsi="Times New Roman"/>
        </w:rPr>
        <w:t>Ako odozva na haváriu v jadrovej elektrárni Fuku</w:t>
      </w:r>
      <w:r w:rsidR="00517ABE">
        <w:rPr>
          <w:rFonts w:ascii="Times New Roman" w:hAnsi="Times New Roman"/>
        </w:rPr>
        <w:t>šima</w:t>
      </w:r>
      <w:r w:rsidR="00963799">
        <w:rPr>
          <w:rFonts w:ascii="Times New Roman" w:hAnsi="Times New Roman"/>
        </w:rPr>
        <w:t xml:space="preserve"> - Daiči</w:t>
      </w:r>
      <w:r w:rsidR="00C44485">
        <w:rPr>
          <w:rFonts w:ascii="Times New Roman" w:hAnsi="Times New Roman"/>
        </w:rPr>
        <w:t xml:space="preserve"> v Japonsku po silnom zemetrasení a následnej vlne </w:t>
      </w:r>
      <w:r w:rsidR="00C164A9">
        <w:rPr>
          <w:rFonts w:ascii="Times New Roman" w:hAnsi="Times New Roman"/>
        </w:rPr>
        <w:t>c</w:t>
      </w:r>
      <w:r w:rsidR="00C44485">
        <w:rPr>
          <w:rFonts w:ascii="Times New Roman" w:hAnsi="Times New Roman"/>
        </w:rPr>
        <w:t>unami sa d</w:t>
      </w:r>
      <w:r w:rsidRPr="00261794" w:rsidR="00C44485">
        <w:rPr>
          <w:rFonts w:ascii="Times New Roman" w:hAnsi="Times New Roman"/>
        </w:rPr>
        <w:t>ňa 15. marca 2011 konalo zasadnutie E</w:t>
      </w:r>
      <w:r w:rsidR="00C44485">
        <w:rPr>
          <w:rFonts w:ascii="Times New Roman" w:hAnsi="Times New Roman"/>
        </w:rPr>
        <w:t>K</w:t>
      </w:r>
      <w:r w:rsidRPr="00261794" w:rsidR="00C44485">
        <w:rPr>
          <w:rFonts w:ascii="Times New Roman" w:hAnsi="Times New Roman"/>
        </w:rPr>
        <w:t xml:space="preserve"> na mimoriadne vysokej úrovni, kde sa ministri energetiky, zástupcovia regulačných orgánov, odborníci a zástupcovia jad</w:t>
      </w:r>
      <w:r w:rsidR="00C44485">
        <w:rPr>
          <w:rFonts w:ascii="Times New Roman" w:hAnsi="Times New Roman"/>
        </w:rPr>
        <w:t xml:space="preserve">rového priemyslu dohodli na </w:t>
      </w:r>
      <w:r w:rsidR="0094474A">
        <w:rPr>
          <w:rFonts w:ascii="Times New Roman" w:hAnsi="Times New Roman"/>
        </w:rPr>
        <w:t>vykonaní</w:t>
      </w:r>
      <w:r w:rsidRPr="00261794" w:rsidR="00C44485">
        <w:rPr>
          <w:rFonts w:ascii="Times New Roman" w:hAnsi="Times New Roman"/>
        </w:rPr>
        <w:t xml:space="preserve"> cieleného hodnotenia bezpečnosti a rizík (tzv.„</w:t>
      </w:r>
      <w:r w:rsidR="0094474A">
        <w:rPr>
          <w:rFonts w:ascii="Times New Roman" w:hAnsi="Times New Roman"/>
        </w:rPr>
        <w:t xml:space="preserve"> </w:t>
      </w:r>
      <w:r w:rsidRPr="00261794" w:rsidR="00C44485">
        <w:rPr>
          <w:rFonts w:ascii="Times New Roman" w:hAnsi="Times New Roman"/>
        </w:rPr>
        <w:t>záťažov</w:t>
      </w:r>
      <w:r w:rsidR="0099198D">
        <w:rPr>
          <w:rFonts w:ascii="Times New Roman" w:hAnsi="Times New Roman"/>
        </w:rPr>
        <w:t>é</w:t>
      </w:r>
      <w:r w:rsidRPr="00261794" w:rsidR="00C44485">
        <w:rPr>
          <w:rFonts w:ascii="Times New Roman" w:hAnsi="Times New Roman"/>
        </w:rPr>
        <w:t xml:space="preserve"> test</w:t>
      </w:r>
      <w:r w:rsidR="0099198D">
        <w:rPr>
          <w:rFonts w:ascii="Times New Roman" w:hAnsi="Times New Roman"/>
        </w:rPr>
        <w:t>y</w:t>
      </w:r>
      <w:r w:rsidRPr="00261794" w:rsidR="00C44485">
        <w:rPr>
          <w:rFonts w:ascii="Times New Roman" w:hAnsi="Times New Roman"/>
        </w:rPr>
        <w:t xml:space="preserve">“) </w:t>
      </w:r>
      <w:r w:rsidR="00C44485">
        <w:rPr>
          <w:rFonts w:ascii="Times New Roman" w:hAnsi="Times New Roman"/>
        </w:rPr>
        <w:t>AE</w:t>
      </w:r>
      <w:r w:rsidRPr="00261794" w:rsidR="00C44485">
        <w:rPr>
          <w:rFonts w:ascii="Times New Roman" w:hAnsi="Times New Roman"/>
        </w:rPr>
        <w:t xml:space="preserve"> v členských štátoch EÚ. Na základe tohto záväzku Rada E</w:t>
      </w:r>
      <w:r w:rsidR="00C44485">
        <w:rPr>
          <w:rFonts w:ascii="Times New Roman" w:hAnsi="Times New Roman"/>
        </w:rPr>
        <w:t>Ú</w:t>
      </w:r>
      <w:r w:rsidRPr="00261794" w:rsidR="00C44485">
        <w:rPr>
          <w:rFonts w:ascii="Times New Roman" w:hAnsi="Times New Roman"/>
        </w:rPr>
        <w:t xml:space="preserve"> na svojom zasadnutí dňa 25. marca vyhlásila, že „bezpečnosť všetkých jadrových elektrární EÚ je potrebné preskúmať na základe rozsiahleho a transparentného hodnotenia rizík.</w:t>
      </w:r>
      <w:r w:rsidR="00C44485">
        <w:rPr>
          <w:rFonts w:ascii="Times New Roman" w:hAnsi="Times New Roman"/>
        </w:rPr>
        <w:t xml:space="preserve"> </w:t>
      </w:r>
      <w:r w:rsidRPr="00261794" w:rsidR="00C44485">
        <w:rPr>
          <w:rFonts w:ascii="Times New Roman" w:hAnsi="Times New Roman"/>
        </w:rPr>
        <w:t>Dňa 21. apríla vydala pracovná skupina WENRA</w:t>
      </w:r>
      <w:r w:rsidR="00C44485">
        <w:rPr>
          <w:rFonts w:ascii="Times New Roman" w:hAnsi="Times New Roman"/>
        </w:rPr>
        <w:t xml:space="preserve"> p</w:t>
      </w:r>
      <w:r w:rsidRPr="00261794" w:rsidR="00C44485">
        <w:rPr>
          <w:rFonts w:ascii="Times New Roman" w:hAnsi="Times New Roman"/>
        </w:rPr>
        <w:t xml:space="preserve">redbežnú verziu svojich špecifikácií </w:t>
      </w:r>
      <w:r w:rsidR="00C44485">
        <w:rPr>
          <w:rFonts w:ascii="Times New Roman" w:hAnsi="Times New Roman"/>
        </w:rPr>
        <w:t>z</w:t>
      </w:r>
      <w:r w:rsidRPr="00261794" w:rsidR="00C44485">
        <w:rPr>
          <w:rFonts w:ascii="Times New Roman" w:hAnsi="Times New Roman"/>
        </w:rPr>
        <w:t>áťažových testov</w:t>
      </w:r>
      <w:r w:rsidR="00C44485">
        <w:rPr>
          <w:rFonts w:ascii="Times New Roman" w:hAnsi="Times New Roman"/>
        </w:rPr>
        <w:t>, ktorá</w:t>
      </w:r>
      <w:r w:rsidRPr="00261794" w:rsidR="00C44485">
        <w:rPr>
          <w:rFonts w:ascii="Times New Roman" w:hAnsi="Times New Roman"/>
        </w:rPr>
        <w:t xml:space="preserve"> bol</w:t>
      </w:r>
      <w:r w:rsidR="00C44485">
        <w:rPr>
          <w:rFonts w:ascii="Times New Roman" w:hAnsi="Times New Roman"/>
        </w:rPr>
        <w:t>a</w:t>
      </w:r>
      <w:r w:rsidRPr="00261794" w:rsidR="00C44485">
        <w:rPr>
          <w:rFonts w:ascii="Times New Roman" w:hAnsi="Times New Roman"/>
        </w:rPr>
        <w:t xml:space="preserve"> predložen</w:t>
      </w:r>
      <w:r w:rsidR="00C44485">
        <w:rPr>
          <w:rFonts w:ascii="Times New Roman" w:hAnsi="Times New Roman"/>
        </w:rPr>
        <w:t>á</w:t>
      </w:r>
      <w:r w:rsidRPr="00261794" w:rsidR="00C44485">
        <w:rPr>
          <w:rFonts w:ascii="Times New Roman" w:hAnsi="Times New Roman"/>
        </w:rPr>
        <w:t xml:space="preserve"> na </w:t>
      </w:r>
      <w:r w:rsidR="00C44485">
        <w:rPr>
          <w:rFonts w:ascii="Times New Roman" w:hAnsi="Times New Roman"/>
        </w:rPr>
        <w:t xml:space="preserve">zasadnutie </w:t>
      </w:r>
      <w:r w:rsidRPr="00C060EA" w:rsidR="002B58F6">
        <w:rPr>
          <w:rFonts w:ascii="Times New Roman" w:hAnsi="Times New Roman"/>
        </w:rPr>
        <w:t xml:space="preserve">Európskej skupiny na vysokej úrovni pre jadrovú </w:t>
      </w:r>
      <w:r w:rsidRPr="002B58F6" w:rsidR="002B58F6">
        <w:rPr>
          <w:rFonts w:ascii="Times New Roman" w:hAnsi="Times New Roman"/>
        </w:rPr>
        <w:t>bezpečnosť (ďalej len</w:t>
      </w:r>
      <w:r w:rsidR="002B58F6">
        <w:rPr>
          <w:rFonts w:ascii="Times New Roman" w:hAnsi="Times New Roman"/>
          <w:b/>
        </w:rPr>
        <w:t xml:space="preserve"> „</w:t>
      </w:r>
      <w:r w:rsidRPr="002B58F6" w:rsidR="00C44485">
        <w:rPr>
          <w:rFonts w:ascii="Times New Roman" w:hAnsi="Times New Roman"/>
        </w:rPr>
        <w:t>ENSREG</w:t>
      </w:r>
      <w:r w:rsidR="002B58F6">
        <w:rPr>
          <w:rFonts w:ascii="Times New Roman" w:hAnsi="Times New Roman"/>
        </w:rPr>
        <w:t>“)</w:t>
      </w:r>
      <w:r w:rsidR="00C44485">
        <w:rPr>
          <w:rFonts w:ascii="Times New Roman" w:hAnsi="Times New Roman"/>
        </w:rPr>
        <w:t xml:space="preserve"> v máji</w:t>
      </w:r>
      <w:r w:rsidRPr="00261794" w:rsidR="00C44485">
        <w:rPr>
          <w:rFonts w:ascii="Times New Roman" w:hAnsi="Times New Roman"/>
        </w:rPr>
        <w:t xml:space="preserve"> a následne predložen</w:t>
      </w:r>
      <w:r w:rsidR="00C44485">
        <w:rPr>
          <w:rFonts w:ascii="Times New Roman" w:hAnsi="Times New Roman"/>
        </w:rPr>
        <w:t>á</w:t>
      </w:r>
      <w:r w:rsidRPr="00261794" w:rsidR="00C44485">
        <w:rPr>
          <w:rFonts w:ascii="Times New Roman" w:hAnsi="Times New Roman"/>
        </w:rPr>
        <w:t xml:space="preserve"> a prediskutovan</w:t>
      </w:r>
      <w:r w:rsidR="00C44485">
        <w:rPr>
          <w:rFonts w:ascii="Times New Roman" w:hAnsi="Times New Roman"/>
        </w:rPr>
        <w:t>á</w:t>
      </w:r>
      <w:r w:rsidRPr="00261794" w:rsidR="00C44485">
        <w:rPr>
          <w:rFonts w:ascii="Times New Roman" w:hAnsi="Times New Roman"/>
        </w:rPr>
        <w:t xml:space="preserve"> na európskej úrovni.</w:t>
      </w:r>
      <w:r w:rsidR="00C44485">
        <w:rPr>
          <w:rFonts w:ascii="Times New Roman" w:hAnsi="Times New Roman"/>
        </w:rPr>
        <w:t xml:space="preserve"> </w:t>
      </w:r>
      <w:r w:rsidRPr="000C437D">
        <w:rPr>
          <w:rFonts w:ascii="Times New Roman" w:eastAsia="Calibri" w:hAnsi="Times New Roman" w:hint="default"/>
        </w:rPr>
        <w:t>Posudzovanie je založ</w:t>
      </w:r>
      <w:r w:rsidRPr="000C437D">
        <w:rPr>
          <w:rFonts w:ascii="Times New Roman" w:eastAsia="Calibri" w:hAnsi="Times New Roman" w:hint="default"/>
        </w:rPr>
        <w:t>ené</w:t>
      </w:r>
      <w:r w:rsidRPr="000C437D">
        <w:rPr>
          <w:rFonts w:ascii="Times New Roman" w:eastAsia="Calibri" w:hAnsi="Times New Roman" w:hint="default"/>
        </w:rPr>
        <w:t xml:space="preserve"> na š</w:t>
      </w:r>
      <w:r w:rsidRPr="000C437D">
        <w:rPr>
          <w:rFonts w:ascii="Times New Roman" w:eastAsia="Calibri" w:hAnsi="Times New Roman" w:hint="default"/>
        </w:rPr>
        <w:t>pecifiká</w:t>
      </w:r>
      <w:r w:rsidRPr="000C437D">
        <w:rPr>
          <w:rFonts w:ascii="Times New Roman" w:eastAsia="Calibri" w:hAnsi="Times New Roman" w:hint="default"/>
        </w:rPr>
        <w:t>cii a metodike uveden</w:t>
      </w:r>
      <w:r w:rsidR="005E1D42">
        <w:rPr>
          <w:rFonts w:ascii="Times New Roman" w:eastAsia="Calibri" w:hAnsi="Times New Roman"/>
        </w:rPr>
        <w:t>ej</w:t>
      </w:r>
      <w:r w:rsidRPr="000C437D">
        <w:rPr>
          <w:rFonts w:ascii="Times New Roman" w:eastAsia="Calibri" w:hAnsi="Times New Roman" w:hint="default"/>
        </w:rPr>
        <w:t xml:space="preserve"> v deklará</w:t>
      </w:r>
      <w:r w:rsidRPr="000C437D">
        <w:rPr>
          <w:rFonts w:ascii="Times New Roman" w:eastAsia="Calibri" w:hAnsi="Times New Roman" w:hint="default"/>
        </w:rPr>
        <w:t xml:space="preserve">cii ENSREG </w:t>
      </w:r>
      <w:r w:rsidR="005E1D42">
        <w:rPr>
          <w:rFonts w:ascii="Times New Roman" w:eastAsia="Calibri" w:hAnsi="Times New Roman"/>
        </w:rPr>
        <w:t>a </w:t>
      </w:r>
      <w:r w:rsidRPr="000C437D">
        <w:rPr>
          <w:rFonts w:ascii="Times New Roman" w:eastAsia="Calibri" w:hAnsi="Times New Roman" w:hint="default"/>
        </w:rPr>
        <w:t>tý</w:t>
      </w:r>
      <w:r w:rsidRPr="000C437D">
        <w:rPr>
          <w:rFonts w:ascii="Times New Roman" w:eastAsia="Calibri" w:hAnsi="Times New Roman" w:hint="default"/>
        </w:rPr>
        <w:t>ka</w:t>
      </w:r>
      <w:r w:rsidR="005E1D42">
        <w:rPr>
          <w:rFonts w:ascii="Times New Roman" w:eastAsia="Calibri" w:hAnsi="Times New Roman"/>
        </w:rPr>
        <w:t xml:space="preserve"> sa</w:t>
      </w:r>
      <w:r w:rsidRPr="000C437D">
        <w:rPr>
          <w:rFonts w:ascii="Times New Roman" w:eastAsia="Calibri" w:hAnsi="Times New Roman"/>
        </w:rPr>
        <w:t xml:space="preserve"> iba </w:t>
      </w:r>
      <w:r w:rsidR="005E1D42">
        <w:rPr>
          <w:rFonts w:ascii="Times New Roman" w:eastAsia="Calibri" w:hAnsi="Times New Roman"/>
        </w:rPr>
        <w:t>AE</w:t>
      </w:r>
      <w:r w:rsidRPr="000C437D">
        <w:rPr>
          <w:rFonts w:ascii="Times New Roman" w:eastAsia="Calibri" w:hAnsi="Times New Roman"/>
        </w:rPr>
        <w:t xml:space="preserve"> v</w:t>
      </w:r>
      <w:r w:rsidR="005E1D42">
        <w:rPr>
          <w:rFonts w:ascii="Times New Roman" w:eastAsia="Calibri" w:hAnsi="Times New Roman"/>
        </w:rPr>
        <w:t> </w:t>
      </w:r>
      <w:r w:rsidRPr="000C437D">
        <w:rPr>
          <w:rFonts w:ascii="Times New Roman" w:eastAsia="Calibri" w:hAnsi="Times New Roman" w:hint="default"/>
        </w:rPr>
        <w:t>prevá</w:t>
      </w:r>
      <w:r w:rsidRPr="000C437D">
        <w:rPr>
          <w:rFonts w:ascii="Times New Roman" w:eastAsia="Calibri" w:hAnsi="Times New Roman" w:hint="default"/>
        </w:rPr>
        <w:t>dzke</w:t>
      </w:r>
      <w:r w:rsidR="005E1D42">
        <w:rPr>
          <w:rFonts w:ascii="Times New Roman" w:eastAsia="Calibri" w:hAnsi="Times New Roman" w:hint="default"/>
        </w:rPr>
        <w:t xml:space="preserve"> prí</w:t>
      </w:r>
      <w:r w:rsidR="005E1D42">
        <w:rPr>
          <w:rFonts w:ascii="Times New Roman" w:eastAsia="Calibri" w:hAnsi="Times New Roman" w:hint="default"/>
        </w:rPr>
        <w:t>p. budovaný</w:t>
      </w:r>
      <w:r w:rsidR="005E1D42">
        <w:rPr>
          <w:rFonts w:ascii="Times New Roman" w:eastAsia="Calibri" w:hAnsi="Times New Roman" w:hint="default"/>
        </w:rPr>
        <w:t>ch</w:t>
      </w:r>
      <w:r w:rsidRPr="000C437D">
        <w:rPr>
          <w:rFonts w:ascii="Times New Roman" w:eastAsia="Calibri" w:hAnsi="Times New Roman" w:hint="default"/>
        </w:rPr>
        <w:t>, nie iný</w:t>
      </w:r>
      <w:r w:rsidRPr="000C437D">
        <w:rPr>
          <w:rFonts w:ascii="Times New Roman" w:eastAsia="Calibri" w:hAnsi="Times New Roman" w:hint="default"/>
        </w:rPr>
        <w:t xml:space="preserve">ch </w:t>
      </w:r>
      <w:r w:rsidRPr="000C437D">
        <w:rPr>
          <w:rFonts w:ascii="Times New Roman" w:eastAsia="Calibri" w:hAnsi="Times New Roman" w:hint="default"/>
        </w:rPr>
        <w:t>zariadení</w:t>
      </w:r>
      <w:r w:rsidR="0099198D">
        <w:rPr>
          <w:rFonts w:ascii="Times New Roman" w:eastAsia="Calibri" w:hAnsi="Times New Roman"/>
        </w:rPr>
        <w:t>,</w:t>
      </w:r>
      <w:r w:rsidRPr="000C437D">
        <w:rPr>
          <w:rFonts w:ascii="Times New Roman" w:eastAsia="Calibri" w:hAnsi="Times New Roman" w:hint="default"/>
        </w:rPr>
        <w:t xml:space="preserve"> ako sú</w:t>
      </w:r>
      <w:r w:rsidRPr="000C437D">
        <w:rPr>
          <w:rFonts w:ascii="Times New Roman" w:eastAsia="Calibri" w:hAnsi="Times New Roman" w:hint="default"/>
        </w:rPr>
        <w:t xml:space="preserve"> napr. technoló</w:t>
      </w:r>
      <w:r w:rsidRPr="000C437D">
        <w:rPr>
          <w:rFonts w:ascii="Times New Roman" w:eastAsia="Calibri" w:hAnsi="Times New Roman" w:hint="default"/>
        </w:rPr>
        <w:t xml:space="preserve">gie na spracovanie RAO alebo </w:t>
      </w:r>
      <w:r w:rsidR="00415117">
        <w:rPr>
          <w:rFonts w:ascii="Times New Roman" w:eastAsia="Calibri" w:hAnsi="Times New Roman" w:hint="default"/>
        </w:rPr>
        <w:t>republikové</w:t>
      </w:r>
      <w:r w:rsidRPr="000C437D">
        <w:rPr>
          <w:rFonts w:ascii="Times New Roman" w:eastAsia="Calibri" w:hAnsi="Times New Roman" w:hint="default"/>
        </w:rPr>
        <w:t xml:space="preserve"> ú</w:t>
      </w:r>
      <w:r w:rsidRPr="000C437D">
        <w:rPr>
          <w:rFonts w:ascii="Times New Roman" w:eastAsia="Calibri" w:hAnsi="Times New Roman" w:hint="default"/>
        </w:rPr>
        <w:t>lož</w:t>
      </w:r>
      <w:r w:rsidRPr="000C437D">
        <w:rPr>
          <w:rFonts w:ascii="Times New Roman" w:eastAsia="Calibri" w:hAnsi="Times New Roman" w:hint="default"/>
        </w:rPr>
        <w:t xml:space="preserve">isko RAO. </w:t>
      </w:r>
      <w:r w:rsidRPr="009511C6" w:rsidR="00AB2262">
        <w:rPr>
          <w:rFonts w:ascii="Times New Roman" w:hAnsi="Times New Roman" w:cs="Calibri"/>
          <w:szCs w:val="24"/>
        </w:rPr>
        <w:t xml:space="preserve">Stanoveným cieľom záťažových testov bolo určiť, akému stupňu externého nebezpečenstva dokáže </w:t>
      </w:r>
      <w:r w:rsidR="00C164A9">
        <w:rPr>
          <w:rFonts w:ascii="Times New Roman" w:hAnsi="Times New Roman" w:cs="Calibri"/>
          <w:szCs w:val="24"/>
        </w:rPr>
        <w:t xml:space="preserve">AE </w:t>
      </w:r>
      <w:r w:rsidRPr="009511C6" w:rsidR="00AB2262">
        <w:rPr>
          <w:rFonts w:ascii="Times New Roman" w:hAnsi="Times New Roman" w:cs="Calibri"/>
          <w:szCs w:val="24"/>
        </w:rPr>
        <w:t xml:space="preserve">odolať bez závažného poškodenia jadrového paliva v aktívnej zóne reaktora alebo bez významného úniku rádioaktívnych </w:t>
      </w:r>
      <w:r w:rsidR="00415117">
        <w:rPr>
          <w:rFonts w:ascii="Times New Roman" w:hAnsi="Times New Roman" w:cs="Calibri"/>
          <w:szCs w:val="24"/>
        </w:rPr>
        <w:t>látok</w:t>
      </w:r>
      <w:r w:rsidRPr="009511C6" w:rsidR="00AB2262">
        <w:rPr>
          <w:rFonts w:ascii="Times New Roman" w:hAnsi="Times New Roman" w:cs="Calibri"/>
          <w:szCs w:val="24"/>
        </w:rPr>
        <w:t xml:space="preserve"> do životného prostredia. Zároveň </w:t>
      </w:r>
      <w:r w:rsidR="0099198D">
        <w:rPr>
          <w:rFonts w:ascii="Times New Roman" w:hAnsi="Times New Roman" w:cs="Calibri"/>
          <w:szCs w:val="24"/>
        </w:rPr>
        <w:t>bolo</w:t>
      </w:r>
      <w:r w:rsidRPr="009511C6" w:rsidR="0099198D">
        <w:rPr>
          <w:rFonts w:ascii="Times New Roman" w:hAnsi="Times New Roman" w:cs="Calibri"/>
          <w:szCs w:val="24"/>
        </w:rPr>
        <w:t xml:space="preserve"> </w:t>
      </w:r>
      <w:r w:rsidRPr="009511C6" w:rsidR="00AB2262">
        <w:rPr>
          <w:rFonts w:ascii="Times New Roman" w:hAnsi="Times New Roman" w:cs="Calibri"/>
          <w:szCs w:val="24"/>
        </w:rPr>
        <w:t>cieľ</w:t>
      </w:r>
      <w:r w:rsidR="00AB2262">
        <w:rPr>
          <w:rFonts w:ascii="Times New Roman" w:hAnsi="Times New Roman" w:cs="Calibri"/>
          <w:szCs w:val="24"/>
        </w:rPr>
        <w:t xml:space="preserve">om </w:t>
      </w:r>
      <w:r w:rsidRPr="009511C6" w:rsidR="00AB2262">
        <w:rPr>
          <w:rFonts w:ascii="Times New Roman" w:hAnsi="Times New Roman" w:cs="Calibri"/>
          <w:szCs w:val="24"/>
        </w:rPr>
        <w:t xml:space="preserve">zhodnotiť existujúce schopnosti </w:t>
      </w:r>
      <w:r w:rsidR="00AB2262">
        <w:rPr>
          <w:rFonts w:ascii="Times New Roman" w:hAnsi="Times New Roman" w:cs="Calibri"/>
          <w:szCs w:val="24"/>
        </w:rPr>
        <w:t>AE</w:t>
      </w:r>
      <w:r w:rsidRPr="009511C6" w:rsidR="00AB2262">
        <w:rPr>
          <w:rFonts w:ascii="Times New Roman" w:hAnsi="Times New Roman" w:cs="Calibri"/>
          <w:szCs w:val="24"/>
        </w:rPr>
        <w:t xml:space="preserve"> a ich pracovníkov pri zvládnutí extrémnych meteorologických podmienok, ktoré môžu v konečnom dôsledku vyústiť k strate základných bezp</w:t>
      </w:r>
      <w:r w:rsidR="00C164A9">
        <w:rPr>
          <w:rFonts w:ascii="Times New Roman" w:hAnsi="Times New Roman" w:cs="Calibri"/>
          <w:szCs w:val="24"/>
        </w:rPr>
        <w:t xml:space="preserve">ečnostných funkcií elektrárne. </w:t>
      </w:r>
    </w:p>
    <w:p w:rsidR="005E1D42" w:rsidP="001434DE">
      <w:pPr>
        <w:bidi w:val="0"/>
        <w:jc w:val="both"/>
        <w:rPr>
          <w:rFonts w:ascii="Times New Roman" w:eastAsia="Calibri" w:hAnsi="Times New Roman"/>
        </w:rPr>
      </w:pPr>
      <w:r>
        <w:rPr>
          <w:rFonts w:ascii="Times New Roman" w:eastAsia="Calibri" w:hAnsi="Times New Roman" w:hint="default"/>
        </w:rPr>
        <w:t>Prevá</w:t>
      </w:r>
      <w:r>
        <w:rPr>
          <w:rFonts w:ascii="Times New Roman" w:eastAsia="Calibri" w:hAnsi="Times New Roman" w:hint="default"/>
        </w:rPr>
        <w:t>dzkovateľ</w:t>
      </w:r>
      <w:r>
        <w:rPr>
          <w:rFonts w:ascii="Times New Roman" w:eastAsia="Calibri" w:hAnsi="Times New Roman" w:hint="default"/>
        </w:rPr>
        <w:t xml:space="preserve"> AE v SR, SE,</w:t>
      </w:r>
      <w:r w:rsidR="00C164A9">
        <w:rPr>
          <w:rFonts w:ascii="Times New Roman" w:eastAsia="Calibri" w:hAnsi="Times New Roman"/>
        </w:rPr>
        <w:t xml:space="preserve"> </w:t>
      </w:r>
      <w:r>
        <w:rPr>
          <w:rFonts w:ascii="Times New Roman" w:eastAsia="Calibri" w:hAnsi="Times New Roman"/>
        </w:rPr>
        <w:t>a</w:t>
      </w:r>
      <w:r w:rsidR="0099198D">
        <w:rPr>
          <w:rFonts w:ascii="Times New Roman" w:eastAsia="Calibri" w:hAnsi="Times New Roman"/>
        </w:rPr>
        <w:t> </w:t>
      </w:r>
      <w:r>
        <w:rPr>
          <w:rFonts w:ascii="Times New Roman" w:eastAsia="Calibri" w:hAnsi="Times New Roman" w:hint="default"/>
        </w:rPr>
        <w:t>s. deklaroval, ž</w:t>
      </w:r>
      <w:r>
        <w:rPr>
          <w:rFonts w:ascii="Times New Roman" w:eastAsia="Calibri" w:hAnsi="Times New Roman" w:hint="default"/>
        </w:rPr>
        <w:t>e dobrovoľ</w:t>
      </w:r>
      <w:r>
        <w:rPr>
          <w:rFonts w:ascii="Times New Roman" w:eastAsia="Calibri" w:hAnsi="Times New Roman" w:hint="default"/>
        </w:rPr>
        <w:t>ne pristú</w:t>
      </w:r>
      <w:r>
        <w:rPr>
          <w:rFonts w:ascii="Times New Roman" w:eastAsia="Calibri" w:hAnsi="Times New Roman" w:hint="default"/>
        </w:rPr>
        <w:t>pi k </w:t>
      </w:r>
      <w:r>
        <w:rPr>
          <w:rFonts w:ascii="Times New Roman" w:eastAsia="Calibri" w:hAnsi="Times New Roman" w:hint="default"/>
        </w:rPr>
        <w:t>realizá</w:t>
      </w:r>
      <w:r>
        <w:rPr>
          <w:rFonts w:ascii="Times New Roman" w:eastAsia="Calibri" w:hAnsi="Times New Roman" w:hint="default"/>
        </w:rPr>
        <w:t>cii testov.</w:t>
      </w:r>
      <w:r w:rsidR="00BD21E3">
        <w:rPr>
          <w:rFonts w:ascii="Times New Roman" w:eastAsia="Calibri" w:hAnsi="Times New Roman"/>
        </w:rPr>
        <w:t xml:space="preserve"> </w:t>
      </w:r>
      <w:r>
        <w:rPr>
          <w:rFonts w:ascii="Times New Roman" w:eastAsia="Calibri" w:hAnsi="Times New Roman"/>
        </w:rPr>
        <w:t>Testy</w:t>
      </w:r>
      <w:r w:rsidRPr="000C437D" w:rsidR="000C437D">
        <w:rPr>
          <w:rFonts w:ascii="Times New Roman" w:eastAsia="Calibri" w:hAnsi="Times New Roman"/>
        </w:rPr>
        <w:t xml:space="preserve"> sa </w:t>
      </w:r>
      <w:r>
        <w:rPr>
          <w:rFonts w:ascii="Times New Roman" w:eastAsia="Calibri" w:hAnsi="Times New Roman"/>
        </w:rPr>
        <w:t>v</w:t>
      </w:r>
      <w:r w:rsidRPr="000C437D" w:rsidR="000C437D">
        <w:rPr>
          <w:rFonts w:ascii="Times New Roman" w:eastAsia="Calibri" w:hAnsi="Times New Roman"/>
        </w:rPr>
        <w:t xml:space="preserve"> S</w:t>
      </w:r>
      <w:r>
        <w:rPr>
          <w:rFonts w:ascii="Times New Roman" w:eastAsia="Calibri" w:hAnsi="Times New Roman"/>
        </w:rPr>
        <w:t>R</w:t>
      </w:r>
      <w:r w:rsidRPr="000C437D" w:rsidR="000C437D">
        <w:rPr>
          <w:rFonts w:ascii="Times New Roman" w:eastAsia="Calibri" w:hAnsi="Times New Roman" w:hint="default"/>
        </w:rPr>
        <w:t xml:space="preserve"> zač</w:t>
      </w:r>
      <w:r w:rsidRPr="000C437D" w:rsidR="000C437D">
        <w:rPr>
          <w:rFonts w:ascii="Times New Roman" w:eastAsia="Calibri" w:hAnsi="Times New Roman" w:hint="default"/>
        </w:rPr>
        <w:t>ali 1. jú</w:t>
      </w:r>
      <w:r w:rsidRPr="000C437D" w:rsidR="000C437D">
        <w:rPr>
          <w:rFonts w:ascii="Times New Roman" w:eastAsia="Calibri" w:hAnsi="Times New Roman" w:hint="default"/>
        </w:rPr>
        <w:t>na 2011, v sú</w:t>
      </w:r>
      <w:r w:rsidRPr="000C437D" w:rsidR="000C437D">
        <w:rPr>
          <w:rFonts w:ascii="Times New Roman" w:eastAsia="Calibri" w:hAnsi="Times New Roman" w:hint="default"/>
        </w:rPr>
        <w:t>lade s </w:t>
      </w:r>
      <w:r w:rsidRPr="000C437D" w:rsidR="000C437D">
        <w:rPr>
          <w:rFonts w:ascii="Times New Roman" w:eastAsia="Calibri" w:hAnsi="Times New Roman" w:hint="default"/>
        </w:rPr>
        <w:t>harmonogramom dohodnutý</w:t>
      </w:r>
      <w:r w:rsidRPr="000C437D" w:rsidR="000C437D">
        <w:rPr>
          <w:rFonts w:ascii="Times New Roman" w:eastAsia="Calibri" w:hAnsi="Times New Roman" w:hint="default"/>
        </w:rPr>
        <w:t>m na euró</w:t>
      </w:r>
      <w:r w:rsidRPr="000C437D" w:rsidR="000C437D">
        <w:rPr>
          <w:rFonts w:ascii="Times New Roman" w:eastAsia="Calibri" w:hAnsi="Times New Roman" w:hint="default"/>
        </w:rPr>
        <w:t>pskej ú</w:t>
      </w:r>
      <w:r w:rsidRPr="000C437D" w:rsidR="000C437D">
        <w:rPr>
          <w:rFonts w:ascii="Times New Roman" w:eastAsia="Calibri" w:hAnsi="Times New Roman" w:hint="default"/>
        </w:rPr>
        <w:t>rovni</w:t>
      </w:r>
      <w:r w:rsidR="0099198D">
        <w:rPr>
          <w:rFonts w:ascii="Times New Roman" w:eastAsia="Calibri" w:hAnsi="Times New Roman"/>
        </w:rPr>
        <w:t>.</w:t>
      </w:r>
      <w:r w:rsidRPr="000C437D" w:rsidR="000C437D">
        <w:rPr>
          <w:rFonts w:ascii="Times New Roman" w:eastAsia="Calibri" w:hAnsi="Times New Roman"/>
        </w:rPr>
        <w:t xml:space="preserve"> </w:t>
      </w:r>
      <w:r w:rsidR="0099198D">
        <w:rPr>
          <w:rFonts w:ascii="Times New Roman" w:eastAsia="Calibri" w:hAnsi="Times New Roman"/>
        </w:rPr>
        <w:t>V</w:t>
      </w:r>
      <w:r w:rsidRPr="000C437D" w:rsidR="000C437D">
        <w:rPr>
          <w:rFonts w:ascii="Times New Roman" w:eastAsia="Calibri" w:hAnsi="Times New Roman"/>
        </w:rPr>
        <w:t> </w:t>
      </w:r>
      <w:r w:rsidRPr="000C437D" w:rsidR="000C437D">
        <w:rPr>
          <w:rFonts w:ascii="Times New Roman" w:eastAsia="Calibri" w:hAnsi="Times New Roman" w:hint="default"/>
        </w:rPr>
        <w:t>zmysle tohto harmonogramu prevá</w:t>
      </w:r>
      <w:r w:rsidRPr="000C437D" w:rsidR="000C437D">
        <w:rPr>
          <w:rFonts w:ascii="Times New Roman" w:eastAsia="Calibri" w:hAnsi="Times New Roman" w:hint="default"/>
        </w:rPr>
        <w:t>dzk</w:t>
      </w:r>
      <w:r w:rsidRPr="000C437D" w:rsidR="000C437D">
        <w:rPr>
          <w:rFonts w:ascii="Times New Roman" w:eastAsia="Calibri" w:hAnsi="Times New Roman" w:hint="default"/>
        </w:rPr>
        <w:t>ovateľ</w:t>
      </w:r>
      <w:r w:rsidRPr="000C437D" w:rsidR="000C437D">
        <w:rPr>
          <w:rFonts w:ascii="Times New Roman" w:eastAsia="Calibri" w:hAnsi="Times New Roman" w:hint="default"/>
        </w:rPr>
        <w:t xml:space="preserve"> elektrá</w:t>
      </w:r>
      <w:r w:rsidRPr="000C437D" w:rsidR="000C437D">
        <w:rPr>
          <w:rFonts w:ascii="Times New Roman" w:eastAsia="Calibri" w:hAnsi="Times New Roman" w:hint="default"/>
        </w:rPr>
        <w:t>rn</w:t>
      </w:r>
      <w:r w:rsidR="00D61781">
        <w:rPr>
          <w:rFonts w:ascii="Times New Roman" w:eastAsia="Calibri" w:hAnsi="Times New Roman" w:hint="default"/>
        </w:rPr>
        <w:t>í</w:t>
      </w:r>
      <w:r w:rsidRPr="000C437D" w:rsidR="000C437D">
        <w:rPr>
          <w:rFonts w:ascii="Times New Roman" w:eastAsia="Calibri" w:hAnsi="Times New Roman" w:hint="default"/>
        </w:rPr>
        <w:t xml:space="preserve"> odovzdal 15. augusta zá</w:t>
      </w:r>
      <w:r w:rsidRPr="000C437D" w:rsidR="000C437D">
        <w:rPr>
          <w:rFonts w:ascii="Times New Roman" w:eastAsia="Calibri" w:hAnsi="Times New Roman" w:hint="default"/>
        </w:rPr>
        <w:t>very predbež</w:t>
      </w:r>
      <w:r w:rsidRPr="000C437D" w:rsidR="000C437D">
        <w:rPr>
          <w:rFonts w:ascii="Times New Roman" w:eastAsia="Calibri" w:hAnsi="Times New Roman" w:hint="default"/>
        </w:rPr>
        <w:t>nej sprá</w:t>
      </w:r>
      <w:r w:rsidRPr="000C437D" w:rsidR="000C437D">
        <w:rPr>
          <w:rFonts w:ascii="Times New Roman" w:eastAsia="Calibri" w:hAnsi="Times New Roman" w:hint="default"/>
        </w:rPr>
        <w:t>vy na Ú</w:t>
      </w:r>
      <w:r>
        <w:rPr>
          <w:rFonts w:ascii="Times New Roman" w:eastAsia="Calibri" w:hAnsi="Times New Roman"/>
        </w:rPr>
        <w:t>JD</w:t>
      </w:r>
      <w:r w:rsidRPr="000C437D" w:rsidR="000C437D">
        <w:rPr>
          <w:rFonts w:ascii="Times New Roman" w:eastAsia="Calibri" w:hAnsi="Times New Roman" w:hint="default"/>
        </w:rPr>
        <w:t xml:space="preserve"> SR. Ú</w:t>
      </w:r>
      <w:r>
        <w:rPr>
          <w:rFonts w:ascii="Times New Roman" w:eastAsia="Calibri" w:hAnsi="Times New Roman"/>
        </w:rPr>
        <w:t>JD SR</w:t>
      </w:r>
      <w:r w:rsidRPr="000C437D" w:rsidR="000C437D">
        <w:rPr>
          <w:rFonts w:ascii="Times New Roman" w:eastAsia="Calibri" w:hAnsi="Times New Roman" w:hint="default"/>
        </w:rPr>
        <w:t xml:space="preserve"> posú</w:t>
      </w:r>
      <w:r w:rsidRPr="000C437D" w:rsidR="000C437D">
        <w:rPr>
          <w:rFonts w:ascii="Times New Roman" w:eastAsia="Calibri" w:hAnsi="Times New Roman" w:hint="default"/>
        </w:rPr>
        <w:t>dil predlož</w:t>
      </w:r>
      <w:r w:rsidRPr="000C437D" w:rsidR="000C437D">
        <w:rPr>
          <w:rFonts w:ascii="Times New Roman" w:eastAsia="Calibri" w:hAnsi="Times New Roman" w:hint="default"/>
        </w:rPr>
        <w:t>enú</w:t>
      </w:r>
      <w:r w:rsidRPr="000C437D" w:rsidR="000C437D">
        <w:rPr>
          <w:rFonts w:ascii="Times New Roman" w:eastAsia="Calibri" w:hAnsi="Times New Roman" w:hint="default"/>
        </w:rPr>
        <w:t xml:space="preserve"> sprá</w:t>
      </w:r>
      <w:r w:rsidRPr="000C437D" w:rsidR="000C437D">
        <w:rPr>
          <w:rFonts w:ascii="Times New Roman" w:eastAsia="Calibri" w:hAnsi="Times New Roman" w:hint="default"/>
        </w:rPr>
        <w:t>vu a vypracoval pr</w:t>
      </w:r>
      <w:r>
        <w:rPr>
          <w:rFonts w:ascii="Times New Roman" w:eastAsia="Calibri" w:hAnsi="Times New Roman"/>
        </w:rPr>
        <w:t>ie</w:t>
      </w:r>
      <w:r w:rsidRPr="000C437D" w:rsidR="000C437D">
        <w:rPr>
          <w:rFonts w:ascii="Times New Roman" w:eastAsia="Calibri" w:hAnsi="Times New Roman" w:hint="default"/>
        </w:rPr>
        <w:t>bež</w:t>
      </w:r>
      <w:r w:rsidRPr="000C437D" w:rsidR="000C437D">
        <w:rPr>
          <w:rFonts w:ascii="Times New Roman" w:eastAsia="Calibri" w:hAnsi="Times New Roman" w:hint="default"/>
        </w:rPr>
        <w:t>nú</w:t>
      </w:r>
      <w:r w:rsidRPr="000C437D" w:rsidR="000C437D">
        <w:rPr>
          <w:rFonts w:ascii="Times New Roman" w:eastAsia="Calibri" w:hAnsi="Times New Roman" w:hint="default"/>
        </w:rPr>
        <w:t xml:space="preserve"> ná</w:t>
      </w:r>
      <w:r w:rsidRPr="000C437D" w:rsidR="000C437D">
        <w:rPr>
          <w:rFonts w:ascii="Times New Roman" w:eastAsia="Calibri" w:hAnsi="Times New Roman" w:hint="default"/>
        </w:rPr>
        <w:t>rodnú</w:t>
      </w:r>
      <w:r w:rsidRPr="000C437D" w:rsidR="000C437D">
        <w:rPr>
          <w:rFonts w:ascii="Times New Roman" w:eastAsia="Calibri" w:hAnsi="Times New Roman" w:hint="default"/>
        </w:rPr>
        <w:t xml:space="preserve"> sprá</w:t>
      </w:r>
      <w:r w:rsidRPr="000C437D" w:rsidR="000C437D">
        <w:rPr>
          <w:rFonts w:ascii="Times New Roman" w:eastAsia="Calibri" w:hAnsi="Times New Roman" w:hint="default"/>
        </w:rPr>
        <w:t>vu, ktorá</w:t>
      </w:r>
      <w:r w:rsidRPr="000C437D" w:rsidR="000C437D">
        <w:rPr>
          <w:rFonts w:ascii="Times New Roman" w:eastAsia="Calibri" w:hAnsi="Times New Roman" w:hint="default"/>
        </w:rPr>
        <w:t xml:space="preserve"> bola zaslaná</w:t>
      </w:r>
      <w:r w:rsidRPr="000C437D" w:rsidR="000C437D">
        <w:rPr>
          <w:rFonts w:ascii="Times New Roman" w:eastAsia="Calibri" w:hAnsi="Times New Roman" w:hint="default"/>
        </w:rPr>
        <w:t xml:space="preserve"> 14. septembra do E</w:t>
      </w:r>
      <w:r>
        <w:rPr>
          <w:rFonts w:ascii="Times New Roman" w:eastAsia="Calibri" w:hAnsi="Times New Roman"/>
        </w:rPr>
        <w:t>K</w:t>
      </w:r>
      <w:r w:rsidRPr="000C437D" w:rsidR="000C437D">
        <w:rPr>
          <w:rFonts w:ascii="Times New Roman" w:eastAsia="Calibri" w:hAnsi="Times New Roman"/>
        </w:rPr>
        <w:t xml:space="preserve">. </w:t>
      </w:r>
      <w:r>
        <w:rPr>
          <w:rFonts w:ascii="Times New Roman" w:eastAsia="Calibri" w:hAnsi="Times New Roman" w:hint="default"/>
        </w:rPr>
        <w:t>Dň</w:t>
      </w:r>
      <w:r>
        <w:rPr>
          <w:rFonts w:ascii="Times New Roman" w:eastAsia="Calibri" w:hAnsi="Times New Roman" w:hint="default"/>
        </w:rPr>
        <w:t xml:space="preserve">a </w:t>
      </w:r>
      <w:r w:rsidR="00D61781">
        <w:rPr>
          <w:rFonts w:ascii="Times New Roman" w:eastAsia="Calibri" w:hAnsi="Times New Roman"/>
        </w:rPr>
        <w:t>31</w:t>
      </w:r>
      <w:r w:rsidR="00863A48">
        <w:rPr>
          <w:rFonts w:ascii="Times New Roman" w:eastAsia="Calibri" w:hAnsi="Times New Roman"/>
        </w:rPr>
        <w:t>.</w:t>
      </w:r>
      <w:r w:rsidR="00D61781">
        <w:rPr>
          <w:rFonts w:ascii="Times New Roman" w:eastAsia="Calibri" w:hAnsi="Times New Roman" w:hint="default"/>
        </w:rPr>
        <w:t xml:space="preserve"> októ</w:t>
      </w:r>
      <w:r w:rsidR="00D61781">
        <w:rPr>
          <w:rFonts w:ascii="Times New Roman" w:eastAsia="Calibri" w:hAnsi="Times New Roman" w:hint="default"/>
        </w:rPr>
        <w:t>bra</w:t>
      </w:r>
      <w:r>
        <w:rPr>
          <w:rFonts w:ascii="Times New Roman" w:eastAsia="Calibri" w:hAnsi="Times New Roman" w:hint="default"/>
        </w:rPr>
        <w:t xml:space="preserve"> bola na Ú</w:t>
      </w:r>
      <w:r>
        <w:rPr>
          <w:rFonts w:ascii="Times New Roman" w:eastAsia="Calibri" w:hAnsi="Times New Roman" w:hint="default"/>
        </w:rPr>
        <w:t xml:space="preserve">JD SR </w:t>
      </w:r>
      <w:r w:rsidR="001434DE">
        <w:rPr>
          <w:rFonts w:ascii="Times New Roman" w:eastAsia="Calibri" w:hAnsi="Times New Roman" w:hint="default"/>
        </w:rPr>
        <w:t>prevá</w:t>
      </w:r>
      <w:r w:rsidR="001434DE">
        <w:rPr>
          <w:rFonts w:ascii="Times New Roman" w:eastAsia="Calibri" w:hAnsi="Times New Roman" w:hint="default"/>
        </w:rPr>
        <w:t>dzkovateľ</w:t>
      </w:r>
      <w:r w:rsidR="001434DE">
        <w:rPr>
          <w:rFonts w:ascii="Times New Roman" w:eastAsia="Calibri" w:hAnsi="Times New Roman" w:hint="default"/>
        </w:rPr>
        <w:t xml:space="preserve">om </w:t>
      </w:r>
      <w:r>
        <w:rPr>
          <w:rFonts w:ascii="Times New Roman" w:eastAsia="Calibri" w:hAnsi="Times New Roman" w:hint="default"/>
        </w:rPr>
        <w:t>doruč</w:t>
      </w:r>
      <w:r>
        <w:rPr>
          <w:rFonts w:ascii="Times New Roman" w:eastAsia="Calibri" w:hAnsi="Times New Roman" w:hint="default"/>
        </w:rPr>
        <w:t>ená</w:t>
      </w:r>
      <w:r>
        <w:rPr>
          <w:rFonts w:ascii="Times New Roman" w:eastAsia="Calibri" w:hAnsi="Times New Roman" w:hint="default"/>
        </w:rPr>
        <w:t xml:space="preserve"> finá</w:t>
      </w:r>
      <w:r>
        <w:rPr>
          <w:rFonts w:ascii="Times New Roman" w:eastAsia="Calibri" w:hAnsi="Times New Roman" w:hint="default"/>
        </w:rPr>
        <w:t>lna sprá</w:t>
      </w:r>
      <w:r>
        <w:rPr>
          <w:rFonts w:ascii="Times New Roman" w:eastAsia="Calibri" w:hAnsi="Times New Roman" w:hint="default"/>
        </w:rPr>
        <w:t>va</w:t>
      </w:r>
      <w:r w:rsidR="001434DE">
        <w:rPr>
          <w:rFonts w:ascii="Times New Roman" w:eastAsia="Calibri" w:hAnsi="Times New Roman"/>
        </w:rPr>
        <w:t xml:space="preserve"> k </w:t>
      </w:r>
      <w:r w:rsidR="001434DE">
        <w:rPr>
          <w:rFonts w:ascii="Times New Roman" w:eastAsia="Calibri" w:hAnsi="Times New Roman" w:hint="default"/>
        </w:rPr>
        <w:t>záť</w:t>
      </w:r>
      <w:r w:rsidR="001434DE">
        <w:rPr>
          <w:rFonts w:ascii="Times New Roman" w:eastAsia="Calibri" w:hAnsi="Times New Roman" w:hint="default"/>
        </w:rPr>
        <w:t>až</w:t>
      </w:r>
      <w:r w:rsidR="001434DE">
        <w:rPr>
          <w:rFonts w:ascii="Times New Roman" w:eastAsia="Calibri" w:hAnsi="Times New Roman" w:hint="default"/>
        </w:rPr>
        <w:t>ový</w:t>
      </w:r>
      <w:r w:rsidR="001434DE">
        <w:rPr>
          <w:rFonts w:ascii="Times New Roman" w:eastAsia="Calibri" w:hAnsi="Times New Roman" w:hint="default"/>
        </w:rPr>
        <w:t>m testom, ktorú</w:t>
      </w:r>
      <w:r w:rsidR="001434DE">
        <w:rPr>
          <w:rFonts w:ascii="Times New Roman" w:eastAsia="Calibri" w:hAnsi="Times New Roman" w:hint="default"/>
        </w:rPr>
        <w:t xml:space="preserve"> Ú</w:t>
      </w:r>
      <w:r w:rsidR="001434DE">
        <w:rPr>
          <w:rFonts w:ascii="Times New Roman" w:eastAsia="Calibri" w:hAnsi="Times New Roman" w:hint="default"/>
        </w:rPr>
        <w:t>JD SR posú</w:t>
      </w:r>
      <w:r w:rsidR="001434DE">
        <w:rPr>
          <w:rFonts w:ascii="Times New Roman" w:eastAsia="Calibri" w:hAnsi="Times New Roman" w:hint="default"/>
        </w:rPr>
        <w:t>dil a </w:t>
      </w:r>
      <w:r w:rsidR="001434DE">
        <w:rPr>
          <w:rFonts w:ascii="Times New Roman" w:eastAsia="Calibri" w:hAnsi="Times New Roman" w:hint="default"/>
        </w:rPr>
        <w:t>spracoval finá</w:t>
      </w:r>
      <w:r w:rsidR="001434DE">
        <w:rPr>
          <w:rFonts w:ascii="Times New Roman" w:eastAsia="Calibri" w:hAnsi="Times New Roman" w:hint="default"/>
        </w:rPr>
        <w:t xml:space="preserve">lnu </w:t>
      </w:r>
      <w:r w:rsidR="00C164A9">
        <w:rPr>
          <w:rFonts w:ascii="Times New Roman" w:eastAsia="Calibri" w:hAnsi="Times New Roman"/>
        </w:rPr>
        <w:t>n</w:t>
      </w:r>
      <w:r w:rsidR="001434DE">
        <w:rPr>
          <w:rFonts w:ascii="Times New Roman" w:eastAsia="Calibri" w:hAnsi="Times New Roman" w:hint="default"/>
        </w:rPr>
        <w:t>á</w:t>
      </w:r>
      <w:r w:rsidR="001434DE">
        <w:rPr>
          <w:rFonts w:ascii="Times New Roman" w:eastAsia="Calibri" w:hAnsi="Times New Roman" w:hint="default"/>
        </w:rPr>
        <w:t>rodnú</w:t>
      </w:r>
      <w:r w:rsidR="001434DE">
        <w:rPr>
          <w:rFonts w:ascii="Times New Roman" w:eastAsia="Calibri" w:hAnsi="Times New Roman" w:hint="default"/>
        </w:rPr>
        <w:t xml:space="preserve"> sprá</w:t>
      </w:r>
      <w:r w:rsidR="001434DE">
        <w:rPr>
          <w:rFonts w:ascii="Times New Roman" w:eastAsia="Calibri" w:hAnsi="Times New Roman" w:hint="default"/>
        </w:rPr>
        <w:t>vu, ktorá</w:t>
      </w:r>
      <w:r w:rsidR="001434DE">
        <w:rPr>
          <w:rFonts w:ascii="Times New Roman" w:eastAsia="Calibri" w:hAnsi="Times New Roman" w:hint="default"/>
        </w:rPr>
        <w:t xml:space="preserve"> bola zaslaná</w:t>
      </w:r>
      <w:r w:rsidR="001434DE">
        <w:rPr>
          <w:rFonts w:ascii="Times New Roman" w:eastAsia="Calibri" w:hAnsi="Times New Roman" w:hint="default"/>
        </w:rPr>
        <w:t xml:space="preserve"> sekretariá</w:t>
      </w:r>
      <w:r w:rsidR="001434DE">
        <w:rPr>
          <w:rFonts w:ascii="Times New Roman" w:eastAsia="Calibri" w:hAnsi="Times New Roman" w:hint="default"/>
        </w:rPr>
        <w:t>tu záť</w:t>
      </w:r>
      <w:r w:rsidR="001434DE">
        <w:rPr>
          <w:rFonts w:ascii="Times New Roman" w:eastAsia="Calibri" w:hAnsi="Times New Roman" w:hint="default"/>
        </w:rPr>
        <w:t>až</w:t>
      </w:r>
      <w:r w:rsidR="001434DE">
        <w:rPr>
          <w:rFonts w:ascii="Times New Roman" w:eastAsia="Calibri" w:hAnsi="Times New Roman" w:hint="default"/>
        </w:rPr>
        <w:t>ový</w:t>
      </w:r>
      <w:r w:rsidR="001434DE">
        <w:rPr>
          <w:rFonts w:ascii="Times New Roman" w:eastAsia="Calibri" w:hAnsi="Times New Roman" w:hint="default"/>
        </w:rPr>
        <w:t>ch testov EK</w:t>
      </w:r>
      <w:r w:rsidR="00BD21E3">
        <w:rPr>
          <w:rFonts w:ascii="Times New Roman" w:eastAsia="Calibri" w:hAnsi="Times New Roman"/>
        </w:rPr>
        <w:t xml:space="preserve"> 30.</w:t>
      </w:r>
      <w:r w:rsidR="002627C1">
        <w:rPr>
          <w:rFonts w:ascii="Times New Roman" w:eastAsia="Calibri" w:hAnsi="Times New Roman"/>
        </w:rPr>
        <w:t> </w:t>
      </w:r>
      <w:r w:rsidR="00BD21E3">
        <w:rPr>
          <w:rFonts w:ascii="Times New Roman" w:eastAsia="Calibri" w:hAnsi="Times New Roman"/>
        </w:rPr>
        <w:t>decembra 201</w:t>
      </w:r>
      <w:r w:rsidR="00C164A9">
        <w:rPr>
          <w:rFonts w:ascii="Times New Roman" w:eastAsia="Calibri" w:hAnsi="Times New Roman"/>
        </w:rPr>
        <w:t>1</w:t>
      </w:r>
      <w:r w:rsidR="00BD21E3">
        <w:rPr>
          <w:rFonts w:ascii="Times New Roman" w:eastAsia="Calibri" w:hAnsi="Times New Roman" w:hint="default"/>
        </w:rPr>
        <w:t>, čí</w:t>
      </w:r>
      <w:r w:rsidR="00BD21E3">
        <w:rPr>
          <w:rFonts w:ascii="Times New Roman" w:eastAsia="Calibri" w:hAnsi="Times New Roman" w:hint="default"/>
        </w:rPr>
        <w:t>m bol splnený </w:t>
      </w:r>
      <w:r w:rsidR="00BD21E3">
        <w:rPr>
          <w:rFonts w:ascii="Times New Roman" w:eastAsia="Calibri" w:hAnsi="Times New Roman" w:hint="default"/>
        </w:rPr>
        <w:t>termí</w:t>
      </w:r>
      <w:r w:rsidR="00BD21E3">
        <w:rPr>
          <w:rFonts w:ascii="Times New Roman" w:eastAsia="Calibri" w:hAnsi="Times New Roman" w:hint="default"/>
        </w:rPr>
        <w:t>n, ktorý</w:t>
      </w:r>
      <w:r w:rsidR="00BD21E3">
        <w:rPr>
          <w:rFonts w:ascii="Times New Roman" w:eastAsia="Calibri" w:hAnsi="Times New Roman" w:hint="default"/>
        </w:rPr>
        <w:t xml:space="preserve"> bol stanovený</w:t>
      </w:r>
      <w:r w:rsidR="00BD21E3">
        <w:rPr>
          <w:rFonts w:ascii="Times New Roman" w:eastAsia="Calibri" w:hAnsi="Times New Roman" w:hint="default"/>
        </w:rPr>
        <w:t xml:space="preserve"> EK.</w:t>
      </w:r>
      <w:r>
        <w:rPr>
          <w:rFonts w:ascii="Times New Roman" w:eastAsia="Calibri" w:hAnsi="Times New Roman"/>
        </w:rPr>
        <w:t xml:space="preserve"> </w:t>
      </w:r>
    </w:p>
    <w:p w:rsidR="00AB2262" w:rsidRPr="00AB2262" w:rsidP="00AB2262">
      <w:pPr>
        <w:autoSpaceDE w:val="0"/>
        <w:autoSpaceDN w:val="0"/>
        <w:bidi w:val="0"/>
        <w:adjustRightInd w:val="0"/>
        <w:jc w:val="both"/>
        <w:rPr>
          <w:rFonts w:ascii="Times New Roman" w:hAnsi="Times New Roman" w:cs="Calibri"/>
          <w:bCs/>
          <w:szCs w:val="24"/>
        </w:rPr>
      </w:pPr>
      <w:r>
        <w:rPr>
          <w:rFonts w:ascii="Times New Roman" w:hAnsi="Times New Roman" w:cs="Calibri"/>
          <w:bCs/>
          <w:szCs w:val="24"/>
        </w:rPr>
        <w:t>Národné</w:t>
      </w:r>
      <w:r w:rsidRPr="009511C6">
        <w:rPr>
          <w:rFonts w:ascii="Times New Roman" w:hAnsi="Times New Roman" w:cs="Calibri"/>
          <w:bCs/>
          <w:szCs w:val="24"/>
        </w:rPr>
        <w:t xml:space="preserve"> správy </w:t>
      </w:r>
      <w:r>
        <w:rPr>
          <w:rFonts w:ascii="Times New Roman" w:hAnsi="Times New Roman" w:cs="Calibri"/>
          <w:bCs/>
          <w:szCs w:val="24"/>
        </w:rPr>
        <w:t xml:space="preserve">sa </w:t>
      </w:r>
      <w:r w:rsidRPr="009511C6">
        <w:rPr>
          <w:rFonts w:ascii="Times New Roman" w:hAnsi="Times New Roman" w:cs="Calibri"/>
          <w:bCs/>
          <w:szCs w:val="24"/>
        </w:rPr>
        <w:t>bud</w:t>
      </w:r>
      <w:r>
        <w:rPr>
          <w:rFonts w:ascii="Times New Roman" w:hAnsi="Times New Roman" w:cs="Calibri"/>
          <w:bCs/>
          <w:szCs w:val="24"/>
        </w:rPr>
        <w:t>ú</w:t>
      </w:r>
      <w:r w:rsidRPr="009511C6">
        <w:rPr>
          <w:rFonts w:ascii="Times New Roman" w:hAnsi="Times New Roman" w:cs="Calibri"/>
          <w:bCs/>
          <w:szCs w:val="24"/>
        </w:rPr>
        <w:t xml:space="preserve"> </w:t>
      </w:r>
      <w:r>
        <w:rPr>
          <w:rFonts w:ascii="Times New Roman" w:hAnsi="Times New Roman" w:cs="Calibri"/>
          <w:bCs/>
          <w:szCs w:val="24"/>
        </w:rPr>
        <w:t xml:space="preserve">v roku 2012 </w:t>
      </w:r>
      <w:r w:rsidRPr="009511C6">
        <w:rPr>
          <w:rFonts w:ascii="Times New Roman" w:hAnsi="Times New Roman" w:cs="Calibri"/>
          <w:bCs/>
          <w:szCs w:val="24"/>
        </w:rPr>
        <w:t>ešte hodnotiť na úrovni EÚ</w:t>
      </w:r>
      <w:r w:rsidR="00D61781">
        <w:rPr>
          <w:rFonts w:ascii="Times New Roman" w:hAnsi="Times New Roman" w:cs="Calibri"/>
          <w:bCs/>
          <w:szCs w:val="24"/>
        </w:rPr>
        <w:t xml:space="preserve"> (Peer Review)</w:t>
      </w:r>
      <w:r>
        <w:rPr>
          <w:rFonts w:ascii="Times New Roman" w:hAnsi="Times New Roman" w:cs="Calibri"/>
          <w:bCs/>
          <w:szCs w:val="24"/>
        </w:rPr>
        <w:t>.</w:t>
      </w:r>
      <w:r w:rsidRPr="009511C6">
        <w:rPr>
          <w:rFonts w:ascii="Times New Roman" w:hAnsi="Times New Roman" w:cs="Calibri"/>
          <w:bCs/>
          <w:szCs w:val="24"/>
        </w:rPr>
        <w:t xml:space="preserve"> </w:t>
      </w:r>
      <w:r>
        <w:rPr>
          <w:rFonts w:ascii="Times New Roman" w:hAnsi="Times New Roman" w:cs="Calibri"/>
          <w:bCs/>
          <w:szCs w:val="24"/>
        </w:rPr>
        <w:t xml:space="preserve">EK </w:t>
      </w:r>
      <w:r w:rsidRPr="009511C6">
        <w:rPr>
          <w:rFonts w:ascii="Times New Roman" w:hAnsi="Times New Roman" w:cs="Calibri"/>
          <w:bCs/>
          <w:szCs w:val="24"/>
        </w:rPr>
        <w:t xml:space="preserve">zostavila 7-členné komisie zástupcov zodpovedných orgánov z ostatných 26 členských krajín EÚ. Tieto tímy môžu, pre overenie dodaných dokumentov, vykonať kontrolu priamo na mieste. </w:t>
      </w:r>
      <w:r>
        <w:rPr>
          <w:rFonts w:ascii="Times New Roman" w:hAnsi="Times New Roman" w:cs="Calibri"/>
          <w:bCs/>
          <w:szCs w:val="24"/>
        </w:rPr>
        <w:t>Zástupcovia</w:t>
      </w:r>
      <w:r w:rsidRPr="009511C6">
        <w:rPr>
          <w:rFonts w:ascii="Times New Roman" w:hAnsi="Times New Roman" w:cs="Calibri"/>
          <w:bCs/>
          <w:szCs w:val="24"/>
        </w:rPr>
        <w:t> ÚJD SR boli</w:t>
      </w:r>
      <w:r>
        <w:rPr>
          <w:rFonts w:ascii="Times New Roman" w:hAnsi="Times New Roman" w:cs="Calibri"/>
          <w:bCs/>
          <w:szCs w:val="24"/>
        </w:rPr>
        <w:t xml:space="preserve"> tiež</w:t>
      </w:r>
      <w:r w:rsidRPr="009511C6">
        <w:rPr>
          <w:rFonts w:ascii="Times New Roman" w:hAnsi="Times New Roman" w:cs="Calibri"/>
          <w:bCs/>
          <w:szCs w:val="24"/>
        </w:rPr>
        <w:t xml:space="preserve"> pozvaní zúčastniť sa na európskom posúdení národných správ</w:t>
      </w:r>
      <w:r>
        <w:rPr>
          <w:rFonts w:ascii="Times New Roman" w:hAnsi="Times New Roman" w:cs="Calibri"/>
          <w:bCs/>
          <w:szCs w:val="24"/>
        </w:rPr>
        <w:t xml:space="preserve"> ako členovia hodnotiacich tímov</w:t>
      </w:r>
      <w:r w:rsidRPr="009511C6">
        <w:rPr>
          <w:rFonts w:ascii="Times New Roman" w:hAnsi="Times New Roman" w:cs="Calibri"/>
          <w:bCs/>
          <w:szCs w:val="24"/>
        </w:rPr>
        <w:t xml:space="preserve">. </w:t>
      </w:r>
    </w:p>
    <w:p w:rsidR="000C437D" w:rsidRPr="000C437D" w:rsidP="001434DE">
      <w:pPr>
        <w:bidi w:val="0"/>
        <w:jc w:val="both"/>
        <w:rPr>
          <w:rFonts w:ascii="Times New Roman" w:eastAsia="Calibri" w:hAnsi="Times New Roman"/>
        </w:rPr>
      </w:pPr>
      <w:r w:rsidR="005E1D42">
        <w:rPr>
          <w:rFonts w:ascii="Times New Roman" w:eastAsia="Calibri" w:hAnsi="Times New Roman" w:hint="default"/>
        </w:rPr>
        <w:t>Vš</w:t>
      </w:r>
      <w:r w:rsidR="005E1D42">
        <w:rPr>
          <w:rFonts w:ascii="Times New Roman" w:eastAsia="Calibri" w:hAnsi="Times New Roman" w:hint="default"/>
        </w:rPr>
        <w:t xml:space="preserve">etky </w:t>
      </w:r>
      <w:r w:rsidRPr="000C437D">
        <w:rPr>
          <w:rFonts w:ascii="Times New Roman" w:eastAsia="Calibri" w:hAnsi="Times New Roman" w:hint="default"/>
        </w:rPr>
        <w:t>sprá</w:t>
      </w:r>
      <w:r w:rsidRPr="000C437D">
        <w:rPr>
          <w:rFonts w:ascii="Times New Roman" w:eastAsia="Calibri" w:hAnsi="Times New Roman" w:hint="default"/>
        </w:rPr>
        <w:t>vy, ako ná</w:t>
      </w:r>
      <w:r w:rsidRPr="000C437D">
        <w:rPr>
          <w:rFonts w:ascii="Times New Roman" w:eastAsia="Calibri" w:hAnsi="Times New Roman" w:hint="default"/>
        </w:rPr>
        <w:t>rodná</w:t>
      </w:r>
      <w:r w:rsidRPr="000C437D">
        <w:rPr>
          <w:rFonts w:ascii="Times New Roman" w:eastAsia="Calibri" w:hAnsi="Times New Roman" w:hint="default"/>
        </w:rPr>
        <w:t>, tak i </w:t>
      </w:r>
      <w:r w:rsidRPr="000C437D">
        <w:rPr>
          <w:rFonts w:ascii="Times New Roman" w:eastAsia="Calibri" w:hAnsi="Times New Roman" w:hint="default"/>
        </w:rPr>
        <w:t>sprá</w:t>
      </w:r>
      <w:r w:rsidRPr="000C437D">
        <w:rPr>
          <w:rFonts w:ascii="Times New Roman" w:eastAsia="Calibri" w:hAnsi="Times New Roman" w:hint="default"/>
        </w:rPr>
        <w:t>vy spracované</w:t>
      </w:r>
      <w:r w:rsidRPr="000C437D">
        <w:rPr>
          <w:rFonts w:ascii="Times New Roman" w:eastAsia="Calibri" w:hAnsi="Times New Roman" w:hint="default"/>
        </w:rPr>
        <w:t xml:space="preserve"> prevá</w:t>
      </w:r>
      <w:r w:rsidRPr="000C437D">
        <w:rPr>
          <w:rFonts w:ascii="Times New Roman" w:eastAsia="Calibri" w:hAnsi="Times New Roman" w:hint="default"/>
        </w:rPr>
        <w:t>dzkovateľ</w:t>
      </w:r>
      <w:r w:rsidRPr="000C437D">
        <w:rPr>
          <w:rFonts w:ascii="Times New Roman" w:eastAsia="Calibri" w:hAnsi="Times New Roman" w:hint="default"/>
        </w:rPr>
        <w:t>om SE, a.</w:t>
      </w:r>
      <w:r w:rsidR="0099198D">
        <w:rPr>
          <w:rFonts w:ascii="Times New Roman" w:eastAsia="Calibri" w:hAnsi="Times New Roman"/>
        </w:rPr>
        <w:t> </w:t>
      </w:r>
      <w:r w:rsidRPr="000C437D">
        <w:rPr>
          <w:rFonts w:ascii="Times New Roman" w:eastAsia="Calibri" w:hAnsi="Times New Roman" w:hint="default"/>
        </w:rPr>
        <w:t>s. sú</w:t>
      </w:r>
      <w:r w:rsidRPr="000C437D">
        <w:rPr>
          <w:rFonts w:ascii="Times New Roman" w:eastAsia="Calibri" w:hAnsi="Times New Roman" w:hint="default"/>
        </w:rPr>
        <w:t xml:space="preserve"> zverejnené</w:t>
      </w:r>
      <w:r w:rsidRPr="000C437D">
        <w:rPr>
          <w:rFonts w:ascii="Times New Roman" w:eastAsia="Calibri" w:hAnsi="Times New Roman" w:hint="default"/>
        </w:rPr>
        <w:t xml:space="preserve"> na webovej strá</w:t>
      </w:r>
      <w:r w:rsidRPr="000C437D">
        <w:rPr>
          <w:rFonts w:ascii="Times New Roman" w:eastAsia="Calibri" w:hAnsi="Times New Roman" w:hint="default"/>
        </w:rPr>
        <w:t>nke Ú</w:t>
      </w:r>
      <w:r w:rsidRPr="000C437D">
        <w:rPr>
          <w:rFonts w:ascii="Times New Roman" w:eastAsia="Calibri" w:hAnsi="Times New Roman" w:hint="default"/>
        </w:rPr>
        <w:t>JD SR</w:t>
      </w:r>
      <w:r w:rsidR="00415117">
        <w:rPr>
          <w:rFonts w:ascii="Times New Roman" w:eastAsia="Calibri" w:hAnsi="Times New Roman"/>
        </w:rPr>
        <w:t>.</w:t>
      </w:r>
      <w:r w:rsidRPr="000C437D">
        <w:rPr>
          <w:rFonts w:ascii="Times New Roman" w:eastAsia="Calibri" w:hAnsi="Times New Roman"/>
        </w:rPr>
        <w:t xml:space="preserve"> </w:t>
      </w:r>
    </w:p>
    <w:p w:rsidR="000C437D" w:rsidP="00E4612F">
      <w:pPr>
        <w:bidi w:val="0"/>
        <w:jc w:val="both"/>
        <w:rPr>
          <w:rFonts w:ascii="Times New Roman" w:eastAsia="Calibri" w:hAnsi="Times New Roman"/>
        </w:rPr>
      </w:pPr>
      <w:r w:rsidRPr="000C437D">
        <w:rPr>
          <w:rFonts w:ascii="Times New Roman" w:eastAsia="Calibri" w:hAnsi="Times New Roman"/>
        </w:rPr>
        <w:t xml:space="preserve">Testovanie </w:t>
      </w:r>
      <w:r w:rsidR="001434DE">
        <w:rPr>
          <w:rFonts w:ascii="Times New Roman" w:eastAsia="Calibri" w:hAnsi="Times New Roman" w:hint="default"/>
        </w:rPr>
        <w:t>sa uskutoč</w:t>
      </w:r>
      <w:r w:rsidR="001434DE">
        <w:rPr>
          <w:rFonts w:ascii="Times New Roman" w:eastAsia="Calibri" w:hAnsi="Times New Roman" w:hint="default"/>
        </w:rPr>
        <w:t xml:space="preserve">nilo na AE Bohunice V-2, AE Mochovce 1,2 , </w:t>
      </w:r>
      <w:r w:rsidR="001434DE">
        <w:rPr>
          <w:rFonts w:ascii="Times New Roman" w:eastAsia="Calibri" w:hAnsi="Times New Roman" w:hint="default"/>
        </w:rPr>
        <w:t>ktoré</w:t>
      </w:r>
      <w:r w:rsidR="001434DE">
        <w:rPr>
          <w:rFonts w:ascii="Times New Roman" w:eastAsia="Calibri" w:hAnsi="Times New Roman" w:hint="default"/>
        </w:rPr>
        <w:t xml:space="preserve"> sú</w:t>
      </w:r>
      <w:r w:rsidR="001434DE">
        <w:rPr>
          <w:rFonts w:ascii="Times New Roman" w:eastAsia="Calibri" w:hAnsi="Times New Roman" w:hint="default"/>
        </w:rPr>
        <w:t xml:space="preserve"> v </w:t>
      </w:r>
      <w:r w:rsidR="001434DE">
        <w:rPr>
          <w:rFonts w:ascii="Times New Roman" w:eastAsia="Calibri" w:hAnsi="Times New Roman" w:hint="default"/>
        </w:rPr>
        <w:t>prevá</w:t>
      </w:r>
      <w:r w:rsidR="001434DE">
        <w:rPr>
          <w:rFonts w:ascii="Times New Roman" w:eastAsia="Calibri" w:hAnsi="Times New Roman" w:hint="default"/>
        </w:rPr>
        <w:t xml:space="preserve">dzke ako i na budovanej AE Mochovce </w:t>
      </w:r>
      <w:r w:rsidRPr="000C437D">
        <w:rPr>
          <w:rFonts w:ascii="Times New Roman" w:eastAsia="Calibri" w:hAnsi="Times New Roman"/>
        </w:rPr>
        <w:t xml:space="preserve"> 3,4</w:t>
      </w:r>
      <w:r w:rsidR="00C164A9">
        <w:rPr>
          <w:rFonts w:ascii="Times New Roman" w:eastAsia="Calibri" w:hAnsi="Times New Roman"/>
        </w:rPr>
        <w:t>.</w:t>
      </w:r>
      <w:r w:rsidRPr="000C437D">
        <w:rPr>
          <w:rFonts w:ascii="Times New Roman" w:eastAsia="Calibri" w:hAnsi="Times New Roman"/>
        </w:rPr>
        <w:t xml:space="preserve"> </w:t>
      </w:r>
      <w:r w:rsidR="00C164A9">
        <w:rPr>
          <w:rFonts w:ascii="Times New Roman" w:eastAsia="Calibri" w:hAnsi="Times New Roman"/>
        </w:rPr>
        <w:t>Testy sa r</w:t>
      </w:r>
      <w:r w:rsidRPr="000C437D">
        <w:rPr>
          <w:rFonts w:ascii="Times New Roman" w:eastAsia="Calibri" w:hAnsi="Times New Roman"/>
        </w:rPr>
        <w:t>ealiz</w:t>
      </w:r>
      <w:r w:rsidR="001434DE">
        <w:rPr>
          <w:rFonts w:ascii="Times New Roman" w:eastAsia="Calibri" w:hAnsi="Times New Roman"/>
        </w:rPr>
        <w:t>oval</w:t>
      </w:r>
      <w:r w:rsidR="00C164A9">
        <w:rPr>
          <w:rFonts w:ascii="Times New Roman" w:eastAsia="Calibri" w:hAnsi="Times New Roman"/>
        </w:rPr>
        <w:t>i</w:t>
      </w:r>
      <w:r w:rsidR="001434DE">
        <w:rPr>
          <w:rFonts w:ascii="Times New Roman" w:eastAsia="Calibri" w:hAnsi="Times New Roman"/>
        </w:rPr>
        <w:t xml:space="preserve"> </w:t>
      </w:r>
      <w:r w:rsidRPr="000C437D">
        <w:rPr>
          <w:rFonts w:ascii="Times New Roman" w:eastAsia="Calibri" w:hAnsi="Times New Roman" w:hint="default"/>
        </w:rPr>
        <w:t>prevaž</w:t>
      </w:r>
      <w:r w:rsidRPr="000C437D">
        <w:rPr>
          <w:rFonts w:ascii="Times New Roman" w:eastAsia="Calibri" w:hAnsi="Times New Roman" w:hint="default"/>
        </w:rPr>
        <w:t>ne formou inž</w:t>
      </w:r>
      <w:r w:rsidRPr="000C437D">
        <w:rPr>
          <w:rFonts w:ascii="Times New Roman" w:eastAsia="Calibri" w:hAnsi="Times New Roman" w:hint="default"/>
        </w:rPr>
        <w:t>inierskych analý</w:t>
      </w:r>
      <w:r w:rsidRPr="000C437D">
        <w:rPr>
          <w:rFonts w:ascii="Times New Roman" w:eastAsia="Calibri" w:hAnsi="Times New Roman" w:hint="default"/>
        </w:rPr>
        <w:t>z, vý</w:t>
      </w:r>
      <w:r w:rsidRPr="000C437D">
        <w:rPr>
          <w:rFonts w:ascii="Times New Roman" w:eastAsia="Calibri" w:hAnsi="Times New Roman" w:hint="default"/>
        </w:rPr>
        <w:t>poč</w:t>
      </w:r>
      <w:r w:rsidRPr="000C437D">
        <w:rPr>
          <w:rFonts w:ascii="Times New Roman" w:eastAsia="Calibri" w:hAnsi="Times New Roman" w:hint="default"/>
        </w:rPr>
        <w:t>tov a posudkov. Poč</w:t>
      </w:r>
      <w:r w:rsidRPr="000C437D">
        <w:rPr>
          <w:rFonts w:ascii="Times New Roman" w:eastAsia="Calibri" w:hAnsi="Times New Roman" w:hint="default"/>
        </w:rPr>
        <w:t>as záť</w:t>
      </w:r>
      <w:r w:rsidRPr="000C437D">
        <w:rPr>
          <w:rFonts w:ascii="Times New Roman" w:eastAsia="Calibri" w:hAnsi="Times New Roman" w:hint="default"/>
        </w:rPr>
        <w:t>až</w:t>
      </w:r>
      <w:r w:rsidRPr="000C437D">
        <w:rPr>
          <w:rFonts w:ascii="Times New Roman" w:eastAsia="Calibri" w:hAnsi="Times New Roman" w:hint="default"/>
        </w:rPr>
        <w:t>ový</w:t>
      </w:r>
      <w:r w:rsidRPr="000C437D">
        <w:rPr>
          <w:rFonts w:ascii="Times New Roman" w:eastAsia="Calibri" w:hAnsi="Times New Roman" w:hint="default"/>
        </w:rPr>
        <w:t>ch testov sa okrem inž</w:t>
      </w:r>
      <w:r w:rsidRPr="000C437D">
        <w:rPr>
          <w:rFonts w:ascii="Times New Roman" w:eastAsia="Calibri" w:hAnsi="Times New Roman" w:hint="default"/>
        </w:rPr>
        <w:t>inierskych analý</w:t>
      </w:r>
      <w:r w:rsidRPr="000C437D">
        <w:rPr>
          <w:rFonts w:ascii="Times New Roman" w:eastAsia="Calibri" w:hAnsi="Times New Roman" w:hint="default"/>
        </w:rPr>
        <w:t>z, vý</w:t>
      </w:r>
      <w:r w:rsidRPr="000C437D">
        <w:rPr>
          <w:rFonts w:ascii="Times New Roman" w:eastAsia="Calibri" w:hAnsi="Times New Roman" w:hint="default"/>
        </w:rPr>
        <w:t>poč</w:t>
      </w:r>
      <w:r w:rsidRPr="000C437D">
        <w:rPr>
          <w:rFonts w:ascii="Times New Roman" w:eastAsia="Calibri" w:hAnsi="Times New Roman" w:hint="default"/>
        </w:rPr>
        <w:t>tov a posudkov vykon</w:t>
      </w:r>
      <w:r w:rsidR="001434DE">
        <w:rPr>
          <w:rFonts w:ascii="Times New Roman" w:eastAsia="Calibri" w:hAnsi="Times New Roman"/>
        </w:rPr>
        <w:t>ali</w:t>
      </w:r>
      <w:r w:rsidRPr="000C437D">
        <w:rPr>
          <w:rFonts w:ascii="Times New Roman" w:eastAsia="Calibri" w:hAnsi="Times New Roman" w:hint="default"/>
        </w:rPr>
        <w:t xml:space="preserve"> aj niektoré</w:t>
      </w:r>
      <w:r w:rsidRPr="000C437D">
        <w:rPr>
          <w:rFonts w:ascii="Times New Roman" w:eastAsia="Calibri" w:hAnsi="Times New Roman" w:hint="default"/>
        </w:rPr>
        <w:t xml:space="preserve"> skúš</w:t>
      </w:r>
      <w:r w:rsidRPr="000C437D">
        <w:rPr>
          <w:rFonts w:ascii="Times New Roman" w:eastAsia="Calibri" w:hAnsi="Times New Roman" w:hint="default"/>
        </w:rPr>
        <w:t>ky funkč</w:t>
      </w:r>
      <w:r w:rsidRPr="000C437D">
        <w:rPr>
          <w:rFonts w:ascii="Times New Roman" w:eastAsia="Calibri" w:hAnsi="Times New Roman" w:hint="default"/>
        </w:rPr>
        <w:t>nosti syst</w:t>
      </w:r>
      <w:r w:rsidRPr="000C437D">
        <w:rPr>
          <w:rFonts w:ascii="Times New Roman" w:eastAsia="Calibri" w:hAnsi="Times New Roman" w:hint="default"/>
        </w:rPr>
        <w:t>é</w:t>
      </w:r>
      <w:r w:rsidRPr="000C437D">
        <w:rPr>
          <w:rFonts w:ascii="Times New Roman" w:eastAsia="Calibri" w:hAnsi="Times New Roman" w:hint="default"/>
        </w:rPr>
        <w:t>mov</w:t>
      </w:r>
      <w:r w:rsidR="00863A48">
        <w:rPr>
          <w:rFonts w:ascii="Times New Roman" w:eastAsia="Calibri" w:hAnsi="Times New Roman"/>
        </w:rPr>
        <w:t>,</w:t>
      </w:r>
      <w:r w:rsidRPr="000C437D">
        <w:rPr>
          <w:rFonts w:ascii="Times New Roman" w:eastAsia="Calibri" w:hAnsi="Times New Roman" w:hint="default"/>
        </w:rPr>
        <w:t xml:space="preserve"> ktoré</w:t>
      </w:r>
      <w:r w:rsidRPr="000C437D">
        <w:rPr>
          <w:rFonts w:ascii="Times New Roman" w:eastAsia="Calibri" w:hAnsi="Times New Roman" w:hint="default"/>
        </w:rPr>
        <w:t xml:space="preserve"> nie sú</w:t>
      </w:r>
      <w:r w:rsidRPr="000C437D">
        <w:rPr>
          <w:rFonts w:ascii="Times New Roman" w:eastAsia="Calibri" w:hAnsi="Times New Roman" w:hint="default"/>
        </w:rPr>
        <w:t xml:space="preserve"> bež</w:t>
      </w:r>
      <w:r w:rsidRPr="000C437D">
        <w:rPr>
          <w:rFonts w:ascii="Times New Roman" w:eastAsia="Calibri" w:hAnsi="Times New Roman" w:hint="default"/>
        </w:rPr>
        <w:t>ne overované</w:t>
      </w:r>
      <w:r w:rsidRPr="000C437D">
        <w:rPr>
          <w:rFonts w:ascii="Times New Roman" w:eastAsia="Calibri" w:hAnsi="Times New Roman" w:hint="default"/>
        </w:rPr>
        <w:t xml:space="preserve"> a </w:t>
      </w:r>
      <w:r w:rsidRPr="000C437D">
        <w:rPr>
          <w:rFonts w:ascii="Times New Roman" w:eastAsia="Calibri" w:hAnsi="Times New Roman" w:hint="default"/>
        </w:rPr>
        <w:t>tiež</w:t>
      </w:r>
      <w:r w:rsidRPr="000C437D">
        <w:rPr>
          <w:rFonts w:ascii="Times New Roman" w:eastAsia="Calibri" w:hAnsi="Times New Roman" w:hint="default"/>
        </w:rPr>
        <w:t xml:space="preserve"> testovanie zariadení</w:t>
      </w:r>
      <w:r w:rsidRPr="000C437D">
        <w:rPr>
          <w:rFonts w:ascii="Times New Roman" w:eastAsia="Calibri" w:hAnsi="Times New Roman" w:hint="default"/>
        </w:rPr>
        <w:t xml:space="preserve"> v konfigurá</w:t>
      </w:r>
      <w:r w:rsidRPr="000C437D">
        <w:rPr>
          <w:rFonts w:ascii="Times New Roman" w:eastAsia="Calibri" w:hAnsi="Times New Roman" w:hint="default"/>
        </w:rPr>
        <w:t xml:space="preserve">cii, </w:t>
      </w:r>
      <w:r w:rsidR="002627C1">
        <w:rPr>
          <w:rFonts w:ascii="Times New Roman" w:eastAsia="Calibri" w:hAnsi="Times New Roman"/>
        </w:rPr>
        <w:t xml:space="preserve">o </w:t>
      </w:r>
      <w:r w:rsidRPr="000C437D">
        <w:rPr>
          <w:rFonts w:ascii="Times New Roman" w:eastAsia="Calibri" w:hAnsi="Times New Roman"/>
        </w:rPr>
        <w:t>ktor</w:t>
      </w:r>
      <w:r w:rsidR="002627C1">
        <w:rPr>
          <w:rFonts w:ascii="Times New Roman" w:eastAsia="Calibri" w:hAnsi="Times New Roman"/>
        </w:rPr>
        <w:t>ej</w:t>
      </w:r>
      <w:r w:rsidRPr="000C437D">
        <w:rPr>
          <w:rFonts w:ascii="Times New Roman" w:eastAsia="Calibri" w:hAnsi="Times New Roman" w:hint="default"/>
        </w:rPr>
        <w:t xml:space="preserve"> pô</w:t>
      </w:r>
      <w:r w:rsidRPr="000C437D">
        <w:rPr>
          <w:rFonts w:ascii="Times New Roman" w:eastAsia="Calibri" w:hAnsi="Times New Roman" w:hint="default"/>
        </w:rPr>
        <w:t>vodný</w:t>
      </w:r>
      <w:r w:rsidRPr="000C437D">
        <w:rPr>
          <w:rFonts w:ascii="Times New Roman" w:eastAsia="Calibri" w:hAnsi="Times New Roman" w:hint="default"/>
        </w:rPr>
        <w:t xml:space="preserve"> projekt neuvaž</w:t>
      </w:r>
      <w:r w:rsidRPr="000C437D">
        <w:rPr>
          <w:rFonts w:ascii="Times New Roman" w:eastAsia="Calibri" w:hAnsi="Times New Roman" w:hint="default"/>
        </w:rPr>
        <w:t>oval. Je to naprí</w:t>
      </w:r>
      <w:r w:rsidRPr="000C437D">
        <w:rPr>
          <w:rFonts w:ascii="Times New Roman" w:eastAsia="Calibri" w:hAnsi="Times New Roman" w:hint="default"/>
        </w:rPr>
        <w:t>klad test plnenia bazé</w:t>
      </w:r>
      <w:r w:rsidRPr="000C437D">
        <w:rPr>
          <w:rFonts w:ascii="Times New Roman" w:eastAsia="Calibri" w:hAnsi="Times New Roman" w:hint="default"/>
        </w:rPr>
        <w:t>nu sklad</w:t>
      </w:r>
      <w:r w:rsidR="00415117">
        <w:rPr>
          <w:rFonts w:ascii="Times New Roman" w:eastAsia="Calibri" w:hAnsi="Times New Roman"/>
        </w:rPr>
        <w:t>ovania</w:t>
      </w:r>
      <w:r w:rsidRPr="000C437D">
        <w:rPr>
          <w:rFonts w:ascii="Times New Roman" w:eastAsia="Calibri" w:hAnsi="Times New Roman"/>
        </w:rPr>
        <w:t xml:space="preserve"> </w:t>
      </w:r>
      <w:r w:rsidR="001434DE">
        <w:rPr>
          <w:rFonts w:ascii="Times New Roman" w:eastAsia="Calibri" w:hAnsi="Times New Roman"/>
        </w:rPr>
        <w:t>VJP</w:t>
      </w:r>
      <w:r w:rsidRPr="000C437D">
        <w:rPr>
          <w:rFonts w:ascii="Times New Roman" w:eastAsia="Calibri" w:hAnsi="Times New Roman"/>
        </w:rPr>
        <w:t xml:space="preserve"> z </w:t>
      </w:r>
      <w:r w:rsidRPr="000C437D">
        <w:rPr>
          <w:rFonts w:ascii="Times New Roman" w:eastAsia="Calibri" w:hAnsi="Times New Roman" w:hint="default"/>
        </w:rPr>
        <w:t>barbotáž</w:t>
      </w:r>
      <w:r w:rsidRPr="000C437D">
        <w:rPr>
          <w:rFonts w:ascii="Times New Roman" w:eastAsia="Calibri" w:hAnsi="Times New Roman" w:hint="default"/>
        </w:rPr>
        <w:t>nych žľ</w:t>
      </w:r>
      <w:r w:rsidRPr="000C437D">
        <w:rPr>
          <w:rFonts w:ascii="Times New Roman" w:eastAsia="Calibri" w:hAnsi="Times New Roman" w:hint="default"/>
        </w:rPr>
        <w:t>abov samospá</w:t>
      </w:r>
      <w:r w:rsidRPr="000C437D">
        <w:rPr>
          <w:rFonts w:ascii="Times New Roman" w:eastAsia="Calibri" w:hAnsi="Times New Roman" w:hint="default"/>
        </w:rPr>
        <w:t>dom, bez použ</w:t>
      </w:r>
      <w:r w:rsidRPr="000C437D">
        <w:rPr>
          <w:rFonts w:ascii="Times New Roman" w:eastAsia="Calibri" w:hAnsi="Times New Roman" w:hint="default"/>
        </w:rPr>
        <w:t>itia č</w:t>
      </w:r>
      <w:r w:rsidRPr="000C437D">
        <w:rPr>
          <w:rFonts w:ascii="Times New Roman" w:eastAsia="Calibri" w:hAnsi="Times New Roman" w:hint="default"/>
        </w:rPr>
        <w:t>erpadla, skúš</w:t>
      </w:r>
      <w:r w:rsidRPr="000C437D">
        <w:rPr>
          <w:rFonts w:ascii="Times New Roman" w:eastAsia="Calibri" w:hAnsi="Times New Roman" w:hint="default"/>
        </w:rPr>
        <w:t>ka plnenia parogenerá</w:t>
      </w:r>
      <w:r w:rsidRPr="000C437D">
        <w:rPr>
          <w:rFonts w:ascii="Times New Roman" w:eastAsia="Calibri" w:hAnsi="Times New Roman" w:hint="default"/>
        </w:rPr>
        <w:t xml:space="preserve">torov </w:t>
      </w:r>
      <w:r w:rsidRPr="000C437D">
        <w:rPr>
          <w:rFonts w:ascii="Times New Roman" w:eastAsia="Calibri" w:hAnsi="Times New Roman" w:hint="default"/>
        </w:rPr>
        <w:t>vodou z </w:t>
      </w:r>
      <w:r w:rsidRPr="000C437D">
        <w:rPr>
          <w:rFonts w:ascii="Times New Roman" w:eastAsia="Calibri" w:hAnsi="Times New Roman" w:hint="default"/>
        </w:rPr>
        <w:t>hasič</w:t>
      </w:r>
      <w:r w:rsidRPr="000C437D">
        <w:rPr>
          <w:rFonts w:ascii="Times New Roman" w:eastAsia="Calibri" w:hAnsi="Times New Roman" w:hint="default"/>
        </w:rPr>
        <w:t>ské</w:t>
      </w:r>
      <w:r w:rsidRPr="000C437D">
        <w:rPr>
          <w:rFonts w:ascii="Times New Roman" w:eastAsia="Calibri" w:hAnsi="Times New Roman" w:hint="default"/>
        </w:rPr>
        <w:t>ho auta, skúš</w:t>
      </w:r>
      <w:r w:rsidRPr="000C437D">
        <w:rPr>
          <w:rFonts w:ascii="Times New Roman" w:eastAsia="Calibri" w:hAnsi="Times New Roman" w:hint="default"/>
        </w:rPr>
        <w:t>ka</w:t>
      </w:r>
      <w:r w:rsidR="00415117">
        <w:rPr>
          <w:rFonts w:ascii="Times New Roman" w:eastAsia="Calibri" w:hAnsi="Times New Roman" w:hint="default"/>
        </w:rPr>
        <w:t xml:space="preserve"> elektrické</w:t>
      </w:r>
      <w:r w:rsidR="00415117">
        <w:rPr>
          <w:rFonts w:ascii="Times New Roman" w:eastAsia="Calibri" w:hAnsi="Times New Roman" w:hint="default"/>
        </w:rPr>
        <w:t>ho</w:t>
      </w:r>
      <w:r w:rsidRPr="000C437D">
        <w:rPr>
          <w:rFonts w:ascii="Times New Roman" w:eastAsia="Calibri" w:hAnsi="Times New Roman" w:hint="default"/>
        </w:rPr>
        <w:t xml:space="preserve"> napá</w:t>
      </w:r>
      <w:r w:rsidRPr="000C437D">
        <w:rPr>
          <w:rFonts w:ascii="Times New Roman" w:eastAsia="Calibri" w:hAnsi="Times New Roman" w:hint="default"/>
        </w:rPr>
        <w:t>jania elektrá</w:t>
      </w:r>
      <w:r w:rsidRPr="000C437D">
        <w:rPr>
          <w:rFonts w:ascii="Times New Roman" w:eastAsia="Calibri" w:hAnsi="Times New Roman" w:hint="default"/>
        </w:rPr>
        <w:t>rne z </w:t>
      </w:r>
      <w:r w:rsidRPr="000C437D">
        <w:rPr>
          <w:rFonts w:ascii="Times New Roman" w:eastAsia="Calibri" w:hAnsi="Times New Roman" w:hint="default"/>
        </w:rPr>
        <w:t>vodnej elektrá</w:t>
      </w:r>
      <w:r w:rsidRPr="000C437D">
        <w:rPr>
          <w:rFonts w:ascii="Times New Roman" w:eastAsia="Calibri" w:hAnsi="Times New Roman" w:hint="default"/>
        </w:rPr>
        <w:t>rne Madunice turbí</w:t>
      </w:r>
      <w:r w:rsidRPr="000C437D">
        <w:rPr>
          <w:rFonts w:ascii="Times New Roman" w:eastAsia="Calibri" w:hAnsi="Times New Roman" w:hint="default"/>
        </w:rPr>
        <w:t>nou urč</w:t>
      </w:r>
      <w:r w:rsidRPr="000C437D">
        <w:rPr>
          <w:rFonts w:ascii="Times New Roman" w:eastAsia="Calibri" w:hAnsi="Times New Roman" w:hint="default"/>
        </w:rPr>
        <w:t>enou iba na tento úč</w:t>
      </w:r>
      <w:r w:rsidRPr="000C437D">
        <w:rPr>
          <w:rFonts w:ascii="Times New Roman" w:eastAsia="Calibri" w:hAnsi="Times New Roman" w:hint="default"/>
        </w:rPr>
        <w:t>el, dlhodobý</w:t>
      </w:r>
      <w:r w:rsidRPr="000C437D">
        <w:rPr>
          <w:rFonts w:ascii="Times New Roman" w:eastAsia="Calibri" w:hAnsi="Times New Roman" w:hint="default"/>
        </w:rPr>
        <w:t xml:space="preserve"> chod dieselagregá</w:t>
      </w:r>
      <w:r w:rsidRPr="000C437D">
        <w:rPr>
          <w:rFonts w:ascii="Times New Roman" w:eastAsia="Calibri" w:hAnsi="Times New Roman" w:hint="default"/>
        </w:rPr>
        <w:t>tov a pod</w:t>
      </w:r>
      <w:r w:rsidR="001434DE">
        <w:rPr>
          <w:rFonts w:ascii="Times New Roman" w:eastAsia="Calibri" w:hAnsi="Times New Roman"/>
        </w:rPr>
        <w:t xml:space="preserve">. </w:t>
      </w:r>
      <w:r w:rsidRPr="000C437D">
        <w:rPr>
          <w:rFonts w:ascii="Times New Roman" w:eastAsia="Calibri" w:hAnsi="Times New Roman" w:hint="default"/>
        </w:rPr>
        <w:t>V sprá</w:t>
      </w:r>
      <w:r w:rsidRPr="000C437D">
        <w:rPr>
          <w:rFonts w:ascii="Times New Roman" w:eastAsia="Calibri" w:hAnsi="Times New Roman" w:hint="default"/>
        </w:rPr>
        <w:t>ve zo záť</w:t>
      </w:r>
      <w:r w:rsidRPr="000C437D">
        <w:rPr>
          <w:rFonts w:ascii="Times New Roman" w:eastAsia="Calibri" w:hAnsi="Times New Roman" w:hint="default"/>
        </w:rPr>
        <w:t>až</w:t>
      </w:r>
      <w:r w:rsidRPr="000C437D">
        <w:rPr>
          <w:rFonts w:ascii="Times New Roman" w:eastAsia="Calibri" w:hAnsi="Times New Roman" w:hint="default"/>
        </w:rPr>
        <w:t>ový</w:t>
      </w:r>
      <w:r w:rsidRPr="000C437D">
        <w:rPr>
          <w:rFonts w:ascii="Times New Roman" w:eastAsia="Calibri" w:hAnsi="Times New Roman" w:hint="default"/>
        </w:rPr>
        <w:t>ch testov sa analyzujú</w:t>
      </w:r>
      <w:r w:rsidRPr="000C437D">
        <w:rPr>
          <w:rFonts w:ascii="Times New Roman" w:eastAsia="Calibri" w:hAnsi="Times New Roman" w:hint="default"/>
        </w:rPr>
        <w:t xml:space="preserve"> mimoriadne externé</w:t>
      </w:r>
      <w:r w:rsidRPr="000C437D">
        <w:rPr>
          <w:rFonts w:ascii="Times New Roman" w:eastAsia="Calibri" w:hAnsi="Times New Roman" w:hint="default"/>
        </w:rPr>
        <w:t xml:space="preserve"> udalosti ako zemetrasenie,</w:t>
      </w:r>
      <w:r w:rsidRPr="000C437D">
        <w:rPr>
          <w:rFonts w:ascii="Times New Roman" w:eastAsia="Calibri" w:hAnsi="Times New Roman" w:hint="default"/>
        </w:rPr>
        <w:t xml:space="preserve"> povodne a ná</w:t>
      </w:r>
      <w:r w:rsidRPr="000C437D">
        <w:rPr>
          <w:rFonts w:ascii="Times New Roman" w:eastAsia="Calibri" w:hAnsi="Times New Roman" w:hint="default"/>
        </w:rPr>
        <w:t>sledky ď</w:t>
      </w:r>
      <w:r w:rsidRPr="000C437D">
        <w:rPr>
          <w:rFonts w:ascii="Times New Roman" w:eastAsia="Calibri" w:hAnsi="Times New Roman" w:hint="default"/>
        </w:rPr>
        <w:t>alší</w:t>
      </w:r>
      <w:r w:rsidRPr="000C437D">
        <w:rPr>
          <w:rFonts w:ascii="Times New Roman" w:eastAsia="Calibri" w:hAnsi="Times New Roman" w:hint="default"/>
        </w:rPr>
        <w:t>ch iniciač</w:t>
      </w:r>
      <w:r w:rsidRPr="000C437D">
        <w:rPr>
          <w:rFonts w:ascii="Times New Roman" w:eastAsia="Calibri" w:hAnsi="Times New Roman" w:hint="default"/>
        </w:rPr>
        <w:t>ný</w:t>
      </w:r>
      <w:r w:rsidRPr="000C437D">
        <w:rPr>
          <w:rFonts w:ascii="Times New Roman" w:eastAsia="Calibri" w:hAnsi="Times New Roman" w:hint="default"/>
        </w:rPr>
        <w:t>ch udalostí</w:t>
      </w:r>
      <w:r w:rsidRPr="000C437D">
        <w:rPr>
          <w:rFonts w:ascii="Times New Roman" w:eastAsia="Calibri" w:hAnsi="Times New Roman" w:hint="default"/>
        </w:rPr>
        <w:t xml:space="preserve"> potenciá</w:t>
      </w:r>
      <w:r w:rsidRPr="000C437D">
        <w:rPr>
          <w:rFonts w:ascii="Times New Roman" w:eastAsia="Calibri" w:hAnsi="Times New Roman" w:hint="default"/>
        </w:rPr>
        <w:t>lne vedú</w:t>
      </w:r>
      <w:r w:rsidRPr="000C437D">
        <w:rPr>
          <w:rFonts w:ascii="Times New Roman" w:eastAsia="Calibri" w:hAnsi="Times New Roman" w:hint="default"/>
        </w:rPr>
        <w:t>cich k viacná</w:t>
      </w:r>
      <w:r w:rsidRPr="000C437D">
        <w:rPr>
          <w:rFonts w:ascii="Times New Roman" w:eastAsia="Calibri" w:hAnsi="Times New Roman" w:hint="default"/>
        </w:rPr>
        <w:t>sobnej strate bezpeč</w:t>
      </w:r>
      <w:r w:rsidRPr="000C437D">
        <w:rPr>
          <w:rFonts w:ascii="Times New Roman" w:eastAsia="Calibri" w:hAnsi="Times New Roman" w:hint="default"/>
        </w:rPr>
        <w:t>nostný</w:t>
      </w:r>
      <w:r w:rsidRPr="000C437D">
        <w:rPr>
          <w:rFonts w:ascii="Times New Roman" w:eastAsia="Calibri" w:hAnsi="Times New Roman" w:hint="default"/>
        </w:rPr>
        <w:t>ch funkcii elektrá</w:t>
      </w:r>
      <w:r w:rsidRPr="000C437D">
        <w:rPr>
          <w:rFonts w:ascii="Times New Roman" w:eastAsia="Calibri" w:hAnsi="Times New Roman" w:hint="default"/>
        </w:rPr>
        <w:t>rne a ich kombiná</w:t>
      </w:r>
      <w:r w:rsidRPr="000C437D">
        <w:rPr>
          <w:rFonts w:ascii="Times New Roman" w:eastAsia="Calibri" w:hAnsi="Times New Roman" w:hint="default"/>
        </w:rPr>
        <w:t>cie, vrá</w:t>
      </w:r>
      <w:r w:rsidRPr="000C437D">
        <w:rPr>
          <w:rFonts w:ascii="Times New Roman" w:eastAsia="Calibri" w:hAnsi="Times New Roman" w:hint="default"/>
        </w:rPr>
        <w:t>tane vý</w:t>
      </w:r>
      <w:r w:rsidRPr="000C437D">
        <w:rPr>
          <w:rFonts w:ascii="Times New Roman" w:eastAsia="Calibri" w:hAnsi="Times New Roman" w:hint="default"/>
        </w:rPr>
        <w:t>padku elektrické</w:t>
      </w:r>
      <w:r w:rsidRPr="000C437D">
        <w:rPr>
          <w:rFonts w:ascii="Times New Roman" w:eastAsia="Calibri" w:hAnsi="Times New Roman" w:hint="default"/>
        </w:rPr>
        <w:t>ho napá</w:t>
      </w:r>
      <w:r w:rsidRPr="000C437D">
        <w:rPr>
          <w:rFonts w:ascii="Times New Roman" w:eastAsia="Calibri" w:hAnsi="Times New Roman" w:hint="default"/>
        </w:rPr>
        <w:t>jania, dlhodobé</w:t>
      </w:r>
      <w:r w:rsidRPr="000C437D">
        <w:rPr>
          <w:rFonts w:ascii="Times New Roman" w:eastAsia="Calibri" w:hAnsi="Times New Roman" w:hint="default"/>
        </w:rPr>
        <w:t>ho preruš</w:t>
      </w:r>
      <w:r w:rsidRPr="000C437D">
        <w:rPr>
          <w:rFonts w:ascii="Times New Roman" w:eastAsia="Calibri" w:hAnsi="Times New Roman" w:hint="default"/>
        </w:rPr>
        <w:t>enia prí</w:t>
      </w:r>
      <w:r w:rsidRPr="000C437D">
        <w:rPr>
          <w:rFonts w:ascii="Times New Roman" w:eastAsia="Calibri" w:hAnsi="Times New Roman" w:hint="default"/>
        </w:rPr>
        <w:t>vodu vody, ale i straty elektrické</w:t>
      </w:r>
      <w:r w:rsidRPr="000C437D">
        <w:rPr>
          <w:rFonts w:ascii="Times New Roman" w:eastAsia="Calibri" w:hAnsi="Times New Roman" w:hint="default"/>
        </w:rPr>
        <w:t>ho napá</w:t>
      </w:r>
      <w:r w:rsidRPr="000C437D">
        <w:rPr>
          <w:rFonts w:ascii="Times New Roman" w:eastAsia="Calibri" w:hAnsi="Times New Roman" w:hint="default"/>
        </w:rPr>
        <w:t>jania</w:t>
      </w:r>
      <w:r w:rsidRPr="000C437D">
        <w:rPr>
          <w:rFonts w:ascii="Times New Roman" w:eastAsia="Calibri" w:hAnsi="Times New Roman" w:hint="default"/>
        </w:rPr>
        <w:t xml:space="preserve"> </w:t>
      </w:r>
      <w:r w:rsidRPr="000C437D">
        <w:rPr>
          <w:rFonts w:ascii="Times New Roman" w:eastAsia="Calibri" w:hAnsi="Times New Roman" w:hint="default"/>
        </w:rPr>
        <w:t>v dô</w:t>
      </w:r>
      <w:r w:rsidRPr="000C437D">
        <w:rPr>
          <w:rFonts w:ascii="Times New Roman" w:eastAsia="Calibri" w:hAnsi="Times New Roman" w:hint="default"/>
        </w:rPr>
        <w:t>sledku extré</w:t>
      </w:r>
      <w:r w:rsidRPr="000C437D">
        <w:rPr>
          <w:rFonts w:ascii="Times New Roman" w:eastAsia="Calibri" w:hAnsi="Times New Roman" w:hint="default"/>
        </w:rPr>
        <w:t>mnych klimatický</w:t>
      </w:r>
      <w:r w:rsidRPr="000C437D">
        <w:rPr>
          <w:rFonts w:ascii="Times New Roman" w:eastAsia="Calibri" w:hAnsi="Times New Roman" w:hint="default"/>
        </w:rPr>
        <w:t xml:space="preserve">ch podmienok. </w:t>
      </w:r>
    </w:p>
    <w:p w:rsidR="00E4612F" w:rsidP="00E4612F">
      <w:pPr>
        <w:bidi w:val="0"/>
        <w:jc w:val="both"/>
        <w:rPr>
          <w:rFonts w:ascii="Times New Roman" w:hAnsi="Times New Roman" w:cs="Tms Rmn"/>
          <w:color w:val="000000"/>
          <w:szCs w:val="24"/>
        </w:rPr>
      </w:pPr>
    </w:p>
    <w:p w:rsidR="0004591B" w:rsidRPr="00E4612F" w:rsidP="00D95E1F">
      <w:pPr>
        <w:pStyle w:val="Heading3"/>
        <w:tabs>
          <w:tab w:val="num" w:pos="709"/>
          <w:tab w:val="clear" w:pos="1004"/>
        </w:tabs>
        <w:bidi w:val="0"/>
        <w:ind w:left="357" w:hanging="357"/>
        <w:rPr>
          <w:rFonts w:ascii="Times New Roman" w:hAnsi="Times New Roman"/>
        </w:rPr>
      </w:pPr>
      <w:bookmarkStart w:id="56" w:name="_Toc158112590"/>
      <w:bookmarkStart w:id="57" w:name="_Toc162317359"/>
      <w:bookmarkStart w:id="58" w:name="_Toc285032448"/>
      <w:bookmarkStart w:id="59" w:name="_Toc320719721"/>
      <w:r w:rsidRPr="00E4612F">
        <w:rPr>
          <w:rFonts w:ascii="Times New Roman" w:hAnsi="Times New Roman"/>
        </w:rPr>
        <w:t>Iné jadrové zariadenia</w:t>
      </w:r>
      <w:bookmarkEnd w:id="56"/>
      <w:bookmarkEnd w:id="57"/>
      <w:bookmarkEnd w:id="58"/>
      <w:bookmarkEnd w:id="59"/>
    </w:p>
    <w:p w:rsidR="001851C6" w:rsidP="00E4612F">
      <w:pPr>
        <w:pStyle w:val="Heading4"/>
        <w:bidi w:val="0"/>
        <w:ind w:left="0" w:firstLine="0"/>
        <w:rPr>
          <w:rFonts w:ascii="Times New Roman" w:hAnsi="Times New Roman"/>
        </w:rPr>
      </w:pPr>
      <w:bookmarkStart w:id="60" w:name="_Toc158112591"/>
      <w:bookmarkStart w:id="61" w:name="_Toc162317360"/>
      <w:bookmarkStart w:id="62" w:name="_Toc285032449"/>
      <w:bookmarkStart w:id="63" w:name="_Toc320719722"/>
      <w:r w:rsidRPr="00E4612F" w:rsidR="0004591B">
        <w:rPr>
          <w:rFonts w:ascii="Times New Roman" w:hAnsi="Times New Roman"/>
        </w:rPr>
        <w:t>Iné jadrové zariadenia v</w:t>
      </w:r>
      <w:r w:rsidR="00E4612F">
        <w:rPr>
          <w:rFonts w:ascii="Times New Roman" w:hAnsi="Times New Roman"/>
        </w:rPr>
        <w:t> </w:t>
      </w:r>
      <w:r w:rsidRPr="00E4612F" w:rsidR="0004591B">
        <w:rPr>
          <w:rFonts w:ascii="Times New Roman" w:hAnsi="Times New Roman"/>
        </w:rPr>
        <w:t>prevádzke</w:t>
      </w:r>
      <w:bookmarkEnd w:id="60"/>
      <w:bookmarkEnd w:id="61"/>
      <w:bookmarkEnd w:id="62"/>
      <w:bookmarkEnd w:id="63"/>
    </w:p>
    <w:p w:rsidR="00E4612F" w:rsidRPr="00E4612F" w:rsidP="00E4612F">
      <w:pPr>
        <w:bidi w:val="0"/>
        <w:rPr>
          <w:rFonts w:ascii="Times New Roman" w:hAnsi="Times New Roman"/>
        </w:rPr>
      </w:pPr>
    </w:p>
    <w:p w:rsidR="00E51969">
      <w:pPr>
        <w:pStyle w:val="BodyText32"/>
        <w:bidi w:val="0"/>
        <w:rPr>
          <w:rFonts w:ascii="Times New Roman" w:hAnsi="Times New Roman"/>
          <w:b w:val="0"/>
        </w:rPr>
      </w:pPr>
      <w:r w:rsidR="0004591B">
        <w:rPr>
          <w:rFonts w:ascii="Times New Roman" w:hAnsi="Times New Roman"/>
          <w:b w:val="0"/>
        </w:rPr>
        <w:t xml:space="preserve">Tab. č. </w:t>
      </w:r>
      <w:r w:rsidR="00B64772">
        <w:rPr>
          <w:rFonts w:ascii="Times New Roman" w:hAnsi="Times New Roman"/>
          <w:b w:val="0"/>
        </w:rPr>
        <w:t>6</w:t>
      </w:r>
      <w:r w:rsidR="00EF0065">
        <w:rPr>
          <w:rFonts w:ascii="Times New Roman" w:hAnsi="Times New Roman"/>
          <w:b w:val="0"/>
        </w:rPr>
        <w:t xml:space="preserve"> </w:t>
      </w:r>
      <w:r w:rsidR="0004591B">
        <w:rPr>
          <w:rFonts w:ascii="Times New Roman" w:hAnsi="Times New Roman"/>
          <w:b w:val="0"/>
        </w:rPr>
        <w:t xml:space="preserve"> Iné jadrové zariadenia v</w:t>
      </w:r>
      <w:r>
        <w:rPr>
          <w:rFonts w:ascii="Times New Roman" w:hAnsi="Times New Roman"/>
          <w:b w:val="0"/>
        </w:rPr>
        <w:t> </w:t>
      </w:r>
      <w:r w:rsidR="0004591B">
        <w:rPr>
          <w:rFonts w:ascii="Times New Roman" w:hAnsi="Times New Roman"/>
          <w:b w:val="0"/>
        </w:rPr>
        <w:t>prevádzke</w:t>
      </w:r>
    </w:p>
    <w:tbl>
      <w:tblPr>
        <w:tblStyle w:val="TableNormal"/>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
      <w:tblGrid>
        <w:gridCol w:w="4500"/>
        <w:gridCol w:w="2250"/>
        <w:gridCol w:w="2250"/>
      </w:tblGrid>
      <w:tr>
        <w:tblPrEx>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70" w:type="dxa"/>
            <w:bottom w:w="0" w:type="dxa"/>
            <w:right w:w="70" w:type="dxa"/>
          </w:tblCellMar>
        </w:tblPrEx>
        <w:tc>
          <w:tcPr>
            <w:tcW w:w="4500" w:type="dxa"/>
            <w:tcBorders>
              <w:top w:val="single" w:sz="12" w:space="0" w:color="auto"/>
              <w:left w:val="single" w:sz="12" w:space="0" w:color="auto"/>
              <w:bottom w:val="single" w:sz="6" w:space="0" w:color="auto"/>
              <w:right w:val="single" w:sz="6" w:space="0" w:color="auto"/>
            </w:tcBorders>
            <w:shd w:val="clear" w:color="auto" w:fill="E0E0E0"/>
            <w:textDirection w:val="lrTb"/>
            <w:vAlign w:val="top"/>
          </w:tcPr>
          <w:p w:rsidR="0004591B">
            <w:pPr>
              <w:bidi w:val="0"/>
              <w:spacing w:before="60" w:after="60"/>
              <w:rPr>
                <w:rFonts w:ascii="Times New Roman" w:hAnsi="Times New Roman"/>
                <w:b/>
                <w:bCs/>
              </w:rPr>
            </w:pPr>
            <w:r>
              <w:rPr>
                <w:rFonts w:ascii="Times New Roman" w:hAnsi="Times New Roman"/>
                <w:b/>
                <w:bCs/>
              </w:rPr>
              <w:t>Jadrové zariadenie</w:t>
            </w:r>
          </w:p>
        </w:tc>
        <w:tc>
          <w:tcPr>
            <w:tcW w:w="2250" w:type="dxa"/>
            <w:tcBorders>
              <w:top w:val="single" w:sz="12" w:space="0" w:color="auto"/>
              <w:left w:val="single" w:sz="6" w:space="0" w:color="auto"/>
              <w:bottom w:val="single" w:sz="6" w:space="0" w:color="auto"/>
              <w:right w:val="single" w:sz="6" w:space="0" w:color="auto"/>
            </w:tcBorders>
            <w:shd w:val="clear" w:color="auto" w:fill="E0E0E0"/>
            <w:textDirection w:val="lrTb"/>
            <w:vAlign w:val="top"/>
          </w:tcPr>
          <w:p w:rsidR="0004591B">
            <w:pPr>
              <w:bidi w:val="0"/>
              <w:spacing w:before="60" w:after="60"/>
              <w:jc w:val="center"/>
              <w:rPr>
                <w:rFonts w:ascii="Times New Roman" w:hAnsi="Times New Roman"/>
                <w:b/>
                <w:bCs/>
              </w:rPr>
            </w:pPr>
            <w:r>
              <w:rPr>
                <w:rFonts w:ascii="Times New Roman" w:hAnsi="Times New Roman"/>
                <w:b/>
                <w:bCs/>
              </w:rPr>
              <w:t>Začiatok prevádzky</w:t>
            </w:r>
          </w:p>
        </w:tc>
        <w:tc>
          <w:tcPr>
            <w:tcW w:w="2250" w:type="dxa"/>
            <w:tcBorders>
              <w:top w:val="single" w:sz="12" w:space="0" w:color="auto"/>
              <w:left w:val="single" w:sz="6" w:space="0" w:color="auto"/>
              <w:bottom w:val="single" w:sz="6" w:space="0" w:color="auto"/>
              <w:right w:val="single" w:sz="12" w:space="0" w:color="auto"/>
            </w:tcBorders>
            <w:shd w:val="clear" w:color="auto" w:fill="E0E0E0"/>
            <w:textDirection w:val="lrTb"/>
            <w:vAlign w:val="top"/>
          </w:tcPr>
          <w:p w:rsidR="0004591B">
            <w:pPr>
              <w:bidi w:val="0"/>
              <w:spacing w:before="60" w:after="60"/>
              <w:jc w:val="center"/>
              <w:rPr>
                <w:rFonts w:ascii="Times New Roman" w:hAnsi="Times New Roman"/>
                <w:b/>
                <w:bCs/>
                <w:shadow/>
                <w:lang w:val="en-GB"/>
              </w:rPr>
            </w:pPr>
            <w:r>
              <w:rPr>
                <w:rFonts w:ascii="Times New Roman" w:hAnsi="Times New Roman"/>
                <w:b/>
                <w:bCs/>
                <w:shadow/>
                <w:lang w:val="en-GB"/>
              </w:rPr>
              <w:t>Prevádzkovateľ</w:t>
            </w:r>
          </w:p>
        </w:tc>
      </w:tr>
      <w:tr>
        <w:tblPrEx>
          <w:tblW w:w="0" w:type="auto"/>
          <w:tblInd w:w="70" w:type="dxa"/>
          <w:tblLayout w:type="fixed"/>
          <w:tblCellMar>
            <w:top w:w="0" w:type="dxa"/>
            <w:left w:w="70" w:type="dxa"/>
            <w:bottom w:w="0" w:type="dxa"/>
            <w:right w:w="70" w:type="dxa"/>
          </w:tblCellMar>
        </w:tblPrEx>
        <w:trPr>
          <w:trHeight w:val="284"/>
        </w:trPr>
        <w:tc>
          <w:tcPr>
            <w:tcW w:w="4500" w:type="dxa"/>
            <w:tcBorders>
              <w:top w:val="single" w:sz="6" w:space="0" w:color="auto"/>
              <w:left w:val="single" w:sz="12" w:space="0" w:color="auto"/>
              <w:bottom w:val="single" w:sz="6" w:space="0" w:color="auto"/>
              <w:right w:val="single" w:sz="6" w:space="0" w:color="auto"/>
            </w:tcBorders>
            <w:textDirection w:val="lrTb"/>
            <w:vAlign w:val="top"/>
          </w:tcPr>
          <w:p w:rsidR="0004591B">
            <w:pPr>
              <w:bidi w:val="0"/>
              <w:spacing w:before="60" w:after="60"/>
              <w:rPr>
                <w:rFonts w:ascii="Times New Roman" w:hAnsi="Times New Roman"/>
              </w:rPr>
            </w:pPr>
            <w:r>
              <w:rPr>
                <w:rFonts w:ascii="Times New Roman" w:hAnsi="Times New Roman"/>
              </w:rPr>
              <w:t>Medzisklad vyhoretého</w:t>
            </w:r>
            <w:r w:rsidR="00487733">
              <w:rPr>
                <w:rFonts w:ascii="Times New Roman" w:hAnsi="Times New Roman"/>
              </w:rPr>
              <w:t xml:space="preserve"> jadrového </w:t>
            </w:r>
            <w:r>
              <w:rPr>
                <w:rFonts w:ascii="Times New Roman" w:hAnsi="Times New Roman"/>
              </w:rPr>
              <w:t xml:space="preserve"> paliva </w:t>
            </w:r>
          </w:p>
        </w:tc>
        <w:tc>
          <w:tcPr>
            <w:tcW w:w="2250" w:type="dxa"/>
            <w:tcBorders>
              <w:top w:val="single" w:sz="6" w:space="0" w:color="auto"/>
              <w:left w:val="single" w:sz="6" w:space="0" w:color="auto"/>
              <w:bottom w:val="single" w:sz="6" w:space="0" w:color="auto"/>
              <w:right w:val="single" w:sz="6" w:space="0" w:color="auto"/>
            </w:tcBorders>
            <w:textDirection w:val="lrTb"/>
            <w:vAlign w:val="top"/>
          </w:tcPr>
          <w:p w:rsidR="0004591B">
            <w:pPr>
              <w:bidi w:val="0"/>
              <w:spacing w:before="60" w:after="60"/>
              <w:jc w:val="center"/>
              <w:rPr>
                <w:rFonts w:ascii="Times New Roman" w:hAnsi="Times New Roman"/>
              </w:rPr>
            </w:pPr>
            <w:r>
              <w:rPr>
                <w:rFonts w:ascii="Times New Roman" w:hAnsi="Times New Roman"/>
              </w:rPr>
              <w:t xml:space="preserve">1987 </w:t>
            </w:r>
          </w:p>
        </w:tc>
        <w:tc>
          <w:tcPr>
            <w:tcW w:w="2250" w:type="dxa"/>
            <w:tcBorders>
              <w:top w:val="single" w:sz="6" w:space="0" w:color="auto"/>
              <w:left w:val="single" w:sz="6" w:space="0" w:color="auto"/>
              <w:bottom w:val="single" w:sz="6" w:space="0" w:color="auto"/>
              <w:right w:val="single" w:sz="12" w:space="0" w:color="auto"/>
            </w:tcBorders>
            <w:textDirection w:val="lrTb"/>
            <w:vAlign w:val="top"/>
          </w:tcPr>
          <w:p w:rsidR="0004591B" w:rsidP="00CD0F92">
            <w:pPr>
              <w:bidi w:val="0"/>
              <w:spacing w:before="60" w:after="60"/>
              <w:jc w:val="center"/>
              <w:rPr>
                <w:rFonts w:ascii="Times New Roman" w:hAnsi="Times New Roman"/>
              </w:rPr>
            </w:pPr>
            <w:r>
              <w:rPr>
                <w:rFonts w:ascii="Times New Roman" w:hAnsi="Times New Roman"/>
                <w:lang w:val="en-GB"/>
              </w:rPr>
              <w:t xml:space="preserve">JAVYS, a. </w:t>
            </w:r>
            <w:r w:rsidR="00CD0F92">
              <w:rPr>
                <w:rFonts w:ascii="Times New Roman" w:hAnsi="Times New Roman"/>
                <w:lang w:val="en-GB"/>
              </w:rPr>
              <w:t>s.</w:t>
            </w:r>
          </w:p>
        </w:tc>
      </w:tr>
      <w:tr>
        <w:tblPrEx>
          <w:tblW w:w="0" w:type="auto"/>
          <w:tblInd w:w="70" w:type="dxa"/>
          <w:tblLayout w:type="fixed"/>
          <w:tblCellMar>
            <w:top w:w="0" w:type="dxa"/>
            <w:left w:w="70" w:type="dxa"/>
            <w:bottom w:w="0" w:type="dxa"/>
            <w:right w:w="70" w:type="dxa"/>
          </w:tblCellMar>
        </w:tblPrEx>
        <w:trPr>
          <w:trHeight w:val="284"/>
        </w:trPr>
        <w:tc>
          <w:tcPr>
            <w:tcW w:w="4500" w:type="dxa"/>
            <w:tcBorders>
              <w:top w:val="single" w:sz="6" w:space="0" w:color="auto"/>
              <w:left w:val="single" w:sz="12" w:space="0" w:color="auto"/>
              <w:bottom w:val="single" w:sz="6" w:space="0" w:color="auto"/>
              <w:right w:val="single" w:sz="6" w:space="0" w:color="auto"/>
            </w:tcBorders>
            <w:textDirection w:val="lrTb"/>
            <w:vAlign w:val="top"/>
          </w:tcPr>
          <w:p w:rsidR="0004591B">
            <w:pPr>
              <w:bidi w:val="0"/>
              <w:spacing w:before="60" w:after="60"/>
              <w:rPr>
                <w:rFonts w:ascii="Times New Roman" w:hAnsi="Times New Roman"/>
              </w:rPr>
            </w:pPr>
            <w:r>
              <w:rPr>
                <w:rFonts w:ascii="Times New Roman" w:hAnsi="Times New Roman"/>
              </w:rPr>
              <w:t>Technológie pre spracovanie a úpravu RAO</w:t>
            </w:r>
          </w:p>
        </w:tc>
        <w:tc>
          <w:tcPr>
            <w:tcW w:w="2250" w:type="dxa"/>
            <w:tcBorders>
              <w:top w:val="single" w:sz="6" w:space="0" w:color="auto"/>
              <w:left w:val="single" w:sz="6" w:space="0" w:color="auto"/>
              <w:bottom w:val="single" w:sz="6" w:space="0" w:color="auto"/>
              <w:right w:val="single" w:sz="6" w:space="0" w:color="auto"/>
            </w:tcBorders>
            <w:textDirection w:val="lrTb"/>
            <w:vAlign w:val="top"/>
          </w:tcPr>
          <w:p w:rsidR="0004591B">
            <w:pPr>
              <w:bidi w:val="0"/>
              <w:spacing w:before="60" w:after="60"/>
              <w:jc w:val="center"/>
              <w:rPr>
                <w:rFonts w:ascii="Times New Roman" w:hAnsi="Times New Roman"/>
              </w:rPr>
            </w:pPr>
            <w:r>
              <w:rPr>
                <w:rFonts w:ascii="Times New Roman" w:hAnsi="Times New Roman"/>
              </w:rPr>
              <w:t>1994 resp. 2002</w:t>
            </w:r>
          </w:p>
        </w:tc>
        <w:tc>
          <w:tcPr>
            <w:tcW w:w="2250" w:type="dxa"/>
            <w:tcBorders>
              <w:top w:val="single" w:sz="6" w:space="0" w:color="auto"/>
              <w:left w:val="single" w:sz="6" w:space="0" w:color="auto"/>
              <w:bottom w:val="single" w:sz="6" w:space="0" w:color="auto"/>
              <w:right w:val="single" w:sz="12" w:space="0" w:color="auto"/>
            </w:tcBorders>
            <w:textDirection w:val="lrTb"/>
            <w:vAlign w:val="top"/>
          </w:tcPr>
          <w:p w:rsidR="0004591B" w:rsidP="00CD0F92">
            <w:pPr>
              <w:bidi w:val="0"/>
              <w:spacing w:before="60" w:after="60"/>
              <w:jc w:val="center"/>
              <w:rPr>
                <w:rFonts w:ascii="Times New Roman" w:hAnsi="Times New Roman"/>
              </w:rPr>
            </w:pPr>
            <w:r>
              <w:rPr>
                <w:rFonts w:ascii="Times New Roman" w:hAnsi="Times New Roman"/>
                <w:lang w:val="en-GB"/>
              </w:rPr>
              <w:t xml:space="preserve">JAVYS, a. </w:t>
            </w:r>
            <w:r w:rsidR="00CD0F92">
              <w:rPr>
                <w:rFonts w:ascii="Times New Roman" w:hAnsi="Times New Roman"/>
                <w:lang w:val="en-GB"/>
              </w:rPr>
              <w:t>s.</w:t>
            </w:r>
          </w:p>
        </w:tc>
      </w:tr>
      <w:tr>
        <w:tblPrEx>
          <w:tblW w:w="0" w:type="auto"/>
          <w:tblInd w:w="70" w:type="dxa"/>
          <w:tblLayout w:type="fixed"/>
          <w:tblCellMar>
            <w:top w:w="0" w:type="dxa"/>
            <w:left w:w="70" w:type="dxa"/>
            <w:bottom w:w="0" w:type="dxa"/>
            <w:right w:w="70" w:type="dxa"/>
          </w:tblCellMar>
        </w:tblPrEx>
        <w:trPr>
          <w:trHeight w:val="284"/>
        </w:trPr>
        <w:tc>
          <w:tcPr>
            <w:tcW w:w="4500" w:type="dxa"/>
            <w:tcBorders>
              <w:top w:val="single" w:sz="6" w:space="0" w:color="auto"/>
              <w:left w:val="single" w:sz="12" w:space="0" w:color="auto"/>
              <w:bottom w:val="single" w:sz="6" w:space="0" w:color="auto"/>
              <w:right w:val="single" w:sz="6" w:space="0" w:color="auto"/>
            </w:tcBorders>
            <w:textDirection w:val="lrTb"/>
            <w:vAlign w:val="top"/>
          </w:tcPr>
          <w:p w:rsidR="0004591B" w:rsidP="001440BC">
            <w:pPr>
              <w:bidi w:val="0"/>
              <w:spacing w:before="60" w:after="60"/>
              <w:rPr>
                <w:rFonts w:ascii="Times New Roman" w:hAnsi="Times New Roman"/>
              </w:rPr>
            </w:pPr>
            <w:r>
              <w:rPr>
                <w:rFonts w:ascii="Times New Roman" w:hAnsi="Times New Roman"/>
              </w:rPr>
              <w:t xml:space="preserve">Republikové </w:t>
            </w:r>
            <w:r w:rsidR="001440BC">
              <w:rPr>
                <w:rFonts w:ascii="Times New Roman" w:hAnsi="Times New Roman"/>
              </w:rPr>
              <w:t>ú</w:t>
            </w:r>
            <w:r>
              <w:rPr>
                <w:rFonts w:ascii="Times New Roman" w:hAnsi="Times New Roman"/>
              </w:rPr>
              <w:t xml:space="preserve">ložisko </w:t>
            </w:r>
            <w:r w:rsidR="00CD0F92">
              <w:rPr>
                <w:rFonts w:ascii="Times New Roman" w:hAnsi="Times New Roman"/>
              </w:rPr>
              <w:t>RAO</w:t>
            </w:r>
          </w:p>
        </w:tc>
        <w:tc>
          <w:tcPr>
            <w:tcW w:w="2250" w:type="dxa"/>
            <w:tcBorders>
              <w:top w:val="single" w:sz="6" w:space="0" w:color="auto"/>
              <w:left w:val="single" w:sz="6" w:space="0" w:color="auto"/>
              <w:bottom w:val="single" w:sz="6" w:space="0" w:color="auto"/>
              <w:right w:val="single" w:sz="6" w:space="0" w:color="auto"/>
            </w:tcBorders>
            <w:textDirection w:val="lrTb"/>
            <w:vAlign w:val="top"/>
          </w:tcPr>
          <w:p w:rsidR="0004591B">
            <w:pPr>
              <w:pStyle w:val="T"/>
              <w:bidi w:val="0"/>
              <w:spacing w:before="60" w:after="60"/>
              <w:rPr>
                <w:rFonts w:ascii="Times New Roman" w:hAnsi="Times New Roman"/>
              </w:rPr>
            </w:pPr>
            <w:r>
              <w:rPr>
                <w:rFonts w:ascii="Times New Roman" w:hAnsi="Times New Roman"/>
              </w:rPr>
              <w:t>2001</w:t>
            </w:r>
          </w:p>
        </w:tc>
        <w:tc>
          <w:tcPr>
            <w:tcW w:w="2250" w:type="dxa"/>
            <w:tcBorders>
              <w:top w:val="single" w:sz="6" w:space="0" w:color="auto"/>
              <w:left w:val="single" w:sz="6" w:space="0" w:color="auto"/>
              <w:bottom w:val="single" w:sz="6" w:space="0" w:color="auto"/>
              <w:right w:val="single" w:sz="12" w:space="0" w:color="auto"/>
            </w:tcBorders>
            <w:textDirection w:val="lrTb"/>
            <w:vAlign w:val="top"/>
          </w:tcPr>
          <w:p w:rsidR="0004591B" w:rsidP="00CD0F92">
            <w:pPr>
              <w:bidi w:val="0"/>
              <w:spacing w:before="60" w:after="60"/>
              <w:jc w:val="center"/>
              <w:rPr>
                <w:rFonts w:ascii="Times New Roman" w:hAnsi="Times New Roman"/>
              </w:rPr>
            </w:pPr>
            <w:r>
              <w:rPr>
                <w:rFonts w:ascii="Times New Roman" w:hAnsi="Times New Roman"/>
                <w:lang w:val="en-GB"/>
              </w:rPr>
              <w:t>JAVYS, a.</w:t>
            </w:r>
            <w:r w:rsidR="00CD0F92">
              <w:rPr>
                <w:rFonts w:ascii="Times New Roman" w:hAnsi="Times New Roman"/>
                <w:lang w:val="en-GB"/>
              </w:rPr>
              <w:t xml:space="preserve"> s.</w:t>
            </w:r>
          </w:p>
        </w:tc>
      </w:tr>
      <w:tr>
        <w:tblPrEx>
          <w:tblW w:w="0" w:type="auto"/>
          <w:tblInd w:w="70" w:type="dxa"/>
          <w:tblLayout w:type="fixed"/>
          <w:tblCellMar>
            <w:top w:w="0" w:type="dxa"/>
            <w:left w:w="70" w:type="dxa"/>
            <w:bottom w:w="0" w:type="dxa"/>
            <w:right w:w="70" w:type="dxa"/>
          </w:tblCellMar>
        </w:tblPrEx>
        <w:trPr>
          <w:trHeight w:val="284"/>
        </w:trPr>
        <w:tc>
          <w:tcPr>
            <w:tcW w:w="4500" w:type="dxa"/>
            <w:tcBorders>
              <w:top w:val="single" w:sz="6" w:space="0" w:color="auto"/>
              <w:left w:val="single" w:sz="12" w:space="0" w:color="auto"/>
              <w:bottom w:val="single" w:sz="12" w:space="0" w:color="auto"/>
              <w:right w:val="single" w:sz="6" w:space="0" w:color="auto"/>
            </w:tcBorders>
            <w:textDirection w:val="lrTb"/>
            <w:vAlign w:val="top"/>
          </w:tcPr>
          <w:p w:rsidR="0004591B">
            <w:pPr>
              <w:bidi w:val="0"/>
              <w:spacing w:before="60" w:after="60"/>
              <w:rPr>
                <w:rFonts w:ascii="Times New Roman" w:hAnsi="Times New Roman"/>
              </w:rPr>
            </w:pPr>
            <w:r>
              <w:rPr>
                <w:rFonts w:ascii="Times New Roman" w:hAnsi="Times New Roman"/>
              </w:rPr>
              <w:t>Finálne spracovanie kvapalných RAO</w:t>
            </w:r>
          </w:p>
        </w:tc>
        <w:tc>
          <w:tcPr>
            <w:tcW w:w="2250" w:type="dxa"/>
            <w:tcBorders>
              <w:top w:val="single" w:sz="6" w:space="0" w:color="auto"/>
              <w:left w:val="single" w:sz="6" w:space="0" w:color="auto"/>
              <w:bottom w:val="single" w:sz="12" w:space="0" w:color="auto"/>
              <w:right w:val="single" w:sz="6" w:space="0" w:color="auto"/>
            </w:tcBorders>
            <w:textDirection w:val="lrTb"/>
            <w:vAlign w:val="top"/>
          </w:tcPr>
          <w:p w:rsidR="0004591B">
            <w:pPr>
              <w:bidi w:val="0"/>
              <w:spacing w:before="60" w:after="60"/>
              <w:jc w:val="center"/>
              <w:rPr>
                <w:rFonts w:ascii="Times New Roman" w:hAnsi="Times New Roman"/>
              </w:rPr>
            </w:pPr>
            <w:r>
              <w:rPr>
                <w:rFonts w:ascii="Times New Roman" w:hAnsi="Times New Roman"/>
              </w:rPr>
              <w:t>2007</w:t>
            </w:r>
          </w:p>
        </w:tc>
        <w:tc>
          <w:tcPr>
            <w:tcW w:w="2250" w:type="dxa"/>
            <w:tcBorders>
              <w:top w:val="single" w:sz="6" w:space="0" w:color="auto"/>
              <w:left w:val="single" w:sz="6" w:space="0" w:color="auto"/>
              <w:bottom w:val="single" w:sz="12" w:space="0" w:color="auto"/>
              <w:right w:val="single" w:sz="12" w:space="0" w:color="auto"/>
            </w:tcBorders>
            <w:textDirection w:val="lrTb"/>
            <w:vAlign w:val="top"/>
          </w:tcPr>
          <w:p w:rsidR="0004591B" w:rsidP="00CD0F92">
            <w:pPr>
              <w:bidi w:val="0"/>
              <w:spacing w:before="60" w:after="60"/>
              <w:jc w:val="center"/>
              <w:rPr>
                <w:rFonts w:ascii="Times New Roman" w:hAnsi="Times New Roman"/>
                <w:lang w:val="en-GB"/>
              </w:rPr>
            </w:pPr>
            <w:r>
              <w:rPr>
                <w:rFonts w:ascii="Times New Roman" w:hAnsi="Times New Roman"/>
                <w:lang w:val="en-GB"/>
              </w:rPr>
              <w:t>JAVYS, a.</w:t>
            </w:r>
            <w:r w:rsidR="00CD0F92">
              <w:rPr>
                <w:rFonts w:ascii="Times New Roman" w:hAnsi="Times New Roman"/>
                <w:lang w:val="en-GB"/>
              </w:rPr>
              <w:t xml:space="preserve"> s.</w:t>
            </w:r>
          </w:p>
        </w:tc>
      </w:tr>
    </w:tbl>
    <w:p w:rsidR="00877FEB">
      <w:pPr>
        <w:pStyle w:val="Title"/>
        <w:bidi w:val="0"/>
        <w:jc w:val="both"/>
        <w:rPr>
          <w:rFonts w:ascii="Times New Roman" w:hAnsi="Times New Roman"/>
          <w:i/>
          <w:iCs/>
        </w:rPr>
      </w:pPr>
    </w:p>
    <w:p w:rsidR="0004591B" w:rsidP="003D2AF3">
      <w:pPr>
        <w:pStyle w:val="Heading5"/>
        <w:bidi w:val="0"/>
        <w:spacing w:after="100" w:afterAutospacing="1"/>
        <w:jc w:val="left"/>
        <w:rPr>
          <w:rFonts w:ascii="Times New Roman" w:hAnsi="Times New Roman"/>
          <w:i/>
          <w:iCs/>
          <w:color w:val="FF00FF"/>
          <w:sz w:val="24"/>
        </w:rPr>
      </w:pPr>
      <w:r>
        <w:rPr>
          <w:rFonts w:ascii="Times New Roman" w:hAnsi="Times New Roman"/>
          <w:i/>
          <w:iCs/>
          <w:sz w:val="24"/>
        </w:rPr>
        <w:t>a)</w:t>
      </w:r>
      <w:r w:rsidR="00C64AEC">
        <w:rPr>
          <w:rFonts w:ascii="Times New Roman" w:hAnsi="Times New Roman"/>
          <w:i/>
          <w:iCs/>
          <w:sz w:val="24"/>
        </w:rPr>
        <w:t xml:space="preserve"> </w:t>
      </w:r>
      <w:r>
        <w:rPr>
          <w:rFonts w:ascii="Times New Roman" w:hAnsi="Times New Roman"/>
          <w:i/>
          <w:iCs/>
          <w:sz w:val="24"/>
        </w:rPr>
        <w:t xml:space="preserve">Medzisklad vyhoretého </w:t>
      </w:r>
      <w:r w:rsidR="000B4909">
        <w:rPr>
          <w:rFonts w:ascii="Times New Roman" w:hAnsi="Times New Roman"/>
          <w:i/>
          <w:iCs/>
          <w:sz w:val="24"/>
        </w:rPr>
        <w:t xml:space="preserve">jadrového </w:t>
      </w:r>
      <w:r>
        <w:rPr>
          <w:rFonts w:ascii="Times New Roman" w:hAnsi="Times New Roman"/>
          <w:i/>
          <w:iCs/>
          <w:sz w:val="24"/>
        </w:rPr>
        <w:t>paliva Jaslovské Bohunice (MSVP)</w:t>
      </w:r>
    </w:p>
    <w:p w:rsidR="00A71AEB" w:rsidP="00A71AEB">
      <w:pPr>
        <w:pStyle w:val="BodyText"/>
        <w:bidi w:val="0"/>
        <w:rPr>
          <w:rFonts w:ascii="Times New Roman" w:hAnsi="Times New Roman"/>
        </w:rPr>
      </w:pPr>
      <w:r>
        <w:rPr>
          <w:rFonts w:ascii="Times New Roman" w:hAnsi="Times New Roman"/>
        </w:rPr>
        <w:t xml:space="preserve">MSVP Bohunice slúži na dočasné ukladanie </w:t>
      </w:r>
      <w:r w:rsidR="008669DF">
        <w:rPr>
          <w:rFonts w:ascii="Times New Roman" w:hAnsi="Times New Roman"/>
          <w:lang w:val="sk-SK"/>
        </w:rPr>
        <w:t>VJP</w:t>
      </w:r>
      <w:r>
        <w:rPr>
          <w:rFonts w:ascii="Times New Roman" w:hAnsi="Times New Roman"/>
        </w:rPr>
        <w:t xml:space="preserve"> z </w:t>
      </w:r>
      <w:r w:rsidR="008669DF">
        <w:rPr>
          <w:rFonts w:ascii="Times New Roman" w:hAnsi="Times New Roman"/>
          <w:lang w:val="sk-SK"/>
        </w:rPr>
        <w:t>A</w:t>
      </w:r>
      <w:r>
        <w:rPr>
          <w:rFonts w:ascii="Times New Roman" w:hAnsi="Times New Roman"/>
        </w:rPr>
        <w:t>E</w:t>
      </w:r>
      <w:r w:rsidR="008669DF">
        <w:rPr>
          <w:rFonts w:ascii="Times New Roman" w:hAnsi="Times New Roman"/>
          <w:lang w:val="sk-SK"/>
        </w:rPr>
        <w:t xml:space="preserve"> Bohunice</w:t>
      </w:r>
      <w:r>
        <w:rPr>
          <w:rFonts w:ascii="Times New Roman" w:hAnsi="Times New Roman"/>
        </w:rPr>
        <w:t xml:space="preserve"> V-1</w:t>
      </w:r>
      <w:r w:rsidR="00E4612F">
        <w:rPr>
          <w:rFonts w:ascii="Times New Roman" w:hAnsi="Times New Roman"/>
          <w:lang w:val="sk-SK"/>
        </w:rPr>
        <w:t>,</w:t>
      </w:r>
      <w:r>
        <w:rPr>
          <w:rFonts w:ascii="Times New Roman" w:hAnsi="Times New Roman"/>
        </w:rPr>
        <w:t xml:space="preserve"> </w:t>
      </w:r>
      <w:r w:rsidR="008669DF">
        <w:rPr>
          <w:rFonts w:ascii="Times New Roman" w:hAnsi="Times New Roman"/>
          <w:lang w:val="sk-SK"/>
        </w:rPr>
        <w:t>A</w:t>
      </w:r>
      <w:r>
        <w:rPr>
          <w:rFonts w:ascii="Times New Roman" w:hAnsi="Times New Roman"/>
        </w:rPr>
        <w:t>E</w:t>
      </w:r>
      <w:r w:rsidR="008669DF">
        <w:rPr>
          <w:rFonts w:ascii="Times New Roman" w:hAnsi="Times New Roman"/>
          <w:lang w:val="sk-SK"/>
        </w:rPr>
        <w:t xml:space="preserve"> Bohunice</w:t>
      </w:r>
      <w:r>
        <w:rPr>
          <w:rFonts w:ascii="Times New Roman" w:hAnsi="Times New Roman"/>
        </w:rPr>
        <w:t xml:space="preserve"> V-2 a</w:t>
      </w:r>
      <w:r w:rsidR="008669DF">
        <w:rPr>
          <w:rFonts w:ascii="Times New Roman" w:hAnsi="Times New Roman"/>
        </w:rPr>
        <w:t> </w:t>
      </w:r>
      <w:r w:rsidR="008669DF">
        <w:rPr>
          <w:rFonts w:ascii="Times New Roman" w:hAnsi="Times New Roman"/>
          <w:lang w:val="sk-SK"/>
        </w:rPr>
        <w:t xml:space="preserve">AE </w:t>
      </w:r>
      <w:r w:rsidR="008669DF">
        <w:rPr>
          <w:rFonts w:ascii="Times New Roman" w:hAnsi="Times New Roman"/>
        </w:rPr>
        <w:t>Mochovce</w:t>
      </w:r>
      <w:r w:rsidR="008669DF">
        <w:rPr>
          <w:rFonts w:ascii="Times New Roman" w:hAnsi="Times New Roman"/>
          <w:lang w:val="sk-SK"/>
        </w:rPr>
        <w:t xml:space="preserve"> </w:t>
      </w:r>
      <w:r>
        <w:rPr>
          <w:rFonts w:ascii="Times New Roman" w:hAnsi="Times New Roman"/>
        </w:rPr>
        <w:t>1, 2</w:t>
      </w:r>
      <w:r w:rsidR="008669DF">
        <w:rPr>
          <w:rFonts w:ascii="Times New Roman" w:hAnsi="Times New Roman"/>
          <w:lang w:val="sk-SK"/>
        </w:rPr>
        <w:t>.</w:t>
      </w:r>
      <w:r>
        <w:rPr>
          <w:rFonts w:ascii="Times New Roman" w:hAnsi="Times New Roman"/>
        </w:rPr>
        <w:t xml:space="preserve"> </w:t>
      </w:r>
    </w:p>
    <w:p w:rsidR="00A71AEB" w:rsidP="00A71AEB">
      <w:pPr>
        <w:bidi w:val="0"/>
        <w:jc w:val="both"/>
        <w:rPr>
          <w:rFonts w:ascii="Times New Roman" w:hAnsi="Times New Roman"/>
        </w:rPr>
      </w:pPr>
      <w:r>
        <w:rPr>
          <w:rFonts w:ascii="Times New Roman" w:hAnsi="Times New Roman"/>
        </w:rPr>
        <w:t>V priebehu rok</w:t>
      </w:r>
      <w:r w:rsidR="00863A48">
        <w:rPr>
          <w:rFonts w:ascii="Times New Roman" w:hAnsi="Times New Roman"/>
        </w:rPr>
        <w:t>a</w:t>
      </w:r>
      <w:r>
        <w:rPr>
          <w:rFonts w:ascii="Times New Roman" w:hAnsi="Times New Roman"/>
        </w:rPr>
        <w:t xml:space="preserve"> 2011 bola hodnotiaca činnosť zameraná na vyhodnotenie stavu prevádzkových kontrol stavebných a technologických častí a systémov MSVP Bohunice a skladovaného </w:t>
      </w:r>
      <w:r w:rsidR="002B58F6">
        <w:rPr>
          <w:rFonts w:ascii="Times New Roman" w:hAnsi="Times New Roman"/>
        </w:rPr>
        <w:t>VJP</w:t>
      </w:r>
      <w:r>
        <w:rPr>
          <w:rFonts w:ascii="Times New Roman" w:hAnsi="Times New Roman"/>
        </w:rPr>
        <w:t xml:space="preserve">. </w:t>
      </w:r>
    </w:p>
    <w:p w:rsidR="00EF0065" w:rsidRPr="005E0D06" w:rsidP="005E0D06">
      <w:pPr>
        <w:bidi w:val="0"/>
        <w:jc w:val="both"/>
        <w:rPr>
          <w:rFonts w:ascii="Times New Roman" w:hAnsi="Times New Roman"/>
        </w:rPr>
      </w:pPr>
      <w:r w:rsidR="00A71AEB">
        <w:rPr>
          <w:rFonts w:ascii="Times New Roman" w:hAnsi="Times New Roman"/>
        </w:rPr>
        <w:t xml:space="preserve">V rámci inšpekčnej činnosti </w:t>
      </w:r>
      <w:r w:rsidR="002B58F6">
        <w:rPr>
          <w:rFonts w:ascii="Times New Roman" w:hAnsi="Times New Roman"/>
        </w:rPr>
        <w:t>sa</w:t>
      </w:r>
      <w:r w:rsidR="00A71AEB">
        <w:rPr>
          <w:rFonts w:ascii="Times New Roman" w:hAnsi="Times New Roman"/>
        </w:rPr>
        <w:t xml:space="preserve"> realizovali dve previerky skladovania </w:t>
      </w:r>
      <w:r w:rsidR="005E0D06">
        <w:rPr>
          <w:rFonts w:ascii="Times New Roman" w:hAnsi="Times New Roman"/>
        </w:rPr>
        <w:t>VJP</w:t>
      </w:r>
      <w:r w:rsidR="00A71AEB">
        <w:rPr>
          <w:rFonts w:ascii="Times New Roman" w:hAnsi="Times New Roman"/>
        </w:rPr>
        <w:t xml:space="preserve"> v MSVP Bohunice. Cieľom inšpekcií bola kontrola dodržiavania limít a podmienok a prevádzkových predpisov pre obsluhu jednotlivých zariadení. Ani v jednom prípade sa nezistilo porušenie podmienok jadrovej a radiačnej bezpečnosti a prevádzkových predpisov.</w:t>
      </w:r>
    </w:p>
    <w:p w:rsidR="00A16146" w:rsidP="00EF7DC4">
      <w:pPr>
        <w:pStyle w:val="BodyText"/>
        <w:suppressLineNumbers/>
        <w:bidi w:val="0"/>
        <w:rPr>
          <w:rFonts w:ascii="Times New Roman" w:hAnsi="Times New Roman"/>
          <w:b/>
          <w:bCs/>
          <w:i/>
          <w:iCs w:val="0"/>
          <w:lang w:val="sk-SK"/>
        </w:rPr>
      </w:pPr>
    </w:p>
    <w:p w:rsidR="0004591B" w:rsidRPr="00D95E1F" w:rsidP="00EF7DC4">
      <w:pPr>
        <w:pStyle w:val="BodyText"/>
        <w:suppressLineNumbers/>
        <w:bidi w:val="0"/>
        <w:rPr>
          <w:rFonts w:ascii="Times New Roman" w:hAnsi="Times New Roman"/>
          <w:bCs/>
          <w:i/>
          <w:iCs w:val="0"/>
        </w:rPr>
      </w:pPr>
      <w:r w:rsidRPr="00D95E1F">
        <w:rPr>
          <w:rFonts w:ascii="Times New Roman" w:hAnsi="Times New Roman"/>
          <w:bCs/>
          <w:i/>
          <w:iCs w:val="0"/>
        </w:rPr>
        <w:t xml:space="preserve">Záver: </w:t>
      </w:r>
    </w:p>
    <w:p w:rsidR="0004591B" w:rsidRPr="00D95E1F" w:rsidP="00877FEB">
      <w:pPr>
        <w:pStyle w:val="BodyText"/>
        <w:suppressLineNumbers/>
        <w:bidi w:val="0"/>
        <w:rPr>
          <w:rFonts w:ascii="Times New Roman" w:hAnsi="Times New Roman"/>
          <w:lang w:val="sk-SK"/>
        </w:rPr>
      </w:pPr>
      <w:r w:rsidRPr="00D95E1F">
        <w:rPr>
          <w:rFonts w:ascii="Times New Roman" w:hAnsi="Times New Roman"/>
          <w:bCs/>
          <w:i/>
          <w:iCs w:val="0"/>
        </w:rPr>
        <w:t xml:space="preserve">Prevádzka MSVP bola </w:t>
      </w:r>
      <w:r w:rsidRPr="00D95E1F" w:rsidR="00EF0065">
        <w:rPr>
          <w:rFonts w:ascii="Times New Roman" w:hAnsi="Times New Roman"/>
          <w:bCs/>
          <w:i/>
          <w:iCs w:val="0"/>
          <w:lang w:val="sk-SK"/>
        </w:rPr>
        <w:t>v roku 201</w:t>
      </w:r>
      <w:r w:rsidRPr="00D95E1F" w:rsidR="00E4612F">
        <w:rPr>
          <w:rFonts w:ascii="Times New Roman" w:hAnsi="Times New Roman"/>
          <w:bCs/>
          <w:i/>
          <w:iCs w:val="0"/>
          <w:lang w:val="sk-SK"/>
        </w:rPr>
        <w:t>1</w:t>
      </w:r>
      <w:r w:rsidRPr="00D95E1F" w:rsidR="00EF0065">
        <w:rPr>
          <w:rFonts w:ascii="Times New Roman" w:hAnsi="Times New Roman"/>
          <w:bCs/>
          <w:i/>
          <w:iCs w:val="0"/>
          <w:lang w:val="sk-SK"/>
        </w:rPr>
        <w:t xml:space="preserve"> </w:t>
      </w:r>
      <w:r w:rsidRPr="00D95E1F">
        <w:rPr>
          <w:rFonts w:ascii="Times New Roman" w:hAnsi="Times New Roman"/>
          <w:bCs/>
          <w:i/>
          <w:iCs w:val="0"/>
        </w:rPr>
        <w:t>vyhodnotená ako bezpečná a spoľahlivá</w:t>
      </w:r>
      <w:r w:rsidRPr="00D95E1F">
        <w:rPr>
          <w:rFonts w:ascii="Times New Roman" w:hAnsi="Times New Roman"/>
        </w:rPr>
        <w:t>.</w:t>
      </w:r>
    </w:p>
    <w:p w:rsidR="005B7834" w:rsidP="00E700F5">
      <w:pPr>
        <w:pStyle w:val="Heading5"/>
        <w:numPr>
          <w:ilvl w:val="4"/>
          <w:numId w:val="5"/>
        </w:numPr>
        <w:suppressLineNumbers/>
        <w:bidi w:val="0"/>
        <w:spacing w:after="100" w:afterAutospacing="1"/>
        <w:jc w:val="both"/>
        <w:rPr>
          <w:rFonts w:ascii="Times New Roman" w:hAnsi="Times New Roman"/>
          <w:i/>
          <w:iCs/>
          <w:sz w:val="24"/>
        </w:rPr>
      </w:pPr>
    </w:p>
    <w:p w:rsidR="0004591B" w:rsidRPr="001851C6" w:rsidP="00D95E1F">
      <w:pPr>
        <w:pStyle w:val="Heading5"/>
        <w:numPr>
          <w:ilvl w:val="4"/>
          <w:numId w:val="5"/>
        </w:numPr>
        <w:suppressLineNumbers/>
        <w:bidi w:val="0"/>
        <w:jc w:val="both"/>
        <w:rPr>
          <w:rFonts w:ascii="Times New Roman" w:hAnsi="Times New Roman"/>
          <w:i/>
          <w:iCs/>
          <w:sz w:val="24"/>
        </w:rPr>
      </w:pPr>
      <w:r w:rsidRPr="001851C6">
        <w:rPr>
          <w:rFonts w:ascii="Times New Roman" w:hAnsi="Times New Roman"/>
          <w:i/>
          <w:iCs/>
          <w:sz w:val="24"/>
        </w:rPr>
        <w:t>b) Technológie na spracovanie a úpravu RAO</w:t>
      </w:r>
      <w:r w:rsidR="005008A8">
        <w:rPr>
          <w:rFonts w:ascii="Times New Roman" w:hAnsi="Times New Roman"/>
          <w:i/>
          <w:iCs/>
          <w:sz w:val="24"/>
        </w:rPr>
        <w:t xml:space="preserve"> </w:t>
      </w:r>
      <w:r w:rsidR="00E00EC8">
        <w:rPr>
          <w:rFonts w:ascii="Times New Roman" w:hAnsi="Times New Roman"/>
          <w:i/>
          <w:iCs/>
          <w:sz w:val="24"/>
        </w:rPr>
        <w:t>(TSÚ RAO)</w:t>
      </w:r>
    </w:p>
    <w:p w:rsidR="00C74A0F" w:rsidRPr="00DA7E4A" w:rsidP="00D95E1F">
      <w:pPr>
        <w:numPr>
          <w:numId w:val="5"/>
        </w:numPr>
        <w:autoSpaceDE w:val="0"/>
        <w:autoSpaceDN w:val="0"/>
        <w:bidi w:val="0"/>
        <w:adjustRightInd w:val="0"/>
        <w:jc w:val="both"/>
        <w:rPr>
          <w:rFonts w:ascii="Times New Roman" w:hAnsi="Times New Roman"/>
        </w:rPr>
      </w:pPr>
      <w:r w:rsidRPr="00DA7E4A">
        <w:rPr>
          <w:rFonts w:ascii="Times New Roman" w:hAnsi="Times New Roman"/>
        </w:rPr>
        <w:t>Prevádzkovateľom JZ Technológie na spracovanie a úpravu RAO v lokalite Bohunice je JAVYS, a.</w:t>
      </w:r>
      <w:r w:rsidR="00415117">
        <w:rPr>
          <w:rFonts w:ascii="Times New Roman" w:hAnsi="Times New Roman"/>
        </w:rPr>
        <w:t> </w:t>
      </w:r>
      <w:r w:rsidRPr="00DA7E4A">
        <w:rPr>
          <w:rFonts w:ascii="Times New Roman" w:hAnsi="Times New Roman"/>
        </w:rPr>
        <w:t xml:space="preserve">s. </w:t>
      </w:r>
      <w:r w:rsidR="00F55345">
        <w:rPr>
          <w:rFonts w:ascii="Times New Roman" w:hAnsi="Times New Roman"/>
        </w:rPr>
        <w:t xml:space="preserve">TSÚ RAO </w:t>
      </w:r>
      <w:r w:rsidRPr="00DA7E4A">
        <w:rPr>
          <w:rFonts w:ascii="Times New Roman" w:hAnsi="Times New Roman"/>
        </w:rPr>
        <w:t>zahŕňajú dve bitúmenačné linky</w:t>
      </w:r>
      <w:r w:rsidR="00E4612F">
        <w:rPr>
          <w:rFonts w:ascii="Times New Roman" w:hAnsi="Times New Roman"/>
        </w:rPr>
        <w:t>,</w:t>
      </w:r>
      <w:r w:rsidRPr="00DA7E4A">
        <w:rPr>
          <w:rFonts w:ascii="Times New Roman" w:hAnsi="Times New Roman"/>
        </w:rPr>
        <w:t xml:space="preserve"> Bohunické spracovateľské centrum rádioaktívnych odpadov (ďalej len „BSC“), fragmentačnú linku, veľkokapacitnú dekontaminačnú linku, pracovisko spracovania použitých vzduchotechnických filtrov a sklady RAO. Bitúmenačné linky, každá s kapacitou 120 l/hod, sú určené na spracovanie rádioaktívnych koncentrátov z prevádzky AE do </w:t>
      </w:r>
      <w:smartTag w:uri="urn:schemas-microsoft-com:office:smarttags" w:element="metricconverter">
        <w:smartTagPr>
          <w:attr w:name="ProductID" w:val="200 l"/>
        </w:smartTagPr>
        <w:r w:rsidRPr="00DA7E4A">
          <w:rPr>
            <w:rFonts w:ascii="Times New Roman" w:hAnsi="Times New Roman"/>
          </w:rPr>
          <w:t>200 l</w:t>
        </w:r>
      </w:smartTag>
      <w:r w:rsidRPr="00DA7E4A">
        <w:rPr>
          <w:rFonts w:ascii="Times New Roman" w:hAnsi="Times New Roman"/>
        </w:rPr>
        <w:t xml:space="preserve"> sudov, ktoré sa pred ich konečným uložením vkladajú do vlákno – betónových kontajnerov (ďalej len „VBK“). BSC slúži ako ťažiskové zariadenie pre konečnú úpravu RAO pred ich uložením v Republikovom úložisku rádioaktívnych odpadov v Mochovciach (ďalej len „RÚ RAO“). K spracovaniu a k úprave RAO sa okrem cementácie využíva aj spaľovanie, fragmentácia, vysokotlakové lisovanie a zvyšovanie koncentrácie odparovaním. Výsledné produkty spracovania a úpravy RAO sa vkladajú do VBK, ktoré vyhovujú podmienkam uloženia v RÚ RAO v Mochovciach.  </w:t>
      </w:r>
    </w:p>
    <w:p w:rsidR="00C74A0F" w:rsidRPr="00DA7E4A" w:rsidP="00E700F5">
      <w:pPr>
        <w:numPr>
          <w:numId w:val="5"/>
        </w:numPr>
        <w:autoSpaceDE w:val="0"/>
        <w:autoSpaceDN w:val="0"/>
        <w:bidi w:val="0"/>
        <w:adjustRightInd w:val="0"/>
        <w:jc w:val="both"/>
        <w:rPr>
          <w:rFonts w:ascii="Times New Roman" w:hAnsi="Times New Roman"/>
        </w:rPr>
      </w:pPr>
      <w:r w:rsidRPr="00DA7E4A">
        <w:rPr>
          <w:rFonts w:ascii="Times New Roman" w:hAnsi="Times New Roman"/>
        </w:rPr>
        <w:t>V roku 2011 boli na diskontinuálnej bitúmenačnej linke (ďalej len „DBL“),</w:t>
      </w:r>
      <w:r w:rsidR="00F55345">
        <w:rPr>
          <w:rFonts w:ascii="Times New Roman" w:hAnsi="Times New Roman"/>
        </w:rPr>
        <w:t xml:space="preserve"> </w:t>
      </w:r>
      <w:r w:rsidRPr="00DA7E4A">
        <w:rPr>
          <w:rFonts w:ascii="Times New Roman" w:hAnsi="Times New Roman"/>
        </w:rPr>
        <w:t>v rámci II.</w:t>
      </w:r>
      <w:r>
        <w:rPr>
          <w:rFonts w:ascii="Times New Roman" w:hAnsi="Times New Roman"/>
        </w:rPr>
        <w:t xml:space="preserve"> </w:t>
      </w:r>
      <w:r w:rsidRPr="00DA7E4A">
        <w:rPr>
          <w:rFonts w:ascii="Times New Roman" w:hAnsi="Times New Roman"/>
        </w:rPr>
        <w:t xml:space="preserve">etapy uvádzania tejto linky do prevádzky, realizované technické opatrenia a úpravy </w:t>
      </w:r>
      <w:r w:rsidRPr="00DA7E4A">
        <w:rPr>
          <w:rFonts w:ascii="Times New Roman" w:hAnsi="Times New Roman" w:cs="Arial"/>
        </w:rPr>
        <w:t>s cieľom zabezpečenia dlhodobej spoľahlivosti prevádzky zariadenia DBL pri spracovaní sorbentov z</w:t>
      </w:r>
      <w:r w:rsidR="00F55345">
        <w:rPr>
          <w:rFonts w:ascii="Times New Roman" w:hAnsi="Times New Roman" w:cs="Arial"/>
        </w:rPr>
        <w:t> A</w:t>
      </w:r>
      <w:r w:rsidRPr="00DA7E4A">
        <w:rPr>
          <w:rFonts w:ascii="Times New Roman" w:hAnsi="Times New Roman" w:cs="Arial"/>
        </w:rPr>
        <w:t>E</w:t>
      </w:r>
      <w:r w:rsidR="00F55345">
        <w:rPr>
          <w:rFonts w:ascii="Times New Roman" w:hAnsi="Times New Roman" w:cs="Arial"/>
        </w:rPr>
        <w:t xml:space="preserve"> Bohunice</w:t>
      </w:r>
      <w:r w:rsidRPr="00DA7E4A">
        <w:rPr>
          <w:rFonts w:ascii="Times New Roman" w:hAnsi="Times New Roman" w:cs="Arial"/>
        </w:rPr>
        <w:t xml:space="preserve"> V</w:t>
      </w:r>
      <w:r w:rsidR="00E4612F">
        <w:rPr>
          <w:rFonts w:ascii="Times New Roman" w:hAnsi="Times New Roman" w:cs="Arial"/>
        </w:rPr>
        <w:t>-</w:t>
      </w:r>
      <w:r w:rsidRPr="00DA7E4A">
        <w:rPr>
          <w:rFonts w:ascii="Times New Roman" w:hAnsi="Times New Roman" w:cs="Arial"/>
        </w:rPr>
        <w:t>1 spolu so sorbentami z</w:t>
      </w:r>
      <w:r w:rsidR="00F55345">
        <w:rPr>
          <w:rFonts w:ascii="Times New Roman" w:hAnsi="Times New Roman" w:cs="Arial"/>
        </w:rPr>
        <w:t> A</w:t>
      </w:r>
      <w:r w:rsidRPr="00DA7E4A">
        <w:rPr>
          <w:rFonts w:ascii="Times New Roman" w:hAnsi="Times New Roman" w:cs="Arial"/>
        </w:rPr>
        <w:t>E</w:t>
      </w:r>
      <w:r w:rsidR="00F55345">
        <w:rPr>
          <w:rFonts w:ascii="Times New Roman" w:hAnsi="Times New Roman" w:cs="Arial"/>
        </w:rPr>
        <w:t xml:space="preserve"> Bohunice</w:t>
      </w:r>
      <w:r w:rsidRPr="00DA7E4A">
        <w:rPr>
          <w:rFonts w:ascii="Times New Roman" w:hAnsi="Times New Roman" w:cs="Arial"/>
        </w:rPr>
        <w:t xml:space="preserve"> A</w:t>
      </w:r>
      <w:r w:rsidR="00E4612F">
        <w:rPr>
          <w:rFonts w:ascii="Times New Roman" w:hAnsi="Times New Roman" w:cs="Arial"/>
        </w:rPr>
        <w:t>-</w:t>
      </w:r>
      <w:r w:rsidRPr="00DA7E4A">
        <w:rPr>
          <w:rFonts w:ascii="Times New Roman" w:hAnsi="Times New Roman" w:cs="Arial"/>
        </w:rPr>
        <w:t>1</w:t>
      </w:r>
      <w:r w:rsidRPr="00DA7E4A">
        <w:rPr>
          <w:rFonts w:ascii="Times New Roman" w:hAnsi="Times New Roman"/>
        </w:rPr>
        <w:t>.</w:t>
      </w:r>
    </w:p>
    <w:p w:rsidR="00C74A0F" w:rsidRPr="00DA7E4A" w:rsidP="005E0D06">
      <w:pPr>
        <w:bidi w:val="0"/>
        <w:jc w:val="both"/>
        <w:rPr>
          <w:rFonts w:ascii="Times New Roman" w:hAnsi="Times New Roman"/>
        </w:rPr>
      </w:pPr>
      <w:r w:rsidRPr="00DA7E4A">
        <w:rPr>
          <w:rFonts w:ascii="Times New Roman" w:hAnsi="Times New Roman"/>
        </w:rPr>
        <w:t>Ú</w:t>
      </w:r>
      <w:r w:rsidR="00F55345">
        <w:rPr>
          <w:rFonts w:ascii="Times New Roman" w:hAnsi="Times New Roman"/>
        </w:rPr>
        <w:t>JD SR</w:t>
      </w:r>
      <w:r w:rsidRPr="00DA7E4A">
        <w:rPr>
          <w:rFonts w:ascii="Times New Roman" w:hAnsi="Times New Roman"/>
        </w:rPr>
        <w:t xml:space="preserve"> v súvislosti s licencovaním realizácie BIDSF projektu C7-C „Rekonštrukcia BSC“ schválil revíziu predprevádzkovej bezpečnostnej správy </w:t>
      </w:r>
      <w:r w:rsidR="005E0D06">
        <w:rPr>
          <w:rFonts w:ascii="Times New Roman" w:hAnsi="Times New Roman"/>
        </w:rPr>
        <w:t xml:space="preserve">pre </w:t>
      </w:r>
      <w:r w:rsidRPr="00DA7E4A">
        <w:rPr>
          <w:rFonts w:ascii="Times New Roman" w:hAnsi="Times New Roman"/>
        </w:rPr>
        <w:t>TSÚ RAO. P</w:t>
      </w:r>
      <w:r w:rsidRPr="00DA7E4A">
        <w:rPr>
          <w:rFonts w:ascii="Times New Roman" w:hAnsi="Times New Roman"/>
        </w:rPr>
        <w:t xml:space="preserve">rojekt rekonštrukcie BSC rieši </w:t>
      </w:r>
      <w:r w:rsidRPr="00DA7E4A">
        <w:rPr>
          <w:rFonts w:ascii="Times New Roman" w:hAnsi="Times New Roman" w:cs="Arial"/>
        </w:rPr>
        <w:t xml:space="preserve">úpravu a modernizáciu súčasných technológií TSÚ RAO </w:t>
      </w:r>
      <w:r w:rsidR="00811DE9">
        <w:rPr>
          <w:rFonts w:ascii="Times New Roman" w:hAnsi="Times New Roman" w:cs="Arial"/>
        </w:rPr>
        <w:t xml:space="preserve">preto, aby sa </w:t>
      </w:r>
      <w:r w:rsidRPr="00DA7E4A">
        <w:rPr>
          <w:rFonts w:ascii="Times New Roman" w:hAnsi="Times New Roman" w:cs="Arial"/>
        </w:rPr>
        <w:t>zvýš</w:t>
      </w:r>
      <w:r w:rsidR="00811DE9">
        <w:rPr>
          <w:rFonts w:ascii="Times New Roman" w:hAnsi="Times New Roman" w:cs="Arial"/>
        </w:rPr>
        <w:t>ila</w:t>
      </w:r>
      <w:r w:rsidRPr="00DA7E4A">
        <w:rPr>
          <w:rFonts w:ascii="Times New Roman" w:hAnsi="Times New Roman" w:cs="Arial"/>
        </w:rPr>
        <w:t xml:space="preserve"> kapacit</w:t>
      </w:r>
      <w:r w:rsidR="00811DE9">
        <w:rPr>
          <w:rFonts w:ascii="Times New Roman" w:hAnsi="Times New Roman" w:cs="Arial"/>
        </w:rPr>
        <w:t>a</w:t>
      </w:r>
      <w:r w:rsidRPr="00DA7E4A">
        <w:rPr>
          <w:rFonts w:ascii="Times New Roman" w:hAnsi="Times New Roman" w:cs="Arial"/>
        </w:rPr>
        <w:t xml:space="preserve"> a spoľahlivos</w:t>
      </w:r>
      <w:r w:rsidR="00811DE9">
        <w:rPr>
          <w:rFonts w:ascii="Times New Roman" w:hAnsi="Times New Roman" w:cs="Arial"/>
        </w:rPr>
        <w:t>ť</w:t>
      </w:r>
      <w:r w:rsidRPr="00DA7E4A">
        <w:rPr>
          <w:rFonts w:ascii="Times New Roman" w:hAnsi="Times New Roman" w:cs="Arial"/>
        </w:rPr>
        <w:t xml:space="preserve"> tak, aby sa dosiahlo efektívnejšie spracovanie a úprava pevných a kvapalných </w:t>
      </w:r>
      <w:r w:rsidR="00F55345">
        <w:rPr>
          <w:rFonts w:ascii="Times New Roman" w:hAnsi="Times New Roman" w:cs="Arial"/>
        </w:rPr>
        <w:t xml:space="preserve">RAO </w:t>
      </w:r>
      <w:r w:rsidRPr="00DA7E4A">
        <w:rPr>
          <w:rFonts w:ascii="Times New Roman" w:hAnsi="Times New Roman" w:cs="Arial"/>
        </w:rPr>
        <w:t xml:space="preserve">v tomto </w:t>
      </w:r>
      <w:r w:rsidR="00F55345">
        <w:rPr>
          <w:rFonts w:ascii="Times New Roman" w:hAnsi="Times New Roman" w:cs="Arial"/>
        </w:rPr>
        <w:t>z</w:t>
      </w:r>
      <w:r w:rsidRPr="00DA7E4A">
        <w:rPr>
          <w:rFonts w:ascii="Times New Roman" w:hAnsi="Times New Roman" w:cs="Arial"/>
        </w:rPr>
        <w:t>ariadení.</w:t>
      </w:r>
    </w:p>
    <w:p w:rsidR="00E4612F" w:rsidP="00E700F5">
      <w:pPr>
        <w:numPr>
          <w:numId w:val="5"/>
        </w:numPr>
        <w:autoSpaceDE w:val="0"/>
        <w:autoSpaceDN w:val="0"/>
        <w:bidi w:val="0"/>
        <w:adjustRightInd w:val="0"/>
        <w:jc w:val="both"/>
        <w:rPr>
          <w:rFonts w:ascii="Times New Roman" w:hAnsi="Times New Roman"/>
        </w:rPr>
      </w:pPr>
    </w:p>
    <w:p w:rsidR="00C74A0F" w:rsidRPr="00DA7E4A" w:rsidP="00E700F5">
      <w:pPr>
        <w:numPr>
          <w:numId w:val="5"/>
        </w:numPr>
        <w:autoSpaceDE w:val="0"/>
        <w:autoSpaceDN w:val="0"/>
        <w:bidi w:val="0"/>
        <w:adjustRightInd w:val="0"/>
        <w:jc w:val="both"/>
        <w:rPr>
          <w:rFonts w:ascii="Times New Roman" w:hAnsi="Times New Roman"/>
        </w:rPr>
      </w:pPr>
      <w:r w:rsidRPr="00DA7E4A">
        <w:rPr>
          <w:rFonts w:ascii="Times New Roman" w:hAnsi="Times New Roman"/>
        </w:rPr>
        <w:t xml:space="preserve">Inšpekcie </w:t>
      </w:r>
      <w:r w:rsidR="00E4612F">
        <w:rPr>
          <w:rFonts w:ascii="Times New Roman" w:hAnsi="Times New Roman"/>
        </w:rPr>
        <w:t xml:space="preserve">na uvedených zariadeniach </w:t>
      </w:r>
      <w:r w:rsidRPr="00DA7E4A">
        <w:rPr>
          <w:rFonts w:ascii="Times New Roman" w:hAnsi="Times New Roman"/>
        </w:rPr>
        <w:t>boli predovšetkým zamerané na kontrolu bezpečnej prevádzky jednotlivých spracovateľských liniek a na kontrolu skladovania RAO.</w:t>
      </w:r>
      <w:r>
        <w:rPr>
          <w:rFonts w:ascii="Times New Roman" w:hAnsi="Times New Roman"/>
        </w:rPr>
        <w:t xml:space="preserve"> </w:t>
      </w:r>
    </w:p>
    <w:p w:rsidR="00990F7A" w:rsidRPr="00041419" w:rsidP="00E700F5">
      <w:pPr>
        <w:numPr>
          <w:numId w:val="5"/>
        </w:numPr>
        <w:autoSpaceDE w:val="0"/>
        <w:autoSpaceDN w:val="0"/>
        <w:bidi w:val="0"/>
        <w:adjustRightInd w:val="0"/>
        <w:jc w:val="both"/>
        <w:rPr>
          <w:rFonts w:ascii="Times New Roman" w:hAnsi="Times New Roman"/>
        </w:rPr>
      </w:pPr>
    </w:p>
    <w:p w:rsidR="001851C6" w:rsidRPr="00D95E1F" w:rsidP="00E700F5">
      <w:pPr>
        <w:pStyle w:val="BodyText"/>
        <w:numPr>
          <w:numId w:val="5"/>
        </w:numPr>
        <w:suppressLineNumbers/>
        <w:bidi w:val="0"/>
        <w:spacing w:before="100" w:beforeAutospacing="1"/>
        <w:rPr>
          <w:rFonts w:ascii="Times New Roman" w:hAnsi="Times New Roman"/>
          <w:bCs/>
          <w:i/>
          <w:iCs w:val="0"/>
        </w:rPr>
      </w:pPr>
      <w:r w:rsidRPr="00D95E1F">
        <w:rPr>
          <w:rFonts w:ascii="Times New Roman" w:hAnsi="Times New Roman"/>
          <w:bCs/>
          <w:i/>
          <w:iCs w:val="0"/>
        </w:rPr>
        <w:t xml:space="preserve">Záver: </w:t>
      </w:r>
    </w:p>
    <w:p w:rsidR="00990F7A" w:rsidRPr="00D95E1F" w:rsidP="00E700F5">
      <w:pPr>
        <w:numPr>
          <w:numId w:val="5"/>
        </w:numPr>
        <w:autoSpaceDE w:val="0"/>
        <w:autoSpaceDN w:val="0"/>
        <w:bidi w:val="0"/>
        <w:adjustRightInd w:val="0"/>
        <w:jc w:val="both"/>
        <w:rPr>
          <w:rFonts w:ascii="Times New Roman" w:hAnsi="Times New Roman"/>
          <w:i/>
          <w:szCs w:val="24"/>
        </w:rPr>
      </w:pPr>
      <w:r w:rsidRPr="00D95E1F">
        <w:rPr>
          <w:rFonts w:ascii="Times New Roman" w:hAnsi="Times New Roman"/>
          <w:bCs/>
          <w:i/>
        </w:rPr>
        <w:t xml:space="preserve">Na základe výsledkov kontrolnej činnosti </w:t>
      </w:r>
      <w:r w:rsidRPr="00D95E1F" w:rsidR="00EF7DC4">
        <w:rPr>
          <w:rFonts w:ascii="Times New Roman" w:hAnsi="Times New Roman"/>
          <w:bCs/>
          <w:i/>
        </w:rPr>
        <w:t>bola v roku 201</w:t>
      </w:r>
      <w:r w:rsidRPr="00D95E1F" w:rsidR="00F55345">
        <w:rPr>
          <w:rFonts w:ascii="Times New Roman" w:hAnsi="Times New Roman"/>
          <w:bCs/>
          <w:i/>
        </w:rPr>
        <w:t>1</w:t>
      </w:r>
      <w:r w:rsidRPr="00D95E1F">
        <w:rPr>
          <w:rFonts w:ascii="Times New Roman" w:hAnsi="Times New Roman"/>
          <w:bCs/>
          <w:i/>
        </w:rPr>
        <w:t xml:space="preserve"> prevádzka JZ Technológie na spracovanie a </w:t>
      </w:r>
      <w:r w:rsidRPr="00D95E1F">
        <w:rPr>
          <w:rFonts w:ascii="Times New Roman" w:hAnsi="Times New Roman"/>
          <w:bCs/>
          <w:i/>
          <w:szCs w:val="24"/>
        </w:rPr>
        <w:t>úpravu RAO hodnotená ako bezpečná</w:t>
      </w:r>
      <w:r w:rsidRPr="00D95E1F">
        <w:rPr>
          <w:rFonts w:ascii="Times New Roman" w:hAnsi="Times New Roman"/>
          <w:i/>
          <w:szCs w:val="24"/>
        </w:rPr>
        <w:t>.</w:t>
      </w:r>
    </w:p>
    <w:p w:rsidR="00A94493" w:rsidRPr="001851C6" w:rsidP="00E700F5">
      <w:pPr>
        <w:numPr>
          <w:numId w:val="5"/>
        </w:numPr>
        <w:autoSpaceDE w:val="0"/>
        <w:autoSpaceDN w:val="0"/>
        <w:bidi w:val="0"/>
        <w:adjustRightInd w:val="0"/>
        <w:jc w:val="both"/>
        <w:rPr>
          <w:rFonts w:ascii="Times New Roman" w:hAnsi="Times New Roman"/>
          <w:b/>
          <w:i/>
          <w:szCs w:val="24"/>
        </w:rPr>
      </w:pPr>
    </w:p>
    <w:p w:rsidR="00E00EC8" w:rsidRPr="001851C6" w:rsidP="00D95E1F">
      <w:pPr>
        <w:numPr>
          <w:numId w:val="5"/>
        </w:numPr>
        <w:bidi w:val="0"/>
        <w:jc w:val="both"/>
        <w:rPr>
          <w:rFonts w:ascii="Times New Roman" w:hAnsi="Times New Roman"/>
          <w:b/>
          <w:i/>
          <w:szCs w:val="24"/>
        </w:rPr>
      </w:pPr>
      <w:r w:rsidRPr="005575C3">
        <w:rPr>
          <w:rFonts w:ascii="Times New Roman" w:hAnsi="Times New Roman"/>
          <w:b/>
          <w:i/>
          <w:szCs w:val="24"/>
        </w:rPr>
        <w:t>c</w:t>
      </w:r>
      <w:r>
        <w:rPr>
          <w:rFonts w:ascii="Times New Roman" w:hAnsi="Times New Roman"/>
          <w:b/>
          <w:i/>
          <w:szCs w:val="24"/>
        </w:rPr>
        <w:t>)</w:t>
      </w:r>
      <w:r w:rsidRPr="001851C6">
        <w:rPr>
          <w:rFonts w:ascii="Times New Roman" w:hAnsi="Times New Roman"/>
          <w:b/>
          <w:i/>
          <w:szCs w:val="24"/>
        </w:rPr>
        <w:t xml:space="preserve"> Republikové </w:t>
      </w:r>
      <w:r w:rsidR="001440BC">
        <w:rPr>
          <w:rFonts w:ascii="Times New Roman" w:hAnsi="Times New Roman"/>
          <w:b/>
          <w:i/>
          <w:szCs w:val="24"/>
        </w:rPr>
        <w:t>ú</w:t>
      </w:r>
      <w:r w:rsidRPr="001851C6">
        <w:rPr>
          <w:rFonts w:ascii="Times New Roman" w:hAnsi="Times New Roman"/>
          <w:b/>
          <w:i/>
          <w:szCs w:val="24"/>
        </w:rPr>
        <w:t>ložisko rádioaktívnych odpadov Mochovce (R</w:t>
      </w:r>
      <w:r w:rsidR="00487733">
        <w:rPr>
          <w:rFonts w:ascii="Times New Roman" w:hAnsi="Times New Roman"/>
          <w:b/>
          <w:i/>
          <w:szCs w:val="24"/>
        </w:rPr>
        <w:t>U</w:t>
      </w:r>
      <w:r w:rsidRPr="001851C6">
        <w:rPr>
          <w:rFonts w:ascii="Times New Roman" w:hAnsi="Times New Roman"/>
          <w:b/>
          <w:i/>
          <w:szCs w:val="24"/>
        </w:rPr>
        <w:t xml:space="preserve"> RAO)</w:t>
      </w:r>
    </w:p>
    <w:p w:rsidR="001E0E3C" w:rsidP="00D95E1F">
      <w:pPr>
        <w:autoSpaceDE w:val="0"/>
        <w:autoSpaceDN w:val="0"/>
        <w:bidi w:val="0"/>
        <w:adjustRightInd w:val="0"/>
        <w:jc w:val="both"/>
        <w:rPr>
          <w:rFonts w:ascii="Times New Roman" w:hAnsi="Times New Roman"/>
        </w:rPr>
      </w:pPr>
      <w:r w:rsidRPr="00DA7E4A" w:rsidR="00C74A0F">
        <w:rPr>
          <w:rFonts w:ascii="Times New Roman" w:hAnsi="Times New Roman"/>
        </w:rPr>
        <w:t>RÚ RAO predstavuje multibariérové úložisko povrchového typu určené na konečné uloženie pevných a spevnených RAO, vznikajúcich pri prevádzke a vyraďovaní AE z prevádzky v SR. Prevádzkovateľom RÚ RAO v Mochovciach je JAVYS, a.</w:t>
      </w:r>
      <w:r w:rsidR="00E4612F">
        <w:rPr>
          <w:rFonts w:ascii="Times New Roman" w:hAnsi="Times New Roman"/>
        </w:rPr>
        <w:t> </w:t>
      </w:r>
      <w:r w:rsidRPr="00DA7E4A" w:rsidR="00C74A0F">
        <w:rPr>
          <w:rFonts w:ascii="Times New Roman" w:hAnsi="Times New Roman"/>
        </w:rPr>
        <w:t xml:space="preserve">s. </w:t>
      </w:r>
    </w:p>
    <w:p w:rsidR="00C74A0F" w:rsidRPr="00DA7E4A" w:rsidP="00F55345">
      <w:pPr>
        <w:autoSpaceDE w:val="0"/>
        <w:autoSpaceDN w:val="0"/>
        <w:bidi w:val="0"/>
        <w:adjustRightInd w:val="0"/>
        <w:jc w:val="both"/>
        <w:rPr>
          <w:rFonts w:ascii="Times New Roman" w:hAnsi="Times New Roman"/>
        </w:rPr>
      </w:pPr>
      <w:r w:rsidR="002627C1">
        <w:rPr>
          <w:rFonts w:ascii="Times New Roman" w:hAnsi="Times New Roman"/>
        </w:rPr>
        <w:t>S</w:t>
      </w:r>
      <w:r w:rsidRPr="00DA7E4A" w:rsidR="002627C1">
        <w:rPr>
          <w:rFonts w:ascii="Times New Roman" w:hAnsi="Times New Roman"/>
        </w:rPr>
        <w:t xml:space="preserve">právne konanie vo veci </w:t>
      </w:r>
      <w:r w:rsidR="002627C1">
        <w:rPr>
          <w:rFonts w:ascii="Times New Roman" w:hAnsi="Times New Roman"/>
        </w:rPr>
        <w:t xml:space="preserve">opätovného </w:t>
      </w:r>
      <w:r w:rsidRPr="00DA7E4A" w:rsidR="002627C1">
        <w:rPr>
          <w:rFonts w:ascii="Times New Roman" w:hAnsi="Times New Roman"/>
        </w:rPr>
        <w:t xml:space="preserve">vydania povolenia na ďalšie 10-ročné obdobie na prevádzku RÚ RAO, </w:t>
      </w:r>
      <w:r w:rsidR="002627C1">
        <w:rPr>
          <w:rFonts w:ascii="Times New Roman" w:hAnsi="Times New Roman"/>
        </w:rPr>
        <w:t>prvého a</w:t>
      </w:r>
      <w:r w:rsidRPr="00DA7E4A" w:rsidR="002627C1">
        <w:rPr>
          <w:rFonts w:ascii="Times New Roman" w:hAnsi="Times New Roman"/>
        </w:rPr>
        <w:t> </w:t>
      </w:r>
      <w:r w:rsidR="002627C1">
        <w:rPr>
          <w:rFonts w:ascii="Times New Roman" w:hAnsi="Times New Roman"/>
        </w:rPr>
        <w:t>druhého</w:t>
      </w:r>
      <w:r w:rsidRPr="00DA7E4A" w:rsidR="002627C1">
        <w:rPr>
          <w:rFonts w:ascii="Times New Roman" w:hAnsi="Times New Roman"/>
        </w:rPr>
        <w:t xml:space="preserve"> dvojrad</w:t>
      </w:r>
      <w:r w:rsidR="002627C1">
        <w:rPr>
          <w:rFonts w:ascii="Times New Roman" w:hAnsi="Times New Roman"/>
        </w:rPr>
        <w:t>u</w:t>
      </w:r>
      <w:r w:rsidRPr="00DA7E4A" w:rsidR="002627C1">
        <w:rPr>
          <w:rFonts w:ascii="Times New Roman" w:hAnsi="Times New Roman"/>
        </w:rPr>
        <w:t xml:space="preserve"> úložných boxov</w:t>
      </w:r>
      <w:r w:rsidR="002627C1">
        <w:rPr>
          <w:rFonts w:ascii="Times New Roman" w:hAnsi="Times New Roman"/>
        </w:rPr>
        <w:t>,</w:t>
      </w:r>
      <w:r w:rsidRPr="00DA7E4A" w:rsidR="002627C1">
        <w:rPr>
          <w:rFonts w:ascii="Times New Roman" w:hAnsi="Times New Roman"/>
        </w:rPr>
        <w:t xml:space="preserve"> začalo </w:t>
      </w:r>
      <w:r w:rsidR="002627C1">
        <w:rPr>
          <w:rFonts w:ascii="Times New Roman" w:hAnsi="Times New Roman"/>
        </w:rPr>
        <w:t>v</w:t>
      </w:r>
      <w:r w:rsidRPr="00DA7E4A">
        <w:rPr>
          <w:rFonts w:ascii="Times New Roman" w:hAnsi="Times New Roman"/>
        </w:rPr>
        <w:t> roku 2010. Predmetnej žiadosti JAVYS, a. s. predchádzalo periodické hodnotenie jadrovej bezpečnosti RÚ RAO</w:t>
      </w:r>
      <w:r w:rsidR="00811DE9">
        <w:rPr>
          <w:rFonts w:ascii="Times New Roman" w:hAnsi="Times New Roman"/>
        </w:rPr>
        <w:t>.</w:t>
      </w:r>
      <w:r w:rsidRPr="00DA7E4A">
        <w:rPr>
          <w:rFonts w:ascii="Times New Roman" w:hAnsi="Times New Roman"/>
        </w:rPr>
        <w:t xml:space="preserve"> Ú</w:t>
      </w:r>
      <w:r w:rsidR="005B7834">
        <w:rPr>
          <w:rFonts w:ascii="Times New Roman" w:hAnsi="Times New Roman"/>
        </w:rPr>
        <w:t>JD SR</w:t>
      </w:r>
      <w:r w:rsidRPr="00DA7E4A">
        <w:rPr>
          <w:rFonts w:ascii="Times New Roman" w:hAnsi="Times New Roman"/>
        </w:rPr>
        <w:t xml:space="preserve"> pri tomto posudzovaní využil aj nezávislé overenie analýz bezpečnosti. V procese periodického hodnotenia jadrovej bezpečnosti nebola identifikovaná taká bezpečnostne významná okolnosť, ktorá by bránila pokračovaniu prevádzky. </w:t>
      </w:r>
    </w:p>
    <w:p w:rsidR="00C74A0F" w:rsidRPr="00DA7E4A" w:rsidP="005B7834">
      <w:pPr>
        <w:autoSpaceDE w:val="0"/>
        <w:autoSpaceDN w:val="0"/>
        <w:bidi w:val="0"/>
        <w:adjustRightInd w:val="0"/>
        <w:jc w:val="both"/>
        <w:rPr>
          <w:rFonts w:ascii="Times New Roman" w:hAnsi="Times New Roman"/>
        </w:rPr>
      </w:pPr>
      <w:r w:rsidRPr="00DA7E4A">
        <w:rPr>
          <w:rFonts w:ascii="Times New Roman" w:hAnsi="Times New Roman"/>
        </w:rPr>
        <w:t>JAVYS, a.</w:t>
      </w:r>
      <w:r w:rsidR="009B1B07">
        <w:rPr>
          <w:rFonts w:ascii="Times New Roman" w:hAnsi="Times New Roman"/>
        </w:rPr>
        <w:t> </w:t>
      </w:r>
      <w:r w:rsidRPr="00DA7E4A">
        <w:rPr>
          <w:rFonts w:ascii="Times New Roman" w:hAnsi="Times New Roman"/>
        </w:rPr>
        <w:t xml:space="preserve">s. v nadväznosti na výsledky periodického hodnotenia predložil v r. 2011 zaktualizovanú verziu Predprevádzkovej bezpečnostnej správy, ku ktorej </w:t>
      </w:r>
      <w:r w:rsidR="005B7834">
        <w:rPr>
          <w:rFonts w:ascii="Times New Roman" w:hAnsi="Times New Roman"/>
        </w:rPr>
        <w:t>ÚJD SR</w:t>
      </w:r>
      <w:r w:rsidRPr="00DA7E4A">
        <w:rPr>
          <w:rFonts w:ascii="Times New Roman" w:hAnsi="Times New Roman"/>
        </w:rPr>
        <w:t xml:space="preserve"> po posúdení vydal rozhodnutím svoj súhlas.</w:t>
      </w:r>
      <w:r>
        <w:rPr>
          <w:rFonts w:ascii="Times New Roman" w:hAnsi="Times New Roman"/>
        </w:rPr>
        <w:t xml:space="preserve"> </w:t>
      </w:r>
      <w:r w:rsidR="005B7834">
        <w:rPr>
          <w:rFonts w:ascii="Times New Roman" w:hAnsi="Times New Roman"/>
        </w:rPr>
        <w:t>Ď</w:t>
      </w:r>
      <w:r w:rsidRPr="00DA7E4A">
        <w:rPr>
          <w:rFonts w:ascii="Times New Roman" w:hAnsi="Times New Roman"/>
        </w:rPr>
        <w:t>alej</w:t>
      </w:r>
      <w:r w:rsidR="005B7834">
        <w:rPr>
          <w:rFonts w:ascii="Times New Roman" w:hAnsi="Times New Roman"/>
        </w:rPr>
        <w:t xml:space="preserve"> sa</w:t>
      </w:r>
      <w:r w:rsidRPr="00DA7E4A">
        <w:rPr>
          <w:rFonts w:ascii="Times New Roman" w:hAnsi="Times New Roman"/>
        </w:rPr>
        <w:t xml:space="preserve"> overoval</w:t>
      </w:r>
      <w:r w:rsidR="005B7834">
        <w:rPr>
          <w:rFonts w:ascii="Times New Roman" w:hAnsi="Times New Roman"/>
        </w:rPr>
        <w:t>a</w:t>
      </w:r>
      <w:r w:rsidRPr="00DA7E4A">
        <w:rPr>
          <w:rFonts w:ascii="Times New Roman" w:hAnsi="Times New Roman"/>
        </w:rPr>
        <w:t xml:space="preserve"> predložen</w:t>
      </w:r>
      <w:r w:rsidR="005B7834">
        <w:rPr>
          <w:rFonts w:ascii="Times New Roman" w:hAnsi="Times New Roman"/>
        </w:rPr>
        <w:t>á</w:t>
      </w:r>
      <w:r w:rsidRPr="00DA7E4A">
        <w:rPr>
          <w:rFonts w:ascii="Times New Roman" w:hAnsi="Times New Roman"/>
        </w:rPr>
        <w:t xml:space="preserve"> dokumentáci</w:t>
      </w:r>
      <w:r w:rsidR="005B7834">
        <w:rPr>
          <w:rFonts w:ascii="Times New Roman" w:hAnsi="Times New Roman"/>
        </w:rPr>
        <w:t>a</w:t>
      </w:r>
      <w:r w:rsidRPr="00DA7E4A">
        <w:rPr>
          <w:rFonts w:ascii="Times New Roman" w:hAnsi="Times New Roman"/>
        </w:rPr>
        <w:t xml:space="preserve"> pre vydanie povolenia a</w:t>
      </w:r>
      <w:r w:rsidR="005B7834">
        <w:rPr>
          <w:rFonts w:ascii="Times New Roman" w:hAnsi="Times New Roman"/>
        </w:rPr>
        <w:t xml:space="preserve"> ÚJD SR </w:t>
      </w:r>
      <w:r w:rsidRPr="00DA7E4A">
        <w:rPr>
          <w:rFonts w:ascii="Times New Roman" w:hAnsi="Times New Roman"/>
        </w:rPr>
        <w:t>dospel k záveru, že sú splnené požiadavky atómového zákona a jeho vykonávacích predpisov</w:t>
      </w:r>
      <w:r w:rsidR="005B7834">
        <w:rPr>
          <w:rFonts w:ascii="Times New Roman" w:hAnsi="Times New Roman"/>
        </w:rPr>
        <w:t>.</w:t>
      </w:r>
      <w:r w:rsidRPr="00DA7E4A">
        <w:rPr>
          <w:rFonts w:ascii="Times New Roman" w:hAnsi="Times New Roman"/>
        </w:rPr>
        <w:t xml:space="preserve"> </w:t>
      </w:r>
      <w:r w:rsidR="005B7834">
        <w:rPr>
          <w:rFonts w:ascii="Times New Roman" w:hAnsi="Times New Roman"/>
        </w:rPr>
        <w:t>V</w:t>
      </w:r>
      <w:r w:rsidRPr="00DA7E4A">
        <w:rPr>
          <w:rFonts w:ascii="Times New Roman" w:hAnsi="Times New Roman"/>
        </w:rPr>
        <w:t xml:space="preserve"> auguste 2011 </w:t>
      </w:r>
      <w:r w:rsidR="005B7834">
        <w:rPr>
          <w:rFonts w:ascii="Times New Roman" w:hAnsi="Times New Roman"/>
        </w:rPr>
        <w:t xml:space="preserve">ÚJD SR </w:t>
      </w:r>
      <w:r w:rsidRPr="00DA7E4A">
        <w:rPr>
          <w:rFonts w:ascii="Times New Roman" w:hAnsi="Times New Roman"/>
        </w:rPr>
        <w:t>vyda</w:t>
      </w:r>
      <w:r w:rsidR="005B7834">
        <w:rPr>
          <w:rFonts w:ascii="Times New Roman" w:hAnsi="Times New Roman"/>
        </w:rPr>
        <w:t xml:space="preserve">l </w:t>
      </w:r>
      <w:r w:rsidRPr="00DA7E4A">
        <w:rPr>
          <w:rFonts w:ascii="Times New Roman" w:hAnsi="Times New Roman"/>
        </w:rPr>
        <w:t>záverečné rozhodnuti</w:t>
      </w:r>
      <w:r w:rsidR="005B7834">
        <w:rPr>
          <w:rFonts w:ascii="Times New Roman" w:hAnsi="Times New Roman"/>
        </w:rPr>
        <w:t>e</w:t>
      </w:r>
      <w:r w:rsidRPr="00DA7E4A">
        <w:rPr>
          <w:rFonts w:ascii="Times New Roman" w:hAnsi="Times New Roman"/>
        </w:rPr>
        <w:t>.</w:t>
      </w:r>
    </w:p>
    <w:p w:rsidR="00C74A0F" w:rsidRPr="00DA7E4A" w:rsidP="005B7834">
      <w:pPr>
        <w:autoSpaceDE w:val="0"/>
        <w:autoSpaceDN w:val="0"/>
        <w:bidi w:val="0"/>
        <w:adjustRightInd w:val="0"/>
        <w:jc w:val="both"/>
        <w:rPr>
          <w:rFonts w:ascii="Times New Roman" w:hAnsi="Times New Roman"/>
        </w:rPr>
      </w:pPr>
      <w:r w:rsidRPr="00DA7E4A">
        <w:rPr>
          <w:rFonts w:ascii="Times New Roman" w:hAnsi="Times New Roman"/>
        </w:rPr>
        <w:t xml:space="preserve">Celý proces posudzovania bol </w:t>
      </w:r>
      <w:r w:rsidR="005B7834">
        <w:rPr>
          <w:rFonts w:ascii="Times New Roman" w:hAnsi="Times New Roman"/>
        </w:rPr>
        <w:t>z</w:t>
      </w:r>
      <w:r w:rsidRPr="00DA7E4A">
        <w:rPr>
          <w:rFonts w:ascii="Times New Roman" w:hAnsi="Times New Roman"/>
        </w:rPr>
        <w:t xml:space="preserve">verejnený na webovej stránke </w:t>
      </w:r>
      <w:r w:rsidR="005B7834">
        <w:rPr>
          <w:rFonts w:ascii="Times New Roman" w:hAnsi="Times New Roman"/>
        </w:rPr>
        <w:t>ÚJD SR</w:t>
      </w:r>
      <w:r w:rsidRPr="00DA7E4A">
        <w:rPr>
          <w:rFonts w:ascii="Times New Roman" w:hAnsi="Times New Roman"/>
        </w:rPr>
        <w:t xml:space="preserve"> a o začatí správneho konania bola tiež písomne informovaná Občianska informačná komisia Mochovce. V priebehu doby zverejnenia </w:t>
      </w:r>
      <w:r w:rsidR="005B7834">
        <w:rPr>
          <w:rFonts w:ascii="Times New Roman" w:hAnsi="Times New Roman"/>
        </w:rPr>
        <w:t>ÚJD SR nedostal</w:t>
      </w:r>
      <w:r w:rsidRPr="00DA7E4A">
        <w:rPr>
          <w:rFonts w:ascii="Times New Roman" w:hAnsi="Times New Roman"/>
        </w:rPr>
        <w:t xml:space="preserve"> zo strany verejnosti </w:t>
      </w:r>
      <w:r w:rsidR="005B7834">
        <w:rPr>
          <w:rFonts w:ascii="Times New Roman" w:hAnsi="Times New Roman"/>
        </w:rPr>
        <w:t xml:space="preserve">a </w:t>
      </w:r>
      <w:r w:rsidRPr="00DA7E4A">
        <w:rPr>
          <w:rFonts w:ascii="Times New Roman" w:hAnsi="Times New Roman"/>
        </w:rPr>
        <w:t>ani iných organizácií žiadnu požiadavku so záujmom vstúpiť do správneho konania.</w:t>
      </w:r>
    </w:p>
    <w:p w:rsidR="009B1B07" w:rsidP="005B7834">
      <w:pPr>
        <w:autoSpaceDE w:val="0"/>
        <w:autoSpaceDN w:val="0"/>
        <w:bidi w:val="0"/>
        <w:adjustRightInd w:val="0"/>
        <w:jc w:val="both"/>
        <w:rPr>
          <w:rFonts w:ascii="Times New Roman" w:hAnsi="Times New Roman"/>
        </w:rPr>
      </w:pPr>
    </w:p>
    <w:p w:rsidR="009B1B07" w:rsidP="005B7834">
      <w:pPr>
        <w:autoSpaceDE w:val="0"/>
        <w:autoSpaceDN w:val="0"/>
        <w:bidi w:val="0"/>
        <w:adjustRightInd w:val="0"/>
        <w:jc w:val="both"/>
        <w:rPr>
          <w:rFonts w:ascii="Times New Roman" w:hAnsi="Times New Roman"/>
        </w:rPr>
      </w:pPr>
      <w:r w:rsidR="002627C1">
        <w:rPr>
          <w:rFonts w:ascii="Times New Roman" w:hAnsi="Times New Roman"/>
        </w:rPr>
        <w:t>V</w:t>
      </w:r>
      <w:r w:rsidRPr="00DA7E4A" w:rsidR="002627C1">
        <w:rPr>
          <w:rFonts w:ascii="Times New Roman" w:hAnsi="Times New Roman"/>
        </w:rPr>
        <w:t> priebehu roka 2</w:t>
      </w:r>
      <w:r w:rsidR="002627C1">
        <w:rPr>
          <w:rFonts w:ascii="Times New Roman" w:hAnsi="Times New Roman"/>
        </w:rPr>
        <w:t>011 bolo uložených 317 ks VBK, d</w:t>
      </w:r>
      <w:r w:rsidRPr="00DA7E4A" w:rsidR="00C74A0F">
        <w:rPr>
          <w:rFonts w:ascii="Times New Roman" w:hAnsi="Times New Roman"/>
        </w:rPr>
        <w:t>o konca r</w:t>
      </w:r>
      <w:r w:rsidR="002627C1">
        <w:rPr>
          <w:rFonts w:ascii="Times New Roman" w:hAnsi="Times New Roman"/>
        </w:rPr>
        <w:t>oka</w:t>
      </w:r>
      <w:r w:rsidRPr="00DA7E4A" w:rsidR="00C74A0F">
        <w:rPr>
          <w:rFonts w:ascii="Times New Roman" w:hAnsi="Times New Roman"/>
        </w:rPr>
        <w:t xml:space="preserve"> 2011 bolo </w:t>
      </w:r>
      <w:r w:rsidR="005B7834">
        <w:rPr>
          <w:rFonts w:ascii="Times New Roman" w:hAnsi="Times New Roman"/>
        </w:rPr>
        <w:t>spolu</w:t>
      </w:r>
      <w:r w:rsidRPr="00DA7E4A" w:rsidR="00C74A0F">
        <w:rPr>
          <w:rFonts w:ascii="Times New Roman" w:hAnsi="Times New Roman"/>
        </w:rPr>
        <w:t xml:space="preserve"> uložených 2788 ks VBK</w:t>
      </w:r>
      <w:r w:rsidR="002627C1">
        <w:rPr>
          <w:rFonts w:ascii="Times New Roman" w:hAnsi="Times New Roman"/>
        </w:rPr>
        <w:t>.</w:t>
      </w:r>
      <w:r w:rsidRPr="00DA7E4A" w:rsidR="00C74A0F">
        <w:rPr>
          <w:rFonts w:ascii="Times New Roman" w:hAnsi="Times New Roman"/>
        </w:rPr>
        <w:t xml:space="preserve"> </w:t>
      </w:r>
    </w:p>
    <w:p w:rsidR="002627C1" w:rsidP="009B1B07">
      <w:pPr>
        <w:autoSpaceDE w:val="0"/>
        <w:autoSpaceDN w:val="0"/>
        <w:bidi w:val="0"/>
        <w:adjustRightInd w:val="0"/>
        <w:jc w:val="both"/>
        <w:rPr>
          <w:rFonts w:ascii="Times New Roman" w:hAnsi="Times New Roman"/>
        </w:rPr>
      </w:pPr>
    </w:p>
    <w:p w:rsidR="00C74A0F" w:rsidRPr="00DA7E4A" w:rsidP="009B1B07">
      <w:pPr>
        <w:autoSpaceDE w:val="0"/>
        <w:autoSpaceDN w:val="0"/>
        <w:bidi w:val="0"/>
        <w:adjustRightInd w:val="0"/>
        <w:jc w:val="both"/>
        <w:rPr>
          <w:rFonts w:ascii="Times New Roman" w:hAnsi="Times New Roman"/>
          <w:color w:val="333333"/>
          <w:sz w:val="28"/>
          <w:szCs w:val="28"/>
        </w:rPr>
      </w:pPr>
      <w:r w:rsidRPr="00DA7E4A">
        <w:rPr>
          <w:rFonts w:ascii="Times New Roman" w:hAnsi="Times New Roman"/>
        </w:rPr>
        <w:t xml:space="preserve">Inšpekčná činnosť v RÚ RAO bola v roku 2011 zameraná najmä na preverovanie podkladov k vydaniu povolenia na ďalšiu prevádzku. </w:t>
      </w:r>
    </w:p>
    <w:p w:rsidR="00BC73CA" w:rsidRPr="00BC73CA" w:rsidP="009B1B07">
      <w:pPr>
        <w:pStyle w:val="BodyText"/>
        <w:numPr>
          <w:numId w:val="5"/>
        </w:numPr>
        <w:suppressLineNumbers/>
        <w:bidi w:val="0"/>
        <w:rPr>
          <w:rFonts w:ascii="Times New Roman" w:hAnsi="Times New Roman"/>
          <w:b/>
          <w:bCs/>
          <w:i/>
          <w:iCs w:val="0"/>
        </w:rPr>
      </w:pPr>
    </w:p>
    <w:p w:rsidR="00D61781" w:rsidRPr="00D95E1F" w:rsidP="009B1B07">
      <w:pPr>
        <w:pStyle w:val="BodyText"/>
        <w:numPr>
          <w:numId w:val="5"/>
        </w:numPr>
        <w:suppressLineNumbers/>
        <w:bidi w:val="0"/>
        <w:rPr>
          <w:rFonts w:ascii="Times New Roman" w:hAnsi="Times New Roman"/>
          <w:bCs/>
          <w:i/>
          <w:iCs w:val="0"/>
        </w:rPr>
      </w:pPr>
      <w:r w:rsidRPr="00D95E1F">
        <w:rPr>
          <w:rFonts w:ascii="Times New Roman" w:hAnsi="Times New Roman"/>
          <w:bCs/>
          <w:i/>
          <w:iCs w:val="0"/>
        </w:rPr>
        <w:t xml:space="preserve">Záver: </w:t>
      </w:r>
    </w:p>
    <w:p w:rsidR="00D61781" w:rsidRPr="00D95E1F" w:rsidP="00E700F5">
      <w:pPr>
        <w:numPr>
          <w:numId w:val="5"/>
        </w:numPr>
        <w:autoSpaceDE w:val="0"/>
        <w:autoSpaceDN w:val="0"/>
        <w:bidi w:val="0"/>
        <w:adjustRightInd w:val="0"/>
        <w:jc w:val="both"/>
        <w:rPr>
          <w:rFonts w:ascii="Times New Roman" w:hAnsi="Times New Roman"/>
          <w:i/>
          <w:szCs w:val="24"/>
        </w:rPr>
      </w:pPr>
      <w:r w:rsidRPr="00D95E1F">
        <w:rPr>
          <w:rFonts w:ascii="Times New Roman" w:hAnsi="Times New Roman"/>
          <w:i/>
        </w:rPr>
        <w:t xml:space="preserve">Na základe kontrolných činností ÚJD SR možno hodnotiť prevádzku JZ Republikové úložisko rádioaktívnych odpadov Mochovce ako bezpečnú </w:t>
      </w:r>
      <w:r w:rsidRPr="00D95E1F" w:rsidR="00811DE9">
        <w:rPr>
          <w:rFonts w:ascii="Times New Roman" w:hAnsi="Times New Roman"/>
          <w:i/>
        </w:rPr>
        <w:t>so zanedbateľným</w:t>
      </w:r>
      <w:r w:rsidRPr="00D95E1F">
        <w:rPr>
          <w:rFonts w:ascii="Times New Roman" w:hAnsi="Times New Roman"/>
          <w:i/>
        </w:rPr>
        <w:t xml:space="preserve"> vplyv</w:t>
      </w:r>
      <w:r w:rsidRPr="00D95E1F" w:rsidR="00811DE9">
        <w:rPr>
          <w:rFonts w:ascii="Times New Roman" w:hAnsi="Times New Roman"/>
          <w:i/>
        </w:rPr>
        <w:t>om</w:t>
      </w:r>
      <w:r w:rsidRPr="00D95E1F">
        <w:rPr>
          <w:rFonts w:ascii="Times New Roman" w:hAnsi="Times New Roman"/>
          <w:i/>
        </w:rPr>
        <w:t xml:space="preserve"> na životné prostredie.</w:t>
      </w:r>
    </w:p>
    <w:p w:rsidR="00811DE9" w:rsidRPr="00D61781" w:rsidP="00D61781">
      <w:pPr>
        <w:autoSpaceDE w:val="0"/>
        <w:autoSpaceDN w:val="0"/>
        <w:bidi w:val="0"/>
        <w:adjustRightInd w:val="0"/>
        <w:jc w:val="both"/>
        <w:rPr>
          <w:rFonts w:ascii="Times New Roman" w:hAnsi="Times New Roman"/>
          <w:color w:val="333333"/>
          <w:sz w:val="28"/>
          <w:szCs w:val="28"/>
        </w:rPr>
      </w:pPr>
    </w:p>
    <w:p w:rsidR="00E00EC8" w:rsidRPr="003248CF" w:rsidP="00D95E1F">
      <w:pPr>
        <w:numPr>
          <w:numId w:val="5"/>
        </w:numPr>
        <w:bidi w:val="0"/>
        <w:jc w:val="both"/>
        <w:rPr>
          <w:rFonts w:ascii="Times New Roman" w:hAnsi="Times New Roman"/>
          <w:b/>
          <w:i/>
          <w:szCs w:val="24"/>
        </w:rPr>
      </w:pPr>
      <w:r w:rsidRPr="003248CF">
        <w:rPr>
          <w:rFonts w:ascii="Times New Roman" w:hAnsi="Times New Roman"/>
          <w:b/>
          <w:i/>
          <w:szCs w:val="24"/>
        </w:rPr>
        <w:t>d</w:t>
      </w:r>
      <w:r>
        <w:rPr>
          <w:rFonts w:ascii="Times New Roman" w:hAnsi="Times New Roman"/>
          <w:b/>
          <w:i/>
          <w:szCs w:val="24"/>
        </w:rPr>
        <w:t>)</w:t>
      </w:r>
      <w:r w:rsidRPr="003248CF">
        <w:rPr>
          <w:rFonts w:ascii="Times New Roman" w:hAnsi="Times New Roman"/>
          <w:b/>
          <w:i/>
          <w:szCs w:val="24"/>
        </w:rPr>
        <w:t xml:space="preserve"> Finálne spracovanie kvapalných RAO, Mochovce (FS KRAO)</w:t>
      </w:r>
    </w:p>
    <w:p w:rsidR="00C74A0F" w:rsidRPr="00DA7E4A" w:rsidP="00D95E1F">
      <w:pPr>
        <w:numPr>
          <w:numId w:val="5"/>
        </w:numPr>
        <w:autoSpaceDE w:val="0"/>
        <w:autoSpaceDN w:val="0"/>
        <w:bidi w:val="0"/>
        <w:adjustRightInd w:val="0"/>
        <w:jc w:val="both"/>
        <w:rPr>
          <w:rFonts w:ascii="Times New Roman" w:hAnsi="Times New Roman"/>
        </w:rPr>
      </w:pPr>
      <w:r w:rsidRPr="00DA7E4A">
        <w:rPr>
          <w:rFonts w:ascii="Times New Roman" w:hAnsi="Times New Roman"/>
        </w:rPr>
        <w:t>FS KRAO je vo vlastníctve JAVYS, a.</w:t>
      </w:r>
      <w:r w:rsidR="009B1B07">
        <w:rPr>
          <w:rFonts w:ascii="Times New Roman" w:hAnsi="Times New Roman"/>
        </w:rPr>
        <w:t> </w:t>
      </w:r>
      <w:r w:rsidRPr="00DA7E4A">
        <w:rPr>
          <w:rFonts w:ascii="Times New Roman" w:hAnsi="Times New Roman"/>
        </w:rPr>
        <w:t>s. a slúži k finálnemu spracovaniu kvapalných RAO z prevádzky AE Mochovce do formy vhodnej na uloženie v RÚ RAO. Technológia je zložená z dvoch samostatných procesov a to z bitúmenácie a cementácie.</w:t>
      </w:r>
    </w:p>
    <w:p w:rsidR="009B1B07" w:rsidP="00D95E1F">
      <w:pPr>
        <w:numPr>
          <w:numId w:val="5"/>
        </w:numPr>
        <w:autoSpaceDE w:val="0"/>
        <w:autoSpaceDN w:val="0"/>
        <w:bidi w:val="0"/>
        <w:adjustRightInd w:val="0"/>
        <w:jc w:val="both"/>
        <w:rPr>
          <w:rFonts w:ascii="Times New Roman" w:hAnsi="Times New Roman"/>
        </w:rPr>
      </w:pPr>
    </w:p>
    <w:p w:rsidR="00C74A0F" w:rsidP="00D95E1F">
      <w:pPr>
        <w:numPr>
          <w:numId w:val="5"/>
        </w:numPr>
        <w:autoSpaceDE w:val="0"/>
        <w:autoSpaceDN w:val="0"/>
        <w:bidi w:val="0"/>
        <w:adjustRightInd w:val="0"/>
        <w:jc w:val="both"/>
        <w:rPr>
          <w:rFonts w:ascii="Times New Roman" w:hAnsi="Times New Roman"/>
        </w:rPr>
      </w:pPr>
      <w:r w:rsidRPr="00DA7E4A">
        <w:rPr>
          <w:rFonts w:ascii="Times New Roman" w:hAnsi="Times New Roman"/>
        </w:rPr>
        <w:t xml:space="preserve">Inšpekčná činnosť na FS KRAO bola v roku 2011 zameraná na kontrolu dodržiavania podmienok jadrovej bezpečnosti a požiadaviek dozoru pri nakladaní s RAO a minimalizáciu tvorby RAO. </w:t>
      </w:r>
    </w:p>
    <w:p w:rsidR="00D95E1F" w:rsidP="00D95E1F">
      <w:pPr>
        <w:bidi w:val="0"/>
        <w:jc w:val="both"/>
        <w:rPr>
          <w:rFonts w:ascii="Times New Roman" w:hAnsi="Times New Roman"/>
          <w:szCs w:val="24"/>
        </w:rPr>
      </w:pPr>
    </w:p>
    <w:p w:rsidR="009B1B07" w:rsidRPr="00D95E1F" w:rsidP="00D95E1F">
      <w:pPr>
        <w:bidi w:val="0"/>
        <w:jc w:val="both"/>
        <w:rPr>
          <w:rFonts w:ascii="Times New Roman" w:hAnsi="Times New Roman"/>
          <w:i/>
          <w:szCs w:val="24"/>
        </w:rPr>
      </w:pPr>
      <w:r w:rsidRPr="00D95E1F" w:rsidR="00D95E1F">
        <w:rPr>
          <w:rFonts w:ascii="Times New Roman" w:hAnsi="Times New Roman"/>
          <w:i/>
          <w:szCs w:val="24"/>
        </w:rPr>
        <w:t>Záver:</w:t>
      </w:r>
    </w:p>
    <w:p w:rsidR="00164BA1" w:rsidRPr="00D95E1F" w:rsidP="00164BA1">
      <w:pPr>
        <w:numPr>
          <w:numId w:val="5"/>
        </w:numPr>
        <w:autoSpaceDE w:val="0"/>
        <w:autoSpaceDN w:val="0"/>
        <w:bidi w:val="0"/>
        <w:adjustRightInd w:val="0"/>
        <w:jc w:val="both"/>
        <w:rPr>
          <w:rFonts w:ascii="Times New Roman" w:hAnsi="Times New Roman"/>
          <w:i/>
          <w:szCs w:val="24"/>
        </w:rPr>
      </w:pPr>
      <w:r w:rsidRPr="00D95E1F">
        <w:rPr>
          <w:rFonts w:ascii="Times New Roman" w:hAnsi="Times New Roman"/>
          <w:bCs/>
          <w:i/>
        </w:rPr>
        <w:t xml:space="preserve">Na základe výsledkov kontrolnej činnosti </w:t>
      </w:r>
      <w:r w:rsidR="005364E5">
        <w:rPr>
          <w:rFonts w:ascii="Times New Roman" w:hAnsi="Times New Roman"/>
          <w:bCs/>
          <w:i/>
        </w:rPr>
        <w:t xml:space="preserve">ÚJD SR </w:t>
      </w:r>
      <w:r w:rsidRPr="00D95E1F">
        <w:rPr>
          <w:rFonts w:ascii="Times New Roman" w:hAnsi="Times New Roman"/>
          <w:bCs/>
          <w:i/>
        </w:rPr>
        <w:t xml:space="preserve">bola v roku 2011 prevádzka </w:t>
      </w:r>
      <w:r>
        <w:rPr>
          <w:rFonts w:ascii="Times New Roman" w:hAnsi="Times New Roman"/>
          <w:bCs/>
          <w:i/>
        </w:rPr>
        <w:t>FS K</w:t>
      </w:r>
      <w:r w:rsidRPr="00D95E1F">
        <w:rPr>
          <w:rFonts w:ascii="Times New Roman" w:hAnsi="Times New Roman"/>
          <w:bCs/>
          <w:i/>
          <w:szCs w:val="24"/>
        </w:rPr>
        <w:t>RAO hodnotená ako bezpečná</w:t>
      </w:r>
      <w:r w:rsidRPr="00D95E1F">
        <w:rPr>
          <w:rFonts w:ascii="Times New Roman" w:hAnsi="Times New Roman"/>
          <w:i/>
          <w:szCs w:val="24"/>
        </w:rPr>
        <w:t>.</w:t>
      </w:r>
    </w:p>
    <w:p w:rsidR="00C74A0F" w:rsidRPr="00D95E1F" w:rsidP="00BC73CA">
      <w:pPr>
        <w:numPr>
          <w:numId w:val="5"/>
        </w:numPr>
        <w:bidi w:val="0"/>
        <w:jc w:val="both"/>
        <w:rPr>
          <w:rFonts w:ascii="Times New Roman" w:hAnsi="Times New Roman"/>
          <w:i/>
          <w:szCs w:val="24"/>
        </w:rPr>
      </w:pPr>
      <w:r w:rsidRPr="00D95E1F">
        <w:rPr>
          <w:rFonts w:ascii="Times New Roman" w:hAnsi="Times New Roman"/>
          <w:i/>
        </w:rPr>
        <w:t>.</w:t>
      </w:r>
    </w:p>
    <w:p w:rsidR="00E00EC8" w:rsidRPr="00BC73CA" w:rsidP="00EF7DC4">
      <w:pPr>
        <w:numPr>
          <w:numId w:val="5"/>
        </w:numPr>
        <w:bidi w:val="0"/>
        <w:jc w:val="both"/>
        <w:rPr>
          <w:rFonts w:ascii="Times New Roman" w:hAnsi="Times New Roman"/>
          <w:sz w:val="28"/>
          <w:szCs w:val="28"/>
        </w:rPr>
      </w:pPr>
    </w:p>
    <w:p w:rsidR="00E00EC8" w:rsidRPr="00BC0F6F" w:rsidP="00E00EC8">
      <w:pPr>
        <w:pStyle w:val="Heading4"/>
        <w:tabs>
          <w:tab w:val="num" w:pos="1364"/>
          <w:tab w:val="clear" w:pos="1800"/>
        </w:tabs>
        <w:bidi w:val="0"/>
        <w:ind w:left="794" w:hanging="794"/>
        <w:rPr>
          <w:rFonts w:ascii="Times New Roman" w:hAnsi="Times New Roman"/>
          <w:i/>
          <w:szCs w:val="24"/>
        </w:rPr>
      </w:pPr>
      <w:bookmarkStart w:id="64" w:name="_Toc320719723"/>
      <w:r w:rsidRPr="00BC0F6F">
        <w:rPr>
          <w:rFonts w:ascii="Times New Roman" w:hAnsi="Times New Roman"/>
          <w:i/>
          <w:szCs w:val="24"/>
        </w:rPr>
        <w:t xml:space="preserve"> </w:t>
      </w:r>
      <w:r w:rsidRPr="00BC0F6F">
        <w:rPr>
          <w:rFonts w:ascii="Times New Roman" w:hAnsi="Times New Roman"/>
          <w:szCs w:val="24"/>
        </w:rPr>
        <w:t>Iné jadrové zariadenia vo vyraďovaní</w:t>
      </w:r>
      <w:bookmarkEnd w:id="64"/>
    </w:p>
    <w:p w:rsidR="00E00EC8" w:rsidRPr="003248CF" w:rsidP="00E00EC8">
      <w:pPr>
        <w:bidi w:val="0"/>
        <w:rPr>
          <w:rFonts w:ascii="Times New Roman" w:hAnsi="Times New Roman"/>
          <w:b/>
          <w:i/>
          <w:szCs w:val="24"/>
        </w:rPr>
      </w:pPr>
    </w:p>
    <w:p w:rsidR="00E00EC8" w:rsidRPr="003248CF" w:rsidP="00D95E1F">
      <w:pPr>
        <w:numPr>
          <w:numId w:val="5"/>
        </w:numPr>
        <w:bidi w:val="0"/>
        <w:rPr>
          <w:rFonts w:ascii="Times New Roman" w:hAnsi="Times New Roman"/>
          <w:b/>
          <w:i/>
          <w:szCs w:val="24"/>
        </w:rPr>
      </w:pPr>
      <w:r w:rsidRPr="003248CF">
        <w:rPr>
          <w:rFonts w:ascii="Times New Roman" w:hAnsi="Times New Roman"/>
          <w:b/>
          <w:i/>
          <w:szCs w:val="24"/>
        </w:rPr>
        <w:t>Jadrové zariadenia VUJE, a.</w:t>
      </w:r>
      <w:r w:rsidR="009B1B07">
        <w:rPr>
          <w:rFonts w:ascii="Times New Roman" w:hAnsi="Times New Roman"/>
          <w:b/>
          <w:i/>
          <w:szCs w:val="24"/>
        </w:rPr>
        <w:t> </w:t>
      </w:r>
      <w:r w:rsidRPr="003248CF">
        <w:rPr>
          <w:rFonts w:ascii="Times New Roman" w:hAnsi="Times New Roman"/>
          <w:b/>
          <w:i/>
          <w:szCs w:val="24"/>
        </w:rPr>
        <w:t>s.</w:t>
      </w:r>
    </w:p>
    <w:p w:rsidR="00C74A0F" w:rsidRPr="00DA7E4A" w:rsidP="00D95E1F">
      <w:pPr>
        <w:numPr>
          <w:numId w:val="5"/>
        </w:numPr>
        <w:autoSpaceDE w:val="0"/>
        <w:autoSpaceDN w:val="0"/>
        <w:bidi w:val="0"/>
        <w:adjustRightInd w:val="0"/>
        <w:jc w:val="both"/>
        <w:rPr>
          <w:rFonts w:ascii="Times New Roman" w:hAnsi="Times New Roman"/>
        </w:rPr>
      </w:pPr>
      <w:r w:rsidR="005B7834">
        <w:rPr>
          <w:rFonts w:ascii="Times New Roman" w:hAnsi="Times New Roman"/>
        </w:rPr>
        <w:t>S</w:t>
      </w:r>
      <w:r w:rsidRPr="00DA7E4A">
        <w:rPr>
          <w:rFonts w:ascii="Times New Roman" w:hAnsi="Times New Roman"/>
        </w:rPr>
        <w:t>poločnosť VUJE, a.</w:t>
      </w:r>
      <w:r w:rsidR="009B1B07">
        <w:rPr>
          <w:rFonts w:ascii="Times New Roman" w:hAnsi="Times New Roman"/>
        </w:rPr>
        <w:t> </w:t>
      </w:r>
      <w:r w:rsidRPr="00DA7E4A">
        <w:rPr>
          <w:rFonts w:ascii="Times New Roman" w:hAnsi="Times New Roman"/>
        </w:rPr>
        <w:t>s., vlastní dve experimentálne JZ – bitúmenačnú linku (ďalej „EBL“) a spaľovňu RAO (ďalej „ESV“).</w:t>
      </w:r>
    </w:p>
    <w:p w:rsidR="00C74A0F" w:rsidRPr="00DA7E4A" w:rsidP="00E700F5">
      <w:pPr>
        <w:numPr>
          <w:numId w:val="5"/>
        </w:numPr>
        <w:bidi w:val="0"/>
        <w:spacing w:after="120"/>
        <w:jc w:val="both"/>
        <w:rPr>
          <w:rFonts w:ascii="Times New Roman" w:hAnsi="Times New Roman"/>
        </w:rPr>
      </w:pPr>
      <w:r w:rsidRPr="00DA7E4A">
        <w:rPr>
          <w:rFonts w:ascii="Times New Roman" w:hAnsi="Times New Roman"/>
        </w:rPr>
        <w:t xml:space="preserve">Činnosti z vyraďovania oboch JZ už spadajú do II. etapy, </w:t>
      </w:r>
      <w:r w:rsidR="001E0E3C">
        <w:rPr>
          <w:rFonts w:ascii="Times New Roman" w:hAnsi="Times New Roman"/>
        </w:rPr>
        <w:t>ktorej</w:t>
      </w:r>
      <w:r w:rsidRPr="00DA7E4A">
        <w:rPr>
          <w:rFonts w:ascii="Times New Roman" w:hAnsi="Times New Roman"/>
        </w:rPr>
        <w:t xml:space="preserve"> </w:t>
      </w:r>
      <w:r w:rsidR="009B1B07">
        <w:rPr>
          <w:rFonts w:ascii="Times New Roman" w:hAnsi="Times New Roman"/>
        </w:rPr>
        <w:t>p</w:t>
      </w:r>
      <w:r w:rsidRPr="00DA7E4A" w:rsidR="009B1B07">
        <w:rPr>
          <w:rFonts w:ascii="Times New Roman" w:hAnsi="Times New Roman"/>
        </w:rPr>
        <w:t xml:space="preserve">redmetom </w:t>
      </w:r>
      <w:r w:rsidRPr="00DA7E4A">
        <w:rPr>
          <w:rFonts w:ascii="Times New Roman" w:hAnsi="Times New Roman"/>
        </w:rPr>
        <w:t xml:space="preserve">je dekontaminácia a demontáž </w:t>
      </w:r>
      <w:r w:rsidR="001E0E3C">
        <w:rPr>
          <w:rFonts w:ascii="Times New Roman" w:hAnsi="Times New Roman"/>
        </w:rPr>
        <w:t xml:space="preserve">oboch </w:t>
      </w:r>
      <w:r w:rsidRPr="00DA7E4A">
        <w:rPr>
          <w:rFonts w:ascii="Times New Roman" w:hAnsi="Times New Roman"/>
        </w:rPr>
        <w:t>zariadení</w:t>
      </w:r>
      <w:r w:rsidR="001E0E3C">
        <w:rPr>
          <w:rFonts w:ascii="Times New Roman" w:hAnsi="Times New Roman"/>
        </w:rPr>
        <w:t>.</w:t>
      </w:r>
      <w:r w:rsidRPr="00DA7E4A">
        <w:rPr>
          <w:rFonts w:ascii="Times New Roman" w:hAnsi="Times New Roman"/>
        </w:rPr>
        <w:t xml:space="preserve"> Ukončenie procesu vyraďovania je pre spaľovňu naplánované v roku 2013 a pre bitúmenačnú linku v roku 2015. Účelom prác vykonávaných v roku 2011 bolo zdemontovať, roztriediť a zlikvidovať všetky technologické zariadenia brídového hospodárstva EBL. </w:t>
      </w:r>
    </w:p>
    <w:p w:rsidR="00C74A0F" w:rsidRPr="00DA7E4A" w:rsidP="00E700F5">
      <w:pPr>
        <w:numPr>
          <w:numId w:val="5"/>
        </w:numPr>
        <w:autoSpaceDE w:val="0"/>
        <w:autoSpaceDN w:val="0"/>
        <w:bidi w:val="0"/>
        <w:adjustRightInd w:val="0"/>
        <w:jc w:val="both"/>
        <w:rPr>
          <w:rFonts w:ascii="Times New Roman" w:hAnsi="Times New Roman"/>
        </w:rPr>
      </w:pPr>
      <w:r w:rsidRPr="00DA7E4A">
        <w:rPr>
          <w:rFonts w:ascii="Times New Roman" w:hAnsi="Times New Roman"/>
        </w:rPr>
        <w:t>Plánovaná inšpekcia bola zameraná na kontrolu súladu realizácie II. etapy vyraďovania s podmienkami príslušných rozhodnutí,</w:t>
      </w:r>
      <w:r>
        <w:rPr>
          <w:rFonts w:ascii="Times New Roman" w:hAnsi="Times New Roman"/>
        </w:rPr>
        <w:t xml:space="preserve"> </w:t>
      </w:r>
      <w:r w:rsidRPr="00DA7E4A">
        <w:rPr>
          <w:rFonts w:ascii="Times New Roman" w:hAnsi="Times New Roman"/>
        </w:rPr>
        <w:t>spôsobu nakladania s RAO, realizácie prepráv a zasielania hlásení ÚJD SR.</w:t>
      </w:r>
    </w:p>
    <w:p w:rsidR="00C74A0F" w:rsidRPr="00DA7E4A" w:rsidP="00E700F5">
      <w:pPr>
        <w:numPr>
          <w:numId w:val="5"/>
        </w:numPr>
        <w:autoSpaceDE w:val="0"/>
        <w:autoSpaceDN w:val="0"/>
        <w:bidi w:val="0"/>
        <w:adjustRightInd w:val="0"/>
        <w:jc w:val="both"/>
        <w:rPr>
          <w:rFonts w:ascii="Times New Roman" w:hAnsi="Times New Roman"/>
          <w:sz w:val="28"/>
          <w:szCs w:val="28"/>
        </w:rPr>
      </w:pPr>
    </w:p>
    <w:p w:rsidR="00E00EC8" w:rsidP="00E00EC8">
      <w:pPr>
        <w:tabs>
          <w:tab w:val="left" w:pos="284"/>
        </w:tabs>
        <w:bidi w:val="0"/>
        <w:jc w:val="both"/>
        <w:rPr>
          <w:rFonts w:ascii="Times New Roman" w:hAnsi="Times New Roman"/>
        </w:rPr>
      </w:pPr>
    </w:p>
    <w:p w:rsidR="00EF21C1" w:rsidP="00E00EC8">
      <w:pPr>
        <w:tabs>
          <w:tab w:val="left" w:pos="284"/>
        </w:tabs>
        <w:bidi w:val="0"/>
        <w:jc w:val="both"/>
        <w:rPr>
          <w:rFonts w:ascii="Times New Roman" w:hAnsi="Times New Roman"/>
        </w:rPr>
      </w:pPr>
    </w:p>
    <w:p w:rsidR="00EF21C1" w:rsidP="00E00EC8">
      <w:pPr>
        <w:tabs>
          <w:tab w:val="left" w:pos="284"/>
        </w:tabs>
        <w:bidi w:val="0"/>
        <w:jc w:val="both"/>
        <w:rPr>
          <w:rFonts w:ascii="Times New Roman" w:hAnsi="Times New Roman"/>
        </w:rPr>
      </w:pPr>
    </w:p>
    <w:p w:rsidR="00E00EC8" w:rsidRPr="00810275" w:rsidP="006D0191">
      <w:pPr>
        <w:pStyle w:val="Heading1"/>
        <w:tabs>
          <w:tab w:val="num" w:pos="284"/>
          <w:tab w:val="clear" w:pos="5747"/>
        </w:tabs>
        <w:bidi w:val="0"/>
        <w:ind w:left="357" w:hanging="357"/>
        <w:rPr>
          <w:rFonts w:ascii="Times New Roman" w:hAnsi="Times New Roman"/>
        </w:rPr>
      </w:pPr>
      <w:bookmarkStart w:id="65" w:name="_Toc320719724"/>
      <w:r w:rsidRPr="006D0191">
        <w:rPr>
          <w:rFonts w:ascii="Times New Roman" w:hAnsi="Times New Roman"/>
        </w:rPr>
        <w:t>PÔSOBNOSŤ</w:t>
      </w:r>
      <w:r w:rsidRPr="00810275">
        <w:rPr>
          <w:rFonts w:ascii="Times New Roman" w:hAnsi="Times New Roman"/>
        </w:rPr>
        <w:t xml:space="preserve"> STAVEBNÉHO ÚRADU</w:t>
      </w:r>
      <w:bookmarkEnd w:id="65"/>
    </w:p>
    <w:p w:rsidR="00E00EC8" w:rsidP="00E00EC8">
      <w:pPr>
        <w:bidi w:val="0"/>
        <w:rPr>
          <w:rFonts w:ascii="Times New Roman" w:hAnsi="Times New Roman"/>
        </w:rPr>
      </w:pPr>
    </w:p>
    <w:p w:rsidR="00ED551E" w:rsidP="00ED551E">
      <w:pPr>
        <w:bidi w:val="0"/>
        <w:jc w:val="both"/>
        <w:rPr>
          <w:rFonts w:ascii="Times New Roman" w:hAnsi="Times New Roman"/>
        </w:rPr>
      </w:pPr>
      <w:r>
        <w:rPr>
          <w:rFonts w:ascii="Times New Roman" w:hAnsi="Times New Roman"/>
        </w:rPr>
        <w:t>ÚJD SR vykonáva pôsobnosť stavebného úradu podľa zákona č.</w:t>
      </w:r>
      <w:r w:rsidR="009B1B07">
        <w:rPr>
          <w:rFonts w:ascii="Times New Roman" w:hAnsi="Times New Roman"/>
        </w:rPr>
        <w:t> </w:t>
      </w:r>
      <w:r>
        <w:rPr>
          <w:rFonts w:ascii="Times New Roman" w:hAnsi="Times New Roman"/>
        </w:rPr>
        <w:t>50/1976 Zb. o územnom plánovaní a stavebnom poriadku (stavebný zákon) pri stavbách JZ a stavbách súvisiacich s JZ nachádzajúcich sa v areáli ohraničenom hranicami JZ. To znamená povoľovanie stavieb, zmien stavieb, udržiavacích prác, vydávanie rozhodnutí o užívaní stavieb, údržbe stavieb a odstraňovaní stavieb.</w:t>
      </w:r>
    </w:p>
    <w:p w:rsidR="00ED551E" w:rsidRPr="00BC73CA" w:rsidP="00ED551E">
      <w:pPr>
        <w:bidi w:val="0"/>
        <w:jc w:val="both"/>
        <w:rPr>
          <w:rFonts w:ascii="Times New Roman" w:hAnsi="Times New Roman"/>
        </w:rPr>
      </w:pPr>
      <w:r>
        <w:rPr>
          <w:rFonts w:ascii="Times New Roman" w:hAnsi="Times New Roman"/>
        </w:rPr>
        <w:t xml:space="preserve">V roku 2011 sa v areáli AE Bohunice V-2 povoľovali nové stavebné objekty a zmeny v užívaní objektov, napr. centrum havarijnej odozvy, dielne a garáže, výcvikové stredisko, </w:t>
      </w:r>
      <w:r w:rsidR="00E45958">
        <w:rPr>
          <w:rFonts w:ascii="Times New Roman" w:hAnsi="Times New Roman"/>
        </w:rPr>
        <w:t xml:space="preserve">objekty súvisiace s </w:t>
      </w:r>
      <w:r>
        <w:rPr>
          <w:rFonts w:ascii="Times New Roman" w:hAnsi="Times New Roman"/>
        </w:rPr>
        <w:t>fyzick</w:t>
      </w:r>
      <w:r w:rsidR="00E45958">
        <w:rPr>
          <w:rFonts w:ascii="Times New Roman" w:hAnsi="Times New Roman"/>
        </w:rPr>
        <w:t>ou</w:t>
      </w:r>
      <w:r>
        <w:rPr>
          <w:rFonts w:ascii="Times New Roman" w:hAnsi="Times New Roman"/>
        </w:rPr>
        <w:t xml:space="preserve"> ochran</w:t>
      </w:r>
      <w:r w:rsidR="00E45958">
        <w:rPr>
          <w:rFonts w:ascii="Times New Roman" w:hAnsi="Times New Roman"/>
        </w:rPr>
        <w:t>ou</w:t>
      </w:r>
      <w:r w:rsidR="00BC73CA">
        <w:rPr>
          <w:rFonts w:ascii="Times New Roman" w:hAnsi="Times New Roman"/>
        </w:rPr>
        <w:t xml:space="preserve">. </w:t>
      </w:r>
      <w:r>
        <w:rPr>
          <w:rFonts w:ascii="Times New Roman" w:hAnsi="Times New Roman"/>
        </w:rPr>
        <w:t>Pre JAVYS, a.</w:t>
      </w:r>
      <w:r w:rsidR="009B1B07">
        <w:rPr>
          <w:rFonts w:ascii="Times New Roman" w:hAnsi="Times New Roman"/>
        </w:rPr>
        <w:t> </w:t>
      </w:r>
      <w:r>
        <w:rPr>
          <w:rFonts w:ascii="Times New Roman" w:hAnsi="Times New Roman"/>
        </w:rPr>
        <w:t>s</w:t>
      </w:r>
      <w:r w:rsidR="005008A8">
        <w:rPr>
          <w:rFonts w:ascii="Times New Roman" w:hAnsi="Times New Roman"/>
        </w:rPr>
        <w:t>.</w:t>
      </w:r>
      <w:r>
        <w:rPr>
          <w:rFonts w:ascii="Times New Roman" w:hAnsi="Times New Roman"/>
        </w:rPr>
        <w:t xml:space="preserve"> sa vydávali povolenia na odstraňovanie nevyužívaných stavebných objektov </w:t>
      </w:r>
      <w:r w:rsidR="00415117">
        <w:rPr>
          <w:rFonts w:ascii="Times New Roman" w:hAnsi="Times New Roman"/>
        </w:rPr>
        <w:t xml:space="preserve">v </w:t>
      </w:r>
      <w:r>
        <w:rPr>
          <w:rFonts w:ascii="Times New Roman" w:hAnsi="Times New Roman"/>
        </w:rPr>
        <w:t xml:space="preserve">areáli </w:t>
      </w:r>
      <w:r w:rsidR="00BC73CA">
        <w:rPr>
          <w:rFonts w:ascii="Times New Roman" w:hAnsi="Times New Roman"/>
        </w:rPr>
        <w:t xml:space="preserve">AE Bohunice A-1. </w:t>
      </w:r>
      <w:r>
        <w:rPr>
          <w:rFonts w:ascii="Times New Roman" w:hAnsi="Times New Roman"/>
        </w:rPr>
        <w:t>Pre AE Mochovce 1,2 sa posudzovala dokumentácia podľa stavebného zákona v súvislosti s obnovou niektorých stavebných objektov.</w:t>
      </w:r>
    </w:p>
    <w:p w:rsidR="006D0191" w:rsidP="00E00EC8">
      <w:pPr>
        <w:pStyle w:val="BodyText"/>
        <w:bidi w:val="0"/>
        <w:rPr>
          <w:rFonts w:ascii="Times New Roman" w:hAnsi="Times New Roman"/>
          <w:iCs w:val="0"/>
          <w:color w:val="A6A6A6"/>
          <w:szCs w:val="24"/>
          <w:lang w:val="sk-SK" w:eastAsia="sk-SK"/>
        </w:rPr>
      </w:pPr>
    </w:p>
    <w:p w:rsidR="00D61781" w:rsidRPr="006D0191" w:rsidP="00E00EC8">
      <w:pPr>
        <w:pStyle w:val="BodyText"/>
        <w:bidi w:val="0"/>
        <w:rPr>
          <w:rFonts w:ascii="Times New Roman" w:hAnsi="Times New Roman"/>
          <w:lang w:val="sk-SK"/>
        </w:rPr>
      </w:pPr>
    </w:p>
    <w:p w:rsidR="00E00EC8" w:rsidP="006D0191">
      <w:pPr>
        <w:pStyle w:val="Heading1"/>
        <w:tabs>
          <w:tab w:val="num" w:pos="284"/>
          <w:tab w:val="clear" w:pos="5747"/>
        </w:tabs>
        <w:bidi w:val="0"/>
        <w:ind w:left="357" w:hanging="357"/>
        <w:rPr>
          <w:rFonts w:ascii="Times New Roman" w:hAnsi="Times New Roman"/>
        </w:rPr>
      </w:pPr>
      <w:bookmarkStart w:id="66" w:name="_Toc158112596"/>
      <w:bookmarkStart w:id="67" w:name="_Toc162317363"/>
      <w:bookmarkStart w:id="68" w:name="_Toc320719725"/>
      <w:r>
        <w:rPr>
          <w:rFonts w:ascii="Times New Roman" w:hAnsi="Times New Roman"/>
        </w:rPr>
        <w:t>jadrovÉ materiál</w:t>
      </w:r>
      <w:bookmarkEnd w:id="66"/>
      <w:r>
        <w:rPr>
          <w:rFonts w:ascii="Times New Roman" w:hAnsi="Times New Roman"/>
        </w:rPr>
        <w:t>Y</w:t>
      </w:r>
      <w:bookmarkEnd w:id="67"/>
      <w:bookmarkEnd w:id="68"/>
    </w:p>
    <w:p w:rsidR="00E00EC8" w:rsidP="00E00EC8">
      <w:pPr>
        <w:pStyle w:val="BodyText"/>
        <w:bidi w:val="0"/>
        <w:rPr>
          <w:rFonts w:ascii="Times New Roman" w:hAnsi="Times New Roman"/>
        </w:rPr>
      </w:pPr>
    </w:p>
    <w:p w:rsidR="00E00EC8" w:rsidRPr="00EE0007" w:rsidP="00E00EC8">
      <w:pPr>
        <w:pStyle w:val="BodyText"/>
        <w:bidi w:val="0"/>
        <w:rPr>
          <w:rFonts w:ascii="Times New Roman" w:hAnsi="Times New Roman"/>
        </w:rPr>
      </w:pPr>
      <w:r w:rsidRPr="00EE0007">
        <w:rPr>
          <w:rFonts w:ascii="Times New Roman" w:hAnsi="Times New Roman"/>
        </w:rPr>
        <w:t>Dozorné činnosti ÚJD SR v oblasti nakladania s </w:t>
      </w:r>
      <w:r w:rsidRPr="00EE0007">
        <w:rPr>
          <w:rFonts w:ascii="Times New Roman" w:hAnsi="Times New Roman"/>
        </w:rPr>
        <w:t xml:space="preserve">JM </w:t>
      </w:r>
      <w:r w:rsidRPr="00EE0007">
        <w:rPr>
          <w:rFonts w:ascii="Times New Roman" w:hAnsi="Times New Roman"/>
        </w:rPr>
        <w:t xml:space="preserve">zabezpečujú, aby sa JM používali </w:t>
      </w:r>
      <w:r w:rsidRPr="00EE0007" w:rsidR="00384A82">
        <w:rPr>
          <w:rFonts w:ascii="Times New Roman" w:hAnsi="Times New Roman"/>
          <w:lang w:val="sk-SK"/>
        </w:rPr>
        <w:t xml:space="preserve">iba na mierové účely a </w:t>
      </w:r>
      <w:r w:rsidRPr="00EE0007">
        <w:rPr>
          <w:rFonts w:ascii="Times New Roman" w:hAnsi="Times New Roman"/>
        </w:rPr>
        <w:t xml:space="preserve">v súlade s povolením ÚJD SR, ktoré </w:t>
      </w:r>
      <w:r w:rsidR="001E0E3C">
        <w:rPr>
          <w:rFonts w:ascii="Times New Roman" w:hAnsi="Times New Roman"/>
          <w:lang w:val="sk-SK"/>
        </w:rPr>
        <w:t xml:space="preserve">sa </w:t>
      </w:r>
      <w:r w:rsidRPr="00EE0007">
        <w:rPr>
          <w:rFonts w:ascii="Times New Roman" w:hAnsi="Times New Roman"/>
        </w:rPr>
        <w:t>vydáva len tým žiadateľom, ktorí preukážu schopnosť nakladať s JM v zmysle platných právnych predpisov a medzinárodných záväzkov SR. Žiadateľ musí najmä zabezpečiť, aby sa JM využívali iba na účel, na ktorý sú určené a aby ich používaním nebolo ohrozené životné prostredie a zdravie ľudí.</w:t>
      </w:r>
    </w:p>
    <w:p w:rsidR="00E00EC8" w:rsidRPr="00EE0007" w:rsidP="00E00EC8">
      <w:pPr>
        <w:pStyle w:val="BodyText"/>
        <w:bidi w:val="0"/>
        <w:rPr>
          <w:rFonts w:ascii="Times New Roman" w:hAnsi="Times New Roman"/>
        </w:rPr>
      </w:pPr>
      <w:bookmarkStart w:id="69" w:name="_Toc158112597"/>
      <w:bookmarkStart w:id="70" w:name="_Toc162317364"/>
    </w:p>
    <w:p w:rsidR="00E00EC8" w:rsidRPr="009B1B07" w:rsidP="009B1B07">
      <w:pPr>
        <w:pStyle w:val="Heading2"/>
        <w:tabs>
          <w:tab w:val="num" w:pos="0"/>
        </w:tabs>
        <w:bidi w:val="0"/>
        <w:ind w:left="0" w:firstLine="0"/>
        <w:rPr>
          <w:rFonts w:ascii="Times New Roman" w:hAnsi="Times New Roman"/>
        </w:rPr>
      </w:pPr>
      <w:bookmarkStart w:id="71" w:name="_Toc320719726"/>
      <w:r w:rsidRPr="009B1B07">
        <w:rPr>
          <w:rFonts w:ascii="Times New Roman" w:hAnsi="Times New Roman"/>
        </w:rPr>
        <w:t>Evidencia a kontrola jadrových materiálov</w:t>
      </w:r>
      <w:bookmarkEnd w:id="69"/>
      <w:bookmarkEnd w:id="70"/>
      <w:bookmarkEnd w:id="71"/>
    </w:p>
    <w:p w:rsidR="00E00EC8" w:rsidRPr="00282B57" w:rsidP="00B76C05">
      <w:pPr>
        <w:pStyle w:val="BodyText"/>
        <w:suppressLineNumbers/>
        <w:bidi w:val="0"/>
        <w:rPr>
          <w:rFonts w:ascii="Times New Roman" w:hAnsi="Times New Roman"/>
        </w:rPr>
      </w:pPr>
      <w:r w:rsidRPr="00282B57">
        <w:rPr>
          <w:rFonts w:ascii="Times New Roman" w:hAnsi="Times New Roman"/>
        </w:rPr>
        <w:t xml:space="preserve">ÚJD SR vedie štátny systém evidencie a kontroly JM v zmysle atómového zákona. Účelom štátneho systému evidencie a kontroly JM v SR je zabrániť zneužívaniu JM, a tiež zabrániť nezákonnému nakladaniu s JM, zisťovať ich straty a poskytovať informácie, ktoré </w:t>
      </w:r>
      <w:r w:rsidR="00B76C05">
        <w:rPr>
          <w:rFonts w:ascii="Times New Roman" w:hAnsi="Times New Roman"/>
        </w:rPr>
        <w:t xml:space="preserve">by mohli viesť k ich nájdeniu. </w:t>
      </w:r>
      <w:r w:rsidR="00917B77">
        <w:rPr>
          <w:rFonts w:ascii="Times New Roman" w:hAnsi="Times New Roman"/>
          <w:lang w:val="sk-SK"/>
        </w:rPr>
        <w:t>Je záujmom štátu mať takúto evidenciu</w:t>
      </w:r>
      <w:r w:rsidRPr="00282B57">
        <w:rPr>
          <w:rFonts w:ascii="Times New Roman" w:hAnsi="Times New Roman"/>
        </w:rPr>
        <w:t xml:space="preserve"> JM</w:t>
      </w:r>
      <w:r w:rsidR="009B1B07">
        <w:rPr>
          <w:rFonts w:ascii="Times New Roman" w:hAnsi="Times New Roman"/>
          <w:lang w:val="sk-SK"/>
        </w:rPr>
        <w:t>,</w:t>
      </w:r>
      <w:r w:rsidRPr="00282B57">
        <w:rPr>
          <w:rFonts w:ascii="Times New Roman" w:hAnsi="Times New Roman"/>
        </w:rPr>
        <w:t xml:space="preserve"> </w:t>
      </w:r>
      <w:r w:rsidR="00917B77">
        <w:rPr>
          <w:rFonts w:ascii="Times New Roman" w:hAnsi="Times New Roman"/>
          <w:lang w:val="sk-SK"/>
        </w:rPr>
        <w:t xml:space="preserve">čím sa plnia medzinárodné </w:t>
      </w:r>
      <w:r w:rsidR="00415117">
        <w:rPr>
          <w:rFonts w:ascii="Times New Roman" w:hAnsi="Times New Roman"/>
          <w:lang w:val="sk-SK"/>
        </w:rPr>
        <w:t>záväzk</w:t>
      </w:r>
      <w:r w:rsidR="00917B77">
        <w:rPr>
          <w:rFonts w:ascii="Times New Roman" w:hAnsi="Times New Roman"/>
          <w:lang w:val="sk-SK"/>
        </w:rPr>
        <w:t>y</w:t>
      </w:r>
      <w:r w:rsidRPr="00282B57">
        <w:rPr>
          <w:rFonts w:ascii="Times New Roman" w:hAnsi="Times New Roman"/>
        </w:rPr>
        <w:t xml:space="preserve">, ktorými </w:t>
      </w:r>
      <w:r w:rsidR="00415117">
        <w:rPr>
          <w:rFonts w:ascii="Times New Roman" w:hAnsi="Times New Roman"/>
          <w:lang w:val="sk-SK"/>
        </w:rPr>
        <w:t>je</w:t>
      </w:r>
      <w:r w:rsidRPr="00282B57">
        <w:rPr>
          <w:rFonts w:ascii="Times New Roman" w:hAnsi="Times New Roman"/>
        </w:rPr>
        <w:t xml:space="preserve"> SR viazaná </w:t>
      </w:r>
      <w:r w:rsidR="00917B77">
        <w:rPr>
          <w:rFonts w:ascii="Times New Roman" w:hAnsi="Times New Roman"/>
          <w:lang w:val="sk-SK"/>
        </w:rPr>
        <w:t>smerom na</w:t>
      </w:r>
      <w:r w:rsidRPr="00282B57">
        <w:rPr>
          <w:rFonts w:ascii="Times New Roman" w:hAnsi="Times New Roman"/>
        </w:rPr>
        <w:t> MAAE</w:t>
      </w:r>
      <w:r w:rsidR="009B1B07">
        <w:rPr>
          <w:rFonts w:ascii="Times New Roman" w:hAnsi="Times New Roman"/>
          <w:lang w:val="sk-SK"/>
        </w:rPr>
        <w:t>,</w:t>
      </w:r>
      <w:r w:rsidRPr="00282B57">
        <w:rPr>
          <w:rFonts w:ascii="Times New Roman" w:hAnsi="Times New Roman"/>
        </w:rPr>
        <w:t xml:space="preserve"> </w:t>
      </w:r>
      <w:r w:rsidR="00917B77">
        <w:rPr>
          <w:rFonts w:ascii="Times New Roman" w:hAnsi="Times New Roman"/>
          <w:lang w:val="sk-SK"/>
        </w:rPr>
        <w:t>ako aj</w:t>
      </w:r>
      <w:r w:rsidRPr="00282B57">
        <w:rPr>
          <w:rFonts w:ascii="Times New Roman" w:hAnsi="Times New Roman"/>
        </w:rPr>
        <w:t xml:space="preserve"> EÚ</w:t>
      </w:r>
      <w:r w:rsidR="00917B77">
        <w:rPr>
          <w:rFonts w:ascii="Times New Roman" w:hAnsi="Times New Roman"/>
          <w:lang w:val="sk-SK"/>
        </w:rPr>
        <w:t>.</w:t>
      </w:r>
      <w:r w:rsidRPr="00282B57">
        <w:rPr>
          <w:rFonts w:ascii="Times New Roman" w:hAnsi="Times New Roman"/>
        </w:rPr>
        <w:t xml:space="preserve"> </w:t>
      </w:r>
    </w:p>
    <w:p w:rsidR="002627C1" w:rsidRPr="00B76C05" w:rsidP="00B76C05">
      <w:pPr>
        <w:pStyle w:val="BodyText"/>
        <w:suppressLineNumbers/>
        <w:bidi w:val="0"/>
        <w:rPr>
          <w:rFonts w:ascii="Times New Roman" w:hAnsi="Times New Roman"/>
          <w:highlight w:val="yellow"/>
          <w:lang w:val="sk-SK"/>
        </w:rPr>
      </w:pPr>
      <w:r w:rsidRPr="00282B57" w:rsidR="00E00EC8">
        <w:rPr>
          <w:rFonts w:ascii="Times New Roman" w:hAnsi="Times New Roman"/>
        </w:rPr>
        <w:t xml:space="preserve">JM v SR tvoria hlavne čerstvé </w:t>
      </w:r>
      <w:r w:rsidR="00415117">
        <w:rPr>
          <w:rFonts w:ascii="Times New Roman" w:hAnsi="Times New Roman"/>
          <w:lang w:val="sk-SK"/>
        </w:rPr>
        <w:t xml:space="preserve">jadrové palivo </w:t>
      </w:r>
      <w:r w:rsidRPr="00282B57" w:rsidR="00282B57">
        <w:rPr>
          <w:rFonts w:ascii="Times New Roman" w:hAnsi="Times New Roman"/>
          <w:lang w:val="sk-SK"/>
        </w:rPr>
        <w:t>(ďalej len „ČJP“</w:t>
      </w:r>
      <w:r w:rsidR="00282B57">
        <w:rPr>
          <w:rFonts w:ascii="Times New Roman" w:hAnsi="Times New Roman"/>
          <w:lang w:val="sk-SK"/>
        </w:rPr>
        <w:t>)</w:t>
      </w:r>
      <w:r w:rsidRPr="00282B57" w:rsidR="00282B57">
        <w:rPr>
          <w:rFonts w:ascii="Times New Roman" w:hAnsi="Times New Roman"/>
          <w:lang w:val="sk-SK"/>
        </w:rPr>
        <w:t xml:space="preserve"> </w:t>
      </w:r>
      <w:r w:rsidRPr="00282B57" w:rsidR="00384A82">
        <w:rPr>
          <w:rFonts w:ascii="Times New Roman" w:hAnsi="Times New Roman"/>
          <w:lang w:val="sk-SK"/>
        </w:rPr>
        <w:t>a VJP</w:t>
      </w:r>
      <w:r w:rsidRPr="00282B57" w:rsidR="00E00EC8">
        <w:rPr>
          <w:rFonts w:ascii="Times New Roman" w:hAnsi="Times New Roman"/>
          <w:lang w:val="sk-SK"/>
        </w:rPr>
        <w:t xml:space="preserve"> </w:t>
      </w:r>
      <w:r w:rsidRPr="00282B57" w:rsidR="00E00EC8">
        <w:rPr>
          <w:rFonts w:ascii="Times New Roman" w:hAnsi="Times New Roman"/>
        </w:rPr>
        <w:t xml:space="preserve">nachádzajúce sa v JZ spoločnosti JAVYS, a. s. a v JZ spoločnosti SE, a. s. Taktiež sa na našom území nakladá s ochudobneným uránom, ktorý je prevažne používaný na tieniace účely a s malým množstvom prírodného uránu, nízko obohateného uránu a tória na experimentálne resp. výukové účely. </w:t>
      </w:r>
      <w:r w:rsidR="00282B57">
        <w:rPr>
          <w:rFonts w:ascii="Times New Roman" w:hAnsi="Times New Roman"/>
        </w:rPr>
        <w:t>Výkon inšpekčnej činnosti v oblasti evidencie a kontroly JM pokračoval v roku 2011 v režime tzv. Integrovaných záruk (IS), ktoré sú v SR implem</w:t>
      </w:r>
      <w:r w:rsidR="001E0E3C">
        <w:rPr>
          <w:rFonts w:ascii="Times New Roman" w:hAnsi="Times New Roman"/>
        </w:rPr>
        <w:t xml:space="preserve">entované od 1. septembra 2009. </w:t>
      </w:r>
      <w:r w:rsidR="00282B57">
        <w:rPr>
          <w:rFonts w:ascii="Times New Roman" w:hAnsi="Times New Roman"/>
        </w:rPr>
        <w:t xml:space="preserve">V rámci výkonu inšpekčnej činnosti v oblasti evidencie a kontroly JM </w:t>
      </w:r>
      <w:r w:rsidR="009B1B07">
        <w:rPr>
          <w:rFonts w:ascii="Times New Roman" w:hAnsi="Times New Roman"/>
        </w:rPr>
        <w:t xml:space="preserve">vykonal </w:t>
      </w:r>
      <w:r w:rsidR="00282B57">
        <w:rPr>
          <w:rFonts w:ascii="Times New Roman" w:hAnsi="Times New Roman"/>
        </w:rPr>
        <w:t xml:space="preserve">ÚJD SR v roku 2011 43 inšpekcií. </w:t>
      </w:r>
      <w:r>
        <w:rPr>
          <w:rFonts w:ascii="Times New Roman" w:hAnsi="Times New Roman"/>
          <w:lang w:val="sk-SK"/>
        </w:rPr>
        <w:t xml:space="preserve">Z toho bolo </w:t>
      </w:r>
      <w:r>
        <w:rPr>
          <w:rFonts w:ascii="Times New Roman" w:hAnsi="Times New Roman"/>
        </w:rPr>
        <w:t>vykonaných 23 inšpekcií</w:t>
      </w:r>
      <w:r>
        <w:rPr>
          <w:rFonts w:ascii="Times New Roman" w:hAnsi="Times New Roman"/>
          <w:lang w:val="sk-SK"/>
        </w:rPr>
        <w:t xml:space="preserve"> v</w:t>
      </w:r>
      <w:r w:rsidR="00282B57">
        <w:rPr>
          <w:rFonts w:ascii="Times New Roman" w:hAnsi="Times New Roman"/>
        </w:rPr>
        <w:t> spolupráci s inšpektormi MAAE a  Euratomu</w:t>
      </w:r>
      <w:r w:rsidR="00E45958">
        <w:rPr>
          <w:rFonts w:ascii="Times New Roman" w:hAnsi="Times New Roman"/>
          <w:lang w:val="sk-SK"/>
        </w:rPr>
        <w:t>.</w:t>
      </w:r>
    </w:p>
    <w:p w:rsidR="00282B57" w:rsidP="00282B57">
      <w:pPr>
        <w:pStyle w:val="BodyText"/>
        <w:bidi w:val="0"/>
        <w:rPr>
          <w:rFonts w:ascii="Times New Roman" w:hAnsi="Times New Roman"/>
        </w:rPr>
      </w:pPr>
      <w:r>
        <w:rPr>
          <w:rFonts w:ascii="Times New Roman" w:hAnsi="Times New Roman"/>
        </w:rPr>
        <w:t>Činnosť ÚJD SR zahŕňa aj kontrolu a spracovanie evidenčných hlásení zaslaných na ÚJD SR držiteľmi povolení, ktoré sú následne vkladané do štátneho systému evidencie a kontroly JM, pričom je vykonaná aj kontrola správnosti údajov. ÚJD SR plne zodpovedá za vedenie evidencie JM v oblasti materiálovej bilancie</w:t>
      </w:r>
      <w:r>
        <w:rPr>
          <w:rFonts w:ascii="Times New Roman" w:hAnsi="Times New Roman"/>
          <w:lang w:val="sk-SK"/>
        </w:rPr>
        <w:t>,</w:t>
      </w:r>
      <w:r>
        <w:rPr>
          <w:rFonts w:ascii="Times New Roman" w:hAnsi="Times New Roman"/>
        </w:rPr>
        <w:t xml:space="preserve"> kde sa nachádza 49 držiteľov povolení na nakladanie s </w:t>
      </w:r>
      <w:r>
        <w:rPr>
          <w:rFonts w:ascii="Times New Roman" w:hAnsi="Times New Roman"/>
          <w:lang w:val="sk-SK"/>
        </w:rPr>
        <w:t>JM</w:t>
      </w:r>
      <w:r>
        <w:rPr>
          <w:rFonts w:ascii="Times New Roman" w:hAnsi="Times New Roman"/>
        </w:rPr>
        <w:t xml:space="preserve"> mimo </w:t>
      </w:r>
      <w:r>
        <w:rPr>
          <w:rFonts w:ascii="Times New Roman" w:hAnsi="Times New Roman"/>
          <w:lang w:val="sk-SK"/>
        </w:rPr>
        <w:t>JZ</w:t>
      </w:r>
      <w:r>
        <w:rPr>
          <w:rFonts w:ascii="Times New Roman" w:hAnsi="Times New Roman"/>
        </w:rPr>
        <w:t>. Za danú oblasť materiálovej bilancie ÚJD SR každý mesiac zasiela evidenčné správy Euratomu.</w:t>
      </w:r>
    </w:p>
    <w:p w:rsidR="00F94FA4" w:rsidP="00282B57">
      <w:pPr>
        <w:pStyle w:val="BodyText"/>
        <w:bidi w:val="0"/>
        <w:rPr>
          <w:rFonts w:ascii="Times New Roman" w:hAnsi="Times New Roman"/>
          <w:lang w:val="sk-SK"/>
        </w:rPr>
      </w:pPr>
      <w:r w:rsidR="00282B57">
        <w:rPr>
          <w:rFonts w:ascii="Times New Roman" w:hAnsi="Times New Roman"/>
        </w:rPr>
        <w:t xml:space="preserve">ÚJD SR ďalej v rámci svojich kompetencií zodpovedá aj za včasné zasielanie hlásení vypracovávaných na základe požiadaviek článku 2 dodatkového protokolu k trilaterálnej zárukovej dohode Euratomu a MAAE. V roku 2011 ÚJD SR zaslal 12 takýchto hlásení.  </w:t>
      </w:r>
    </w:p>
    <w:p w:rsidR="00B76C05" w:rsidP="00282B57">
      <w:pPr>
        <w:pStyle w:val="BodyText"/>
        <w:bidi w:val="0"/>
        <w:rPr>
          <w:rFonts w:ascii="Times New Roman" w:hAnsi="Times New Roman"/>
          <w:lang w:val="sk-SK"/>
        </w:rPr>
      </w:pPr>
    </w:p>
    <w:p w:rsidR="00D36C0F" w:rsidRPr="00EF21C1" w:rsidP="00E45958">
      <w:pPr>
        <w:pStyle w:val="BodyText"/>
        <w:bidi w:val="0"/>
        <w:rPr>
          <w:rFonts w:ascii="Times New Roman" w:hAnsi="Times New Roman"/>
          <w:lang w:val="sk-SK"/>
        </w:rPr>
      </w:pPr>
      <w:r w:rsidR="00282B57">
        <w:rPr>
          <w:rFonts w:ascii="Times New Roman" w:hAnsi="Times New Roman"/>
        </w:rPr>
        <w:t>Súčas</w:t>
      </w:r>
      <w:r w:rsidR="00B76C05">
        <w:rPr>
          <w:rFonts w:ascii="Times New Roman" w:hAnsi="Times New Roman"/>
          <w:lang w:val="sk-SK"/>
        </w:rPr>
        <w:t>ť</w:t>
      </w:r>
      <w:r w:rsidR="00282B57">
        <w:rPr>
          <w:rFonts w:ascii="Times New Roman" w:hAnsi="Times New Roman"/>
        </w:rPr>
        <w:t>ou činností v oblasti evidencie a kontroly JM je vydávanie povolení na nakladanie s </w:t>
      </w:r>
      <w:r w:rsidR="00F7166F">
        <w:rPr>
          <w:rFonts w:ascii="Times New Roman" w:hAnsi="Times New Roman"/>
          <w:lang w:val="sk-SK"/>
        </w:rPr>
        <w:t>JM</w:t>
      </w:r>
      <w:r w:rsidR="00282B57">
        <w:rPr>
          <w:rFonts w:ascii="Times New Roman" w:hAnsi="Times New Roman"/>
        </w:rPr>
        <w:t>. V roku 2011 bolo vydaných 8 povolení na nakladanie s </w:t>
      </w:r>
      <w:r w:rsidR="00F7166F">
        <w:rPr>
          <w:rFonts w:ascii="Times New Roman" w:hAnsi="Times New Roman"/>
          <w:lang w:val="sk-SK"/>
        </w:rPr>
        <w:t>JM</w:t>
      </w:r>
      <w:r w:rsidR="00282B57">
        <w:rPr>
          <w:rFonts w:ascii="Times New Roman" w:hAnsi="Times New Roman"/>
        </w:rPr>
        <w:t xml:space="preserve"> mimo </w:t>
      </w:r>
      <w:r w:rsidR="00F7166F">
        <w:rPr>
          <w:rFonts w:ascii="Times New Roman" w:hAnsi="Times New Roman"/>
          <w:lang w:val="sk-SK"/>
        </w:rPr>
        <w:t>JZ</w:t>
      </w:r>
      <w:r w:rsidR="00B76C05">
        <w:rPr>
          <w:rFonts w:ascii="Times New Roman" w:hAnsi="Times New Roman"/>
          <w:lang w:val="sk-SK"/>
        </w:rPr>
        <w:t>.</w:t>
      </w:r>
      <w:r w:rsidR="00282B57">
        <w:rPr>
          <w:rFonts w:ascii="Times New Roman" w:hAnsi="Times New Roman"/>
        </w:rPr>
        <w:t xml:space="preserve"> </w:t>
      </w:r>
    </w:p>
    <w:p w:rsidR="00E45958" w:rsidRPr="00D95E1F" w:rsidP="00E45958">
      <w:pPr>
        <w:pStyle w:val="BodyText"/>
        <w:bidi w:val="0"/>
        <w:rPr>
          <w:rFonts w:ascii="Times New Roman" w:hAnsi="Times New Roman"/>
          <w:i/>
          <w:lang w:val="sk-SK"/>
        </w:rPr>
      </w:pPr>
      <w:r w:rsidRPr="00D95E1F">
        <w:rPr>
          <w:rFonts w:ascii="Times New Roman" w:hAnsi="Times New Roman"/>
          <w:i/>
          <w:lang w:val="sk-SK"/>
        </w:rPr>
        <w:t>Záver:</w:t>
      </w:r>
    </w:p>
    <w:p w:rsidR="00E45958" w:rsidRPr="00D95E1F" w:rsidP="00E45958">
      <w:pPr>
        <w:pStyle w:val="BodyText"/>
        <w:bidi w:val="0"/>
        <w:rPr>
          <w:rFonts w:ascii="Times New Roman" w:hAnsi="Times New Roman"/>
          <w:i/>
          <w:lang w:val="sk-SK"/>
        </w:rPr>
      </w:pPr>
      <w:r w:rsidRPr="00D95E1F">
        <w:rPr>
          <w:rFonts w:ascii="Times New Roman" w:hAnsi="Times New Roman"/>
          <w:i/>
        </w:rPr>
        <w:t xml:space="preserve">Na základe výsledkov vykonaných inšpekcií bolo konštatované, že </w:t>
      </w:r>
      <w:r w:rsidRPr="00D95E1F">
        <w:rPr>
          <w:rFonts w:ascii="Times New Roman" w:hAnsi="Times New Roman"/>
          <w:i/>
          <w:lang w:val="sk-SK"/>
        </w:rPr>
        <w:t>SR má funkčný systém evidencie JM a dodržiava medzinárodné záväzky v tejto oblasti.</w:t>
      </w:r>
    </w:p>
    <w:p w:rsidR="00E45958" w:rsidRPr="00D95E1F" w:rsidP="00282B57">
      <w:pPr>
        <w:pStyle w:val="BodyText"/>
        <w:bidi w:val="0"/>
        <w:rPr>
          <w:rFonts w:ascii="Times New Roman" w:hAnsi="Times New Roman"/>
          <w:lang w:val="sk-SK"/>
        </w:rPr>
      </w:pPr>
    </w:p>
    <w:p w:rsidR="00A71AEB" w:rsidRPr="00B76C05" w:rsidP="00B76C05">
      <w:pPr>
        <w:pStyle w:val="Heading2"/>
        <w:bidi w:val="0"/>
        <w:rPr>
          <w:rFonts w:ascii="Times New Roman" w:hAnsi="Times New Roman"/>
        </w:rPr>
      </w:pPr>
      <w:bookmarkStart w:id="72" w:name="_Toc320719727"/>
      <w:r w:rsidRPr="00B76C05">
        <w:rPr>
          <w:rFonts w:ascii="Times New Roman" w:hAnsi="Times New Roman"/>
        </w:rPr>
        <w:t>Preprava JM</w:t>
      </w:r>
      <w:bookmarkEnd w:id="72"/>
    </w:p>
    <w:p w:rsidR="00A71AEB" w:rsidP="00A71AEB">
      <w:pPr>
        <w:pStyle w:val="BodyText"/>
        <w:bidi w:val="0"/>
        <w:rPr>
          <w:rFonts w:ascii="Times New Roman" w:hAnsi="Times New Roman"/>
        </w:rPr>
      </w:pPr>
      <w:r>
        <w:rPr>
          <w:rFonts w:ascii="Times New Roman" w:hAnsi="Times New Roman"/>
        </w:rPr>
        <w:t xml:space="preserve">Dozorná činnosť pri zabezpečení jadrovej bezpečnosti počas prepráv </w:t>
      </w:r>
      <w:r>
        <w:rPr>
          <w:rFonts w:ascii="Times New Roman" w:hAnsi="Times New Roman"/>
          <w:lang w:val="sk-SK"/>
        </w:rPr>
        <w:t>JM</w:t>
      </w:r>
      <w:r>
        <w:rPr>
          <w:rFonts w:ascii="Times New Roman" w:hAnsi="Times New Roman"/>
        </w:rPr>
        <w:t xml:space="preserve"> sa vykonávala v zmysle </w:t>
      </w:r>
      <w:r>
        <w:rPr>
          <w:rFonts w:ascii="Times New Roman" w:hAnsi="Times New Roman"/>
          <w:lang w:val="sk-SK"/>
        </w:rPr>
        <w:t>a</w:t>
      </w:r>
      <w:r>
        <w:rPr>
          <w:rFonts w:ascii="Times New Roman" w:hAnsi="Times New Roman"/>
        </w:rPr>
        <w:t xml:space="preserve">tómového zákona, vyhlášky č. 57/2006 Z. z. a medzinárodných štandardov a odporúčaní. </w:t>
      </w:r>
    </w:p>
    <w:p w:rsidR="00A71AEB" w:rsidP="00A71AEB">
      <w:pPr>
        <w:pStyle w:val="BodyText"/>
        <w:bidi w:val="0"/>
        <w:rPr>
          <w:rFonts w:ascii="Times New Roman" w:hAnsi="Times New Roman"/>
        </w:rPr>
      </w:pPr>
      <w:r>
        <w:rPr>
          <w:rFonts w:ascii="Times New Roman" w:hAnsi="Times New Roman"/>
        </w:rPr>
        <w:t xml:space="preserve">Za </w:t>
      </w:r>
      <w:r>
        <w:rPr>
          <w:rFonts w:ascii="Times New Roman" w:hAnsi="Times New Roman"/>
          <w:lang w:val="sk-SK"/>
        </w:rPr>
        <w:t>rok 2011</w:t>
      </w:r>
      <w:r>
        <w:rPr>
          <w:rFonts w:ascii="Times New Roman" w:hAnsi="Times New Roman"/>
        </w:rPr>
        <w:t xml:space="preserve"> sa uskutočnili prepravy </w:t>
      </w:r>
      <w:r>
        <w:rPr>
          <w:rFonts w:ascii="Times New Roman" w:hAnsi="Times New Roman"/>
          <w:lang w:val="sk-SK"/>
        </w:rPr>
        <w:t>ČJP</w:t>
      </w:r>
      <w:r>
        <w:rPr>
          <w:rFonts w:ascii="Times New Roman" w:hAnsi="Times New Roman"/>
        </w:rPr>
        <w:t xml:space="preserve"> z Ruskej federácie do AE Bohunice</w:t>
      </w:r>
      <w:r>
        <w:rPr>
          <w:rFonts w:ascii="Times New Roman" w:hAnsi="Times New Roman"/>
          <w:lang w:val="sk-SK"/>
        </w:rPr>
        <w:t xml:space="preserve"> V-2</w:t>
      </w:r>
      <w:r>
        <w:rPr>
          <w:rFonts w:ascii="Times New Roman" w:hAnsi="Times New Roman"/>
        </w:rPr>
        <w:t xml:space="preserve"> a do AE Mochovce</w:t>
      </w:r>
      <w:r>
        <w:rPr>
          <w:rFonts w:ascii="Times New Roman" w:hAnsi="Times New Roman"/>
          <w:lang w:val="sk-SK"/>
        </w:rPr>
        <w:t xml:space="preserve"> 1,2</w:t>
      </w:r>
      <w:r>
        <w:rPr>
          <w:rFonts w:ascii="Times New Roman" w:hAnsi="Times New Roman"/>
        </w:rPr>
        <w:t>. Dopravu jadrového pal</w:t>
      </w:r>
      <w:r w:rsidR="00F94FA4">
        <w:rPr>
          <w:rFonts w:ascii="Times New Roman" w:hAnsi="Times New Roman"/>
        </w:rPr>
        <w:t>iva zabezpečovali železnice SR.</w:t>
      </w:r>
      <w:r w:rsidR="009B1B07">
        <w:rPr>
          <w:rFonts w:ascii="Times New Roman" w:hAnsi="Times New Roman"/>
          <w:lang w:val="sk-SK"/>
        </w:rPr>
        <w:t xml:space="preserve"> </w:t>
      </w:r>
      <w:r>
        <w:rPr>
          <w:rFonts w:ascii="Times New Roman" w:hAnsi="Times New Roman"/>
        </w:rPr>
        <w:t xml:space="preserve">V roku 2011 bola realizovaná jedna preprava </w:t>
      </w:r>
      <w:r>
        <w:rPr>
          <w:rFonts w:ascii="Times New Roman" w:hAnsi="Times New Roman"/>
          <w:lang w:val="sk-SK"/>
        </w:rPr>
        <w:t>VJP</w:t>
      </w:r>
      <w:r>
        <w:rPr>
          <w:rFonts w:ascii="Times New Roman" w:hAnsi="Times New Roman"/>
        </w:rPr>
        <w:t xml:space="preserve"> z </w:t>
      </w:r>
      <w:r>
        <w:rPr>
          <w:rFonts w:ascii="Times New Roman" w:hAnsi="Times New Roman"/>
          <w:lang w:val="sk-SK"/>
        </w:rPr>
        <w:t>AE</w:t>
      </w:r>
      <w:r>
        <w:rPr>
          <w:rFonts w:ascii="Times New Roman" w:hAnsi="Times New Roman"/>
        </w:rPr>
        <w:t xml:space="preserve"> Mochovce</w:t>
      </w:r>
      <w:r>
        <w:rPr>
          <w:rFonts w:ascii="Times New Roman" w:hAnsi="Times New Roman"/>
          <w:lang w:val="sk-SK"/>
        </w:rPr>
        <w:t xml:space="preserve"> 1,2</w:t>
      </w:r>
      <w:r>
        <w:rPr>
          <w:rFonts w:ascii="Times New Roman" w:hAnsi="Times New Roman"/>
        </w:rPr>
        <w:t xml:space="preserve"> do MSVP Bohunice. Jadrová bezpečnosť a fyzická ochrana boli počas prepravy zabezpe</w:t>
      </w:r>
      <w:r w:rsidR="00F94FA4">
        <w:rPr>
          <w:rFonts w:ascii="Times New Roman" w:hAnsi="Times New Roman"/>
        </w:rPr>
        <w:t>čené podľa platnej legislatívy.</w:t>
      </w:r>
      <w:r w:rsidR="00F94FA4">
        <w:rPr>
          <w:rFonts w:ascii="Times New Roman" w:hAnsi="Times New Roman"/>
          <w:lang w:val="sk-SK"/>
        </w:rPr>
        <w:t xml:space="preserve"> </w:t>
      </w:r>
      <w:r>
        <w:rPr>
          <w:rFonts w:ascii="Times New Roman" w:hAnsi="Times New Roman"/>
        </w:rPr>
        <w:t xml:space="preserve">Do MSVP Bohunice bolo prevezených posledných 13 kaziet </w:t>
      </w:r>
      <w:r>
        <w:rPr>
          <w:rFonts w:ascii="Times New Roman" w:hAnsi="Times New Roman"/>
          <w:lang w:val="sk-SK"/>
        </w:rPr>
        <w:t>VJP</w:t>
      </w:r>
      <w:r>
        <w:rPr>
          <w:rFonts w:ascii="Times New Roman" w:hAnsi="Times New Roman"/>
        </w:rPr>
        <w:t xml:space="preserve"> z 2. bloku </w:t>
      </w:r>
      <w:r>
        <w:rPr>
          <w:rFonts w:ascii="Times New Roman" w:hAnsi="Times New Roman"/>
          <w:lang w:val="sk-SK"/>
        </w:rPr>
        <w:t xml:space="preserve">AE Bohunice </w:t>
      </w:r>
      <w:r>
        <w:rPr>
          <w:rFonts w:ascii="Times New Roman" w:hAnsi="Times New Roman"/>
        </w:rPr>
        <w:t>V</w:t>
      </w:r>
      <w:r>
        <w:rPr>
          <w:rFonts w:ascii="Times New Roman" w:hAnsi="Times New Roman"/>
          <w:lang w:val="sk-SK"/>
        </w:rPr>
        <w:t>-</w:t>
      </w:r>
      <w:r>
        <w:rPr>
          <w:rFonts w:ascii="Times New Roman" w:hAnsi="Times New Roman"/>
        </w:rPr>
        <w:t xml:space="preserve">1. V roku 2011 nebolo z blokov </w:t>
      </w:r>
      <w:r>
        <w:rPr>
          <w:rFonts w:ascii="Times New Roman" w:hAnsi="Times New Roman"/>
          <w:lang w:val="sk-SK"/>
        </w:rPr>
        <w:t xml:space="preserve">AE Bohunice </w:t>
      </w:r>
      <w:r>
        <w:rPr>
          <w:rFonts w:ascii="Times New Roman" w:hAnsi="Times New Roman"/>
        </w:rPr>
        <w:t>V</w:t>
      </w:r>
      <w:r>
        <w:rPr>
          <w:rFonts w:ascii="Times New Roman" w:hAnsi="Times New Roman"/>
          <w:lang w:val="sk-SK"/>
        </w:rPr>
        <w:t>-</w:t>
      </w:r>
      <w:r>
        <w:rPr>
          <w:rFonts w:ascii="Times New Roman" w:hAnsi="Times New Roman"/>
        </w:rPr>
        <w:t xml:space="preserve">2 prevezené do MSVP žiadne </w:t>
      </w:r>
      <w:r>
        <w:rPr>
          <w:rFonts w:ascii="Times New Roman" w:hAnsi="Times New Roman"/>
          <w:lang w:val="sk-SK"/>
        </w:rPr>
        <w:t>VJP</w:t>
      </w:r>
      <w:r>
        <w:rPr>
          <w:rFonts w:ascii="Times New Roman" w:hAnsi="Times New Roman"/>
        </w:rPr>
        <w:t>.</w:t>
      </w:r>
    </w:p>
    <w:p w:rsidR="00A71AEB" w:rsidP="00A71AEB">
      <w:pPr>
        <w:pStyle w:val="BodyText"/>
        <w:bidi w:val="0"/>
        <w:rPr>
          <w:rFonts w:ascii="Times New Roman" w:hAnsi="Times New Roman"/>
        </w:rPr>
      </w:pPr>
      <w:r>
        <w:rPr>
          <w:rFonts w:ascii="Times New Roman" w:hAnsi="Times New Roman"/>
        </w:rPr>
        <w:t>V roku 2011 vykonali inšpektori ÚJD</w:t>
      </w:r>
      <w:r>
        <w:rPr>
          <w:rFonts w:ascii="Times New Roman" w:hAnsi="Times New Roman"/>
          <w:lang w:val="sk-SK"/>
        </w:rPr>
        <w:t xml:space="preserve"> SR</w:t>
      </w:r>
      <w:r>
        <w:rPr>
          <w:rFonts w:ascii="Times New Roman" w:hAnsi="Times New Roman"/>
        </w:rPr>
        <w:t xml:space="preserve"> 7 inšpekcií všetkých prepráv </w:t>
      </w:r>
      <w:r>
        <w:rPr>
          <w:rFonts w:ascii="Times New Roman" w:hAnsi="Times New Roman"/>
          <w:lang w:val="sk-SK"/>
        </w:rPr>
        <w:t>ČJP</w:t>
      </w:r>
      <w:r>
        <w:rPr>
          <w:rFonts w:ascii="Times New Roman" w:hAnsi="Times New Roman"/>
        </w:rPr>
        <w:t xml:space="preserve"> a</w:t>
      </w:r>
      <w:r w:rsidR="00917B77">
        <w:rPr>
          <w:rFonts w:ascii="Times New Roman" w:hAnsi="Times New Roman"/>
        </w:rPr>
        <w:t> </w:t>
      </w:r>
      <w:r>
        <w:rPr>
          <w:rFonts w:ascii="Times New Roman" w:hAnsi="Times New Roman"/>
          <w:lang w:val="sk-SK"/>
        </w:rPr>
        <w:t>VJP</w:t>
      </w:r>
      <w:r w:rsidR="00917B77">
        <w:rPr>
          <w:rFonts w:ascii="Times New Roman" w:hAnsi="Times New Roman"/>
          <w:lang w:val="sk-SK"/>
        </w:rPr>
        <w:t>, ako aj tranzitnej prepravy ČJP z ČR do R</w:t>
      </w:r>
      <w:r w:rsidR="005008A8">
        <w:rPr>
          <w:rFonts w:ascii="Times New Roman" w:hAnsi="Times New Roman"/>
          <w:lang w:val="sk-SK"/>
        </w:rPr>
        <w:t>uskej federácie</w:t>
      </w:r>
      <w:r>
        <w:rPr>
          <w:rFonts w:ascii="Times New Roman" w:hAnsi="Times New Roman"/>
          <w:lang w:val="sk-SK"/>
        </w:rPr>
        <w:t xml:space="preserve"> a</w:t>
      </w:r>
      <w:r>
        <w:rPr>
          <w:rFonts w:ascii="Times New Roman" w:hAnsi="Times New Roman"/>
        </w:rPr>
        <w:t xml:space="preserve"> uránového koncentrátu. </w:t>
      </w:r>
    </w:p>
    <w:p w:rsidR="00E00EC8" w:rsidRPr="005B7834" w:rsidP="00E00EC8">
      <w:pPr>
        <w:pStyle w:val="BodyText"/>
        <w:bidi w:val="0"/>
        <w:rPr>
          <w:rFonts w:ascii="Times New Roman" w:hAnsi="Times New Roman"/>
          <w:highlight w:val="yellow"/>
        </w:rPr>
      </w:pPr>
    </w:p>
    <w:p w:rsidR="00E00EC8" w:rsidRPr="00D95E1F" w:rsidP="00E00EC8">
      <w:pPr>
        <w:pStyle w:val="BodyText"/>
        <w:bidi w:val="0"/>
        <w:rPr>
          <w:rFonts w:ascii="Times New Roman" w:hAnsi="Times New Roman"/>
          <w:bCs/>
          <w:i/>
          <w:iCs w:val="0"/>
        </w:rPr>
      </w:pPr>
      <w:r w:rsidRPr="00D95E1F">
        <w:rPr>
          <w:rFonts w:ascii="Times New Roman" w:hAnsi="Times New Roman"/>
          <w:bCs/>
          <w:i/>
          <w:iCs w:val="0"/>
        </w:rPr>
        <w:t>Záver:</w:t>
      </w:r>
    </w:p>
    <w:p w:rsidR="00E00EC8" w:rsidRPr="00D95E1F" w:rsidP="00E00EC8">
      <w:pPr>
        <w:pStyle w:val="BodyText"/>
        <w:bidi w:val="0"/>
        <w:rPr>
          <w:rFonts w:ascii="Times New Roman" w:hAnsi="Times New Roman"/>
          <w:i/>
          <w:lang w:val="sk-SK"/>
        </w:rPr>
      </w:pPr>
      <w:r w:rsidRPr="00D95E1F" w:rsidR="00A71AEB">
        <w:rPr>
          <w:rFonts w:ascii="Times New Roman" w:hAnsi="Times New Roman"/>
          <w:i/>
        </w:rPr>
        <w:t xml:space="preserve">Pri inšpekciách prepravy </w:t>
      </w:r>
      <w:r w:rsidRPr="00D95E1F" w:rsidR="00A71AEB">
        <w:rPr>
          <w:rFonts w:ascii="Times New Roman" w:hAnsi="Times New Roman"/>
          <w:i/>
          <w:lang w:val="sk-SK"/>
        </w:rPr>
        <w:t>JM</w:t>
      </w:r>
      <w:r w:rsidRPr="00D95E1F" w:rsidR="00A71AEB">
        <w:rPr>
          <w:rFonts w:ascii="Times New Roman" w:hAnsi="Times New Roman"/>
          <w:i/>
        </w:rPr>
        <w:t xml:space="preserve"> inšpektori nezistili žiadne závažné nedostatky. Boli dodržané podmienky vyžadované zákonom a rozhodnutiami ÚJD SR. </w:t>
      </w:r>
      <w:r w:rsidRPr="00D95E1F" w:rsidR="00441A2D">
        <w:rPr>
          <w:rFonts w:ascii="Times New Roman" w:hAnsi="Times New Roman"/>
          <w:i/>
          <w:lang w:val="sk-SK"/>
        </w:rPr>
        <w:t>Prepravy JM sa uskutočnili v súlade s plánmi prepravy a neprišlo k žiadnym udalostiam.</w:t>
      </w:r>
    </w:p>
    <w:p w:rsidR="00E00EC8" w:rsidRPr="00A71AEB" w:rsidP="00E00EC8">
      <w:pPr>
        <w:pStyle w:val="BodyText"/>
        <w:bidi w:val="0"/>
        <w:rPr>
          <w:rFonts w:ascii="Times New Roman" w:hAnsi="Times New Roman"/>
          <w:b/>
          <w:bCs/>
          <w:sz w:val="28"/>
          <w:szCs w:val="28"/>
        </w:rPr>
      </w:pPr>
    </w:p>
    <w:p w:rsidR="00E00EC8" w:rsidRPr="005C02A1" w:rsidP="005C02A1">
      <w:pPr>
        <w:pStyle w:val="Heading2"/>
        <w:tabs>
          <w:tab w:val="num" w:pos="0"/>
        </w:tabs>
        <w:bidi w:val="0"/>
        <w:ind w:left="0" w:firstLine="11"/>
        <w:rPr>
          <w:rFonts w:ascii="Times New Roman" w:hAnsi="Times New Roman"/>
        </w:rPr>
      </w:pPr>
      <w:bookmarkStart w:id="73" w:name="_Toc320719728"/>
      <w:r w:rsidRPr="005C02A1">
        <w:rPr>
          <w:rFonts w:ascii="Times New Roman" w:hAnsi="Times New Roman"/>
        </w:rPr>
        <w:t>Nezákonné nakladanie s jadrovými a rádioaktívnymi materiálmi</w:t>
      </w:r>
      <w:bookmarkEnd w:id="73"/>
    </w:p>
    <w:p w:rsidR="00A71AEB" w:rsidP="00A71AEB">
      <w:pPr>
        <w:autoSpaceDE w:val="0"/>
        <w:autoSpaceDN w:val="0"/>
        <w:bidi w:val="0"/>
        <w:adjustRightInd w:val="0"/>
        <w:jc w:val="both"/>
        <w:rPr>
          <w:rFonts w:ascii="Times New Roman" w:hAnsi="Times New Roman"/>
        </w:rPr>
      </w:pPr>
      <w:r>
        <w:rPr>
          <w:rFonts w:ascii="Times New Roman" w:hAnsi="Times New Roman"/>
        </w:rPr>
        <w:t>S fenoménom nezákonného obchodovania s </w:t>
      </w:r>
      <w:r w:rsidR="00F94FA4">
        <w:rPr>
          <w:rFonts w:ascii="Times New Roman" w:hAnsi="Times New Roman"/>
        </w:rPr>
        <w:t>JM</w:t>
      </w:r>
      <w:r>
        <w:rPr>
          <w:rFonts w:ascii="Times New Roman" w:hAnsi="Times New Roman"/>
        </w:rPr>
        <w:t xml:space="preserve"> sa na Slovensku stretávame od začiatku deväťdesiatych rokov. V tomto období boli na území Slovenska zachytené rôzne </w:t>
      </w:r>
      <w:r w:rsidR="00F94FA4">
        <w:rPr>
          <w:rFonts w:ascii="Times New Roman" w:hAnsi="Times New Roman"/>
        </w:rPr>
        <w:t>JM</w:t>
      </w:r>
      <w:r>
        <w:rPr>
          <w:rFonts w:ascii="Times New Roman" w:hAnsi="Times New Roman"/>
        </w:rPr>
        <w:t xml:space="preserve">, väčšinou </w:t>
      </w:r>
      <w:r w:rsidR="00F94FA4">
        <w:rPr>
          <w:rFonts w:ascii="Times New Roman" w:hAnsi="Times New Roman"/>
        </w:rPr>
        <w:t>išlo</w:t>
      </w:r>
      <w:r>
        <w:rPr>
          <w:rFonts w:ascii="Times New Roman" w:hAnsi="Times New Roman"/>
        </w:rPr>
        <w:t xml:space="preserve"> o čerstvé palivové peletky a rozličné zlúčeniny uránu. Od roku 2000 až do roku 2006 s</w:t>
      </w:r>
      <w:r w:rsidR="00F94FA4">
        <w:rPr>
          <w:rFonts w:ascii="Times New Roman" w:hAnsi="Times New Roman"/>
        </w:rPr>
        <w:t>a</w:t>
      </w:r>
      <w:r>
        <w:rPr>
          <w:rFonts w:ascii="Times New Roman" w:hAnsi="Times New Roman"/>
        </w:rPr>
        <w:t xml:space="preserve"> nezaznamenal žiadny prípad nezákonného obchodovania, od roku 2006 sa však opäť začali objavovať pokusy o nezákonné nakladanie a obchodovanie s </w:t>
      </w:r>
      <w:r w:rsidR="00F94FA4">
        <w:rPr>
          <w:rFonts w:ascii="Times New Roman" w:hAnsi="Times New Roman"/>
        </w:rPr>
        <w:t xml:space="preserve">JM. </w:t>
      </w:r>
      <w:r>
        <w:rPr>
          <w:rFonts w:ascii="Times New Roman" w:hAnsi="Times New Roman"/>
        </w:rPr>
        <w:t>Už od začiatku deväťdesiatych rokov koordinovali rôzne štátne orgány svoju činnosť zameranú na prevenciu a odhaľovanie nezákonného obchodovania s </w:t>
      </w:r>
      <w:r w:rsidR="00F94FA4">
        <w:rPr>
          <w:rFonts w:ascii="Times New Roman" w:hAnsi="Times New Roman"/>
        </w:rPr>
        <w:t>JM</w:t>
      </w:r>
      <w:r>
        <w:rPr>
          <w:rFonts w:ascii="Times New Roman" w:hAnsi="Times New Roman"/>
        </w:rPr>
        <w:t>. Tieto snahy postupne viedli k vytvoreniu systému spolupráce medzi štátnymi organizáciami, ale aj spolupráce s medzinárodnými organizáciami. Spolupracuje</w:t>
      </w:r>
      <w:r w:rsidR="00F94FA4">
        <w:rPr>
          <w:rFonts w:ascii="Times New Roman" w:hAnsi="Times New Roman"/>
        </w:rPr>
        <w:t xml:space="preserve"> sa</w:t>
      </w:r>
      <w:r>
        <w:rPr>
          <w:rFonts w:ascii="Times New Roman" w:hAnsi="Times New Roman"/>
        </w:rPr>
        <w:t xml:space="preserve"> s M</w:t>
      </w:r>
      <w:r w:rsidR="005C02A1">
        <w:rPr>
          <w:rFonts w:ascii="Times New Roman" w:hAnsi="Times New Roman"/>
        </w:rPr>
        <w:t>AAE</w:t>
      </w:r>
      <w:r>
        <w:rPr>
          <w:rFonts w:ascii="Times New Roman" w:hAnsi="Times New Roman"/>
        </w:rPr>
        <w:t>, Spojeným výskumným centrom v Karlsruhe, ale tiež s Interpolom a Europolom. V rámci tejto spolupráce sa naši experti zúčastňujú na konferenciách, pracovných stretnutiach a kurzoch a</w:t>
      </w:r>
      <w:r w:rsidR="005C02A1">
        <w:rPr>
          <w:rFonts w:ascii="Times New Roman" w:hAnsi="Times New Roman"/>
        </w:rPr>
        <w:t> </w:t>
      </w:r>
      <w:r>
        <w:rPr>
          <w:rFonts w:ascii="Times New Roman" w:hAnsi="Times New Roman"/>
        </w:rPr>
        <w:t>organizuj</w:t>
      </w:r>
      <w:r w:rsidR="005C02A1">
        <w:rPr>
          <w:rFonts w:ascii="Times New Roman" w:hAnsi="Times New Roman"/>
        </w:rPr>
        <w:t>ú sa</w:t>
      </w:r>
      <w:r>
        <w:rPr>
          <w:rFonts w:ascii="Times New Roman" w:hAnsi="Times New Roman"/>
        </w:rPr>
        <w:t xml:space="preserve"> spoločné cvičenia. Dôležitou súčasťou tejto spolupráce je výmena informácií. Na národnej úrovni zabezpečuje výmenu informácií elektronický informačný systém ILTRAM, na medzinárodnej úrovni je to Illicit Trafficking Database, ktorú prevádzkuje M</w:t>
      </w:r>
      <w:r w:rsidR="00F94FA4">
        <w:rPr>
          <w:rFonts w:ascii="Times New Roman" w:hAnsi="Times New Roman"/>
        </w:rPr>
        <w:t>AAE</w:t>
      </w:r>
      <w:r w:rsidR="005C02A1">
        <w:rPr>
          <w:rFonts w:ascii="Times New Roman" w:hAnsi="Times New Roman"/>
        </w:rPr>
        <w:t>.</w:t>
      </w:r>
      <w:r>
        <w:rPr>
          <w:rFonts w:ascii="Times New Roman" w:hAnsi="Times New Roman"/>
        </w:rPr>
        <w:t xml:space="preserve"> V súčasnosti do tejto databázy prispieva viac ako 100 štátov z celého sveta vrátane S</w:t>
      </w:r>
      <w:r w:rsidR="00F94FA4">
        <w:rPr>
          <w:rFonts w:ascii="Times New Roman" w:hAnsi="Times New Roman"/>
        </w:rPr>
        <w:t>R</w:t>
      </w:r>
      <w:r>
        <w:rPr>
          <w:rFonts w:ascii="Times New Roman" w:hAnsi="Times New Roman"/>
        </w:rPr>
        <w:t xml:space="preserve">. </w:t>
      </w:r>
    </w:p>
    <w:p w:rsidR="00A71AEB" w:rsidP="00A71AEB">
      <w:pPr>
        <w:pStyle w:val="BodyText"/>
        <w:bidi w:val="0"/>
        <w:rPr>
          <w:rFonts w:ascii="Times New Roman" w:hAnsi="Times New Roman"/>
        </w:rPr>
      </w:pPr>
      <w:r>
        <w:rPr>
          <w:rFonts w:ascii="Times New Roman" w:hAnsi="Times New Roman"/>
        </w:rPr>
        <w:t xml:space="preserve">Zástupcovia </w:t>
      </w:r>
      <w:r w:rsidR="00F94FA4">
        <w:rPr>
          <w:rFonts w:ascii="Times New Roman" w:hAnsi="Times New Roman"/>
          <w:lang w:val="sk-SK"/>
        </w:rPr>
        <w:t>ÚJD SR</w:t>
      </w:r>
      <w:r>
        <w:rPr>
          <w:rFonts w:ascii="Times New Roman" w:hAnsi="Times New Roman"/>
        </w:rPr>
        <w:t xml:space="preserve"> spoluprac</w:t>
      </w:r>
      <w:r w:rsidR="00F94FA4">
        <w:rPr>
          <w:rFonts w:ascii="Times New Roman" w:hAnsi="Times New Roman"/>
          <w:lang w:val="sk-SK"/>
        </w:rPr>
        <w:t>ujú</w:t>
      </w:r>
      <w:r>
        <w:rPr>
          <w:rFonts w:ascii="Times New Roman" w:hAnsi="Times New Roman"/>
        </w:rPr>
        <w:t xml:space="preserve"> s bezpečnostnými zložkami štátu pri odhaľovaní nezákonného obchodovania s </w:t>
      </w:r>
      <w:r w:rsidR="00F94FA4">
        <w:rPr>
          <w:rFonts w:ascii="Times New Roman" w:hAnsi="Times New Roman"/>
          <w:lang w:val="sk-SK"/>
        </w:rPr>
        <w:t>JM</w:t>
      </w:r>
      <w:r>
        <w:rPr>
          <w:rFonts w:ascii="Times New Roman" w:hAnsi="Times New Roman"/>
        </w:rPr>
        <w:t>.</w:t>
      </w:r>
    </w:p>
    <w:p w:rsidR="00E00EC8" w:rsidRPr="005B7834" w:rsidP="00E00EC8">
      <w:pPr>
        <w:pStyle w:val="BodyText"/>
        <w:bidi w:val="0"/>
        <w:rPr>
          <w:rFonts w:ascii="Times New Roman" w:hAnsi="Times New Roman"/>
          <w:highlight w:val="yellow"/>
          <w:lang w:val="sk-SK"/>
        </w:rPr>
      </w:pPr>
    </w:p>
    <w:p w:rsidR="00E00EC8" w:rsidRPr="005C02A1" w:rsidP="005C02A1">
      <w:pPr>
        <w:pStyle w:val="Heading2"/>
        <w:tabs>
          <w:tab w:val="num" w:pos="0"/>
        </w:tabs>
        <w:bidi w:val="0"/>
        <w:ind w:left="0" w:firstLine="11"/>
        <w:rPr>
          <w:rFonts w:ascii="Times New Roman" w:hAnsi="Times New Roman"/>
        </w:rPr>
      </w:pPr>
      <w:bookmarkStart w:id="74" w:name="_Toc320719729"/>
      <w:r w:rsidRPr="005C02A1">
        <w:rPr>
          <w:rFonts w:ascii="Times New Roman" w:hAnsi="Times New Roman"/>
        </w:rPr>
        <w:t>Kontrola skladovania čerstvého a vyhoretého jadrového paliva</w:t>
      </w:r>
      <w:bookmarkEnd w:id="74"/>
    </w:p>
    <w:p w:rsidR="00A71AEB" w:rsidRPr="00A90CE4" w:rsidP="00A71AEB">
      <w:pPr>
        <w:pStyle w:val="Title"/>
        <w:bidi w:val="0"/>
        <w:jc w:val="both"/>
        <w:rPr>
          <w:rFonts w:ascii="Times New Roman" w:hAnsi="Times New Roman"/>
          <w:b w:val="0"/>
          <w:bCs/>
        </w:rPr>
      </w:pPr>
      <w:r w:rsidRPr="00A90CE4">
        <w:rPr>
          <w:rFonts w:ascii="Times New Roman" w:hAnsi="Times New Roman"/>
          <w:b w:val="0"/>
          <w:bCs/>
        </w:rPr>
        <w:t>V roku 20</w:t>
      </w:r>
      <w:r w:rsidR="00A90CE4">
        <w:rPr>
          <w:rFonts w:ascii="Times New Roman" w:hAnsi="Times New Roman"/>
          <w:b w:val="0"/>
          <w:bCs/>
        </w:rPr>
        <w:t>11</w:t>
      </w:r>
      <w:r w:rsidRPr="00A90CE4">
        <w:rPr>
          <w:rFonts w:ascii="Times New Roman" w:hAnsi="Times New Roman"/>
          <w:b w:val="0"/>
          <w:bCs/>
        </w:rPr>
        <w:t xml:space="preserve"> s</w:t>
      </w:r>
      <w:r w:rsidR="00A90CE4">
        <w:rPr>
          <w:rFonts w:ascii="Times New Roman" w:hAnsi="Times New Roman"/>
          <w:b w:val="0"/>
          <w:bCs/>
        </w:rPr>
        <w:t>a</w:t>
      </w:r>
      <w:r w:rsidRPr="00A90CE4">
        <w:rPr>
          <w:rFonts w:ascii="Times New Roman" w:hAnsi="Times New Roman"/>
          <w:b w:val="0"/>
          <w:bCs/>
        </w:rPr>
        <w:t xml:space="preserve"> vykonal</w:t>
      </w:r>
      <w:r w:rsidR="00A90CE4">
        <w:rPr>
          <w:rFonts w:ascii="Times New Roman" w:hAnsi="Times New Roman"/>
          <w:b w:val="0"/>
          <w:bCs/>
        </w:rPr>
        <w:t>o</w:t>
      </w:r>
      <w:r w:rsidRPr="00A90CE4">
        <w:rPr>
          <w:rFonts w:ascii="Times New Roman" w:hAnsi="Times New Roman"/>
          <w:b w:val="0"/>
          <w:bCs/>
        </w:rPr>
        <w:t xml:space="preserve"> 5 plánovaných inšpekcií zameraných na kontrolu skladovania </w:t>
      </w:r>
      <w:r w:rsidR="004819B4">
        <w:rPr>
          <w:rFonts w:ascii="Times New Roman" w:hAnsi="Times New Roman"/>
          <w:b w:val="0"/>
          <w:bCs/>
        </w:rPr>
        <w:t>ČJP a VJP</w:t>
      </w:r>
      <w:r w:rsidRPr="00A90CE4">
        <w:rPr>
          <w:rFonts w:ascii="Times New Roman" w:hAnsi="Times New Roman"/>
          <w:b w:val="0"/>
          <w:bCs/>
        </w:rPr>
        <w:t xml:space="preserve"> v  AE Bohunice a v AE Mochovce. </w:t>
      </w:r>
    </w:p>
    <w:p w:rsidR="00A71AEB" w:rsidP="00A71AEB">
      <w:pPr>
        <w:pStyle w:val="Title"/>
        <w:bidi w:val="0"/>
        <w:jc w:val="both"/>
        <w:rPr>
          <w:rFonts w:ascii="Times New Roman" w:hAnsi="Times New Roman"/>
          <w:b w:val="0"/>
          <w:bCs/>
        </w:rPr>
      </w:pPr>
      <w:r w:rsidRPr="00A90CE4">
        <w:rPr>
          <w:rFonts w:ascii="Times New Roman" w:hAnsi="Times New Roman"/>
          <w:b w:val="0"/>
          <w:bCs/>
        </w:rPr>
        <w:t>Nezistili s</w:t>
      </w:r>
      <w:r w:rsidR="004819B4">
        <w:rPr>
          <w:rFonts w:ascii="Times New Roman" w:hAnsi="Times New Roman"/>
          <w:b w:val="0"/>
          <w:bCs/>
        </w:rPr>
        <w:t>a</w:t>
      </w:r>
      <w:r w:rsidRPr="00A90CE4">
        <w:rPr>
          <w:rFonts w:ascii="Times New Roman" w:hAnsi="Times New Roman"/>
          <w:b w:val="0"/>
          <w:bCs/>
        </w:rPr>
        <w:t xml:space="preserve"> žiadne závažné nedostatky, prevádzka skladov </w:t>
      </w:r>
      <w:r w:rsidR="004819B4">
        <w:rPr>
          <w:rFonts w:ascii="Times New Roman" w:hAnsi="Times New Roman"/>
          <w:b w:val="0"/>
          <w:bCs/>
        </w:rPr>
        <w:t>ČJP</w:t>
      </w:r>
      <w:r w:rsidRPr="00A90CE4">
        <w:rPr>
          <w:rFonts w:ascii="Times New Roman" w:hAnsi="Times New Roman"/>
          <w:b w:val="0"/>
          <w:bCs/>
        </w:rPr>
        <w:t xml:space="preserve"> a bazénov skladovania </w:t>
      </w:r>
      <w:r w:rsidR="004819B4">
        <w:rPr>
          <w:rFonts w:ascii="Times New Roman" w:hAnsi="Times New Roman"/>
          <w:b w:val="0"/>
          <w:bCs/>
        </w:rPr>
        <w:t>VJP</w:t>
      </w:r>
      <w:r w:rsidRPr="00A90CE4">
        <w:rPr>
          <w:rFonts w:ascii="Times New Roman" w:hAnsi="Times New Roman"/>
          <w:b w:val="0"/>
          <w:bCs/>
        </w:rPr>
        <w:t xml:space="preserve"> bola vyhodnotená ako bezpečná v súlade s požiadavkami </w:t>
      </w:r>
      <w:r w:rsidR="004819B4">
        <w:rPr>
          <w:rFonts w:ascii="Times New Roman" w:hAnsi="Times New Roman"/>
          <w:b w:val="0"/>
          <w:bCs/>
        </w:rPr>
        <w:t>a</w:t>
      </w:r>
      <w:r w:rsidRPr="00A90CE4">
        <w:rPr>
          <w:rFonts w:ascii="Times New Roman" w:hAnsi="Times New Roman"/>
          <w:b w:val="0"/>
          <w:bCs/>
        </w:rPr>
        <w:t>tómového zákona a príslušných predpisov.</w:t>
      </w:r>
    </w:p>
    <w:p w:rsidR="00A71AEB" w:rsidP="00A71AEB">
      <w:pPr>
        <w:pStyle w:val="Title"/>
        <w:bidi w:val="0"/>
        <w:ind w:left="708" w:hanging="708"/>
        <w:jc w:val="both"/>
        <w:rPr>
          <w:rFonts w:ascii="Times New Roman" w:hAnsi="Times New Roman"/>
          <w:i/>
          <w:iCs/>
        </w:rPr>
      </w:pPr>
    </w:p>
    <w:p w:rsidR="00E00EC8" w:rsidRPr="00D95E1F" w:rsidP="004D1760">
      <w:pPr>
        <w:bidi w:val="0"/>
        <w:rPr>
          <w:rFonts w:ascii="Times New Roman" w:hAnsi="Times New Roman"/>
          <w:i/>
        </w:rPr>
      </w:pPr>
      <w:r w:rsidRPr="00D95E1F">
        <w:rPr>
          <w:rFonts w:ascii="Times New Roman" w:hAnsi="Times New Roman"/>
          <w:i/>
        </w:rPr>
        <w:t>Záver:</w:t>
      </w:r>
    </w:p>
    <w:p w:rsidR="00441A2D" w:rsidRPr="00EF21C1" w:rsidP="00E00EC8">
      <w:pPr>
        <w:pStyle w:val="BodyText"/>
        <w:suppressLineNumbers/>
        <w:bidi w:val="0"/>
        <w:rPr>
          <w:rFonts w:ascii="Times New Roman" w:hAnsi="Times New Roman"/>
          <w:bCs/>
          <w:i/>
          <w:iCs w:val="0"/>
          <w:lang w:val="sk-SK"/>
        </w:rPr>
      </w:pPr>
      <w:r w:rsidRPr="00D95E1F" w:rsidR="00E00EC8">
        <w:rPr>
          <w:rFonts w:ascii="Times New Roman" w:hAnsi="Times New Roman"/>
          <w:bCs/>
          <w:i/>
          <w:iCs w:val="0"/>
        </w:rPr>
        <w:t>Pri inšpekciách na JZ neboli</w:t>
      </w:r>
      <w:r w:rsidRPr="00D95E1F" w:rsidR="00EF7DC4">
        <w:rPr>
          <w:rFonts w:ascii="Times New Roman" w:hAnsi="Times New Roman"/>
          <w:bCs/>
          <w:i/>
          <w:iCs w:val="0"/>
          <w:lang w:val="sk-SK"/>
        </w:rPr>
        <w:t xml:space="preserve"> </w:t>
      </w:r>
      <w:r w:rsidRPr="00D95E1F" w:rsidR="00BD313F">
        <w:rPr>
          <w:rFonts w:ascii="Times New Roman" w:hAnsi="Times New Roman"/>
          <w:bCs/>
          <w:i/>
          <w:iCs w:val="0"/>
          <w:lang w:val="sk-SK"/>
        </w:rPr>
        <w:t>v roku 2011</w:t>
      </w:r>
      <w:r w:rsidRPr="00D95E1F" w:rsidR="00BD313F">
        <w:rPr>
          <w:rFonts w:ascii="Times New Roman" w:hAnsi="Times New Roman"/>
          <w:bCs/>
          <w:i/>
          <w:iCs w:val="0"/>
        </w:rPr>
        <w:t xml:space="preserve"> </w:t>
      </w:r>
      <w:r w:rsidRPr="00D95E1F" w:rsidR="00BD313F">
        <w:rPr>
          <w:rFonts w:ascii="Times New Roman" w:hAnsi="Times New Roman"/>
          <w:bCs/>
          <w:i/>
          <w:iCs w:val="0"/>
          <w:lang w:val="sk-SK"/>
        </w:rPr>
        <w:t xml:space="preserve">pri skladovaní ČJP a VJP </w:t>
      </w:r>
      <w:r w:rsidRPr="00D95E1F" w:rsidR="00E00EC8">
        <w:rPr>
          <w:rFonts w:ascii="Times New Roman" w:hAnsi="Times New Roman"/>
          <w:bCs/>
          <w:i/>
          <w:iCs w:val="0"/>
        </w:rPr>
        <w:t>zistené žiadne závažné nedostatky</w:t>
      </w:r>
      <w:r w:rsidRPr="00D95E1F" w:rsidR="00BD313F">
        <w:rPr>
          <w:rFonts w:ascii="Times New Roman" w:hAnsi="Times New Roman"/>
          <w:bCs/>
          <w:i/>
          <w:iCs w:val="0"/>
          <w:lang w:val="sk-SK"/>
        </w:rPr>
        <w:t>.</w:t>
      </w:r>
      <w:r w:rsidRPr="00D95E1F" w:rsidR="00E00EC8">
        <w:rPr>
          <w:rFonts w:ascii="Times New Roman" w:hAnsi="Times New Roman"/>
          <w:bCs/>
          <w:i/>
          <w:iCs w:val="0"/>
        </w:rPr>
        <w:t xml:space="preserve"> </w:t>
      </w:r>
    </w:p>
    <w:p w:rsidR="00E00EC8" w:rsidRPr="00A71AEB" w:rsidP="00E45958">
      <w:pPr>
        <w:pStyle w:val="Heading1"/>
        <w:tabs>
          <w:tab w:val="num" w:pos="284"/>
          <w:tab w:val="clear" w:pos="5747"/>
        </w:tabs>
        <w:bidi w:val="0"/>
        <w:ind w:left="357" w:hanging="357"/>
        <w:jc w:val="both"/>
        <w:rPr>
          <w:rFonts w:ascii="Times New Roman" w:hAnsi="Times New Roman"/>
        </w:rPr>
      </w:pPr>
      <w:bookmarkStart w:id="75" w:name="_Toc320719730"/>
      <w:r w:rsidRPr="00A71AEB">
        <w:rPr>
          <w:rFonts w:ascii="Times New Roman" w:hAnsi="Times New Roman"/>
        </w:rPr>
        <w:t xml:space="preserve">Fyzická </w:t>
      </w:r>
      <w:r w:rsidR="00E45958">
        <w:rPr>
          <w:rFonts w:ascii="Times New Roman" w:hAnsi="Times New Roman"/>
        </w:rPr>
        <w:t xml:space="preserve">BEZPEČNOSŤ </w:t>
      </w:r>
      <w:r w:rsidRPr="00A71AEB">
        <w:rPr>
          <w:rFonts w:ascii="Times New Roman" w:hAnsi="Times New Roman"/>
        </w:rPr>
        <w:t>jadrových zariadení a</w:t>
      </w:r>
      <w:r w:rsidR="00E45958">
        <w:rPr>
          <w:rFonts w:ascii="Times New Roman" w:hAnsi="Times New Roman"/>
        </w:rPr>
        <w:t xml:space="preserve"> </w:t>
      </w:r>
      <w:r w:rsidRPr="00A71AEB">
        <w:rPr>
          <w:rFonts w:ascii="Times New Roman" w:hAnsi="Times New Roman"/>
        </w:rPr>
        <w:t xml:space="preserve">Jadrových </w:t>
      </w:r>
      <w:r w:rsidRPr="006D0191">
        <w:rPr>
          <w:rFonts w:ascii="Times New Roman" w:hAnsi="Times New Roman"/>
        </w:rPr>
        <w:t>materiálov</w:t>
      </w:r>
      <w:bookmarkEnd w:id="75"/>
    </w:p>
    <w:p w:rsidR="00EF7DC4" w:rsidRPr="005B7834" w:rsidP="00E00EC8">
      <w:pPr>
        <w:bidi w:val="0"/>
        <w:jc w:val="both"/>
        <w:rPr>
          <w:rFonts w:ascii="Times New Roman" w:eastAsia="SimSun" w:hAnsi="Times New Roman"/>
          <w:szCs w:val="24"/>
          <w:highlight w:val="yellow"/>
        </w:rPr>
      </w:pPr>
    </w:p>
    <w:p w:rsidR="00E00EC8" w:rsidRPr="00D61781" w:rsidP="00BD313F">
      <w:pPr>
        <w:bidi w:val="0"/>
        <w:jc w:val="both"/>
        <w:rPr>
          <w:rFonts w:ascii="Times New Roman" w:hAnsi="Times New Roman"/>
          <w:szCs w:val="24"/>
        </w:rPr>
      </w:pPr>
      <w:r w:rsidRPr="00211DA5">
        <w:rPr>
          <w:rFonts w:ascii="Times New Roman" w:eastAsia="SimSun" w:hAnsi="Times New Roman" w:hint="default"/>
          <w:szCs w:val="24"/>
        </w:rPr>
        <w:t>Fyzickú</w:t>
      </w:r>
      <w:r w:rsidRPr="00211DA5">
        <w:rPr>
          <w:rFonts w:ascii="Times New Roman" w:eastAsia="SimSun" w:hAnsi="Times New Roman" w:hint="default"/>
          <w:szCs w:val="24"/>
        </w:rPr>
        <w:t xml:space="preserve"> </w:t>
      </w:r>
      <w:r w:rsidR="00E45958">
        <w:rPr>
          <w:rFonts w:ascii="Times New Roman" w:eastAsia="SimSun" w:hAnsi="Times New Roman" w:hint="default"/>
          <w:szCs w:val="24"/>
        </w:rPr>
        <w:t>bezpeč</w:t>
      </w:r>
      <w:r w:rsidR="00E45958">
        <w:rPr>
          <w:rFonts w:ascii="Times New Roman" w:eastAsia="SimSun" w:hAnsi="Times New Roman" w:hint="default"/>
          <w:szCs w:val="24"/>
        </w:rPr>
        <w:t>nosť</w:t>
      </w:r>
      <w:r w:rsidRPr="00211DA5">
        <w:rPr>
          <w:rFonts w:ascii="Times New Roman" w:eastAsia="SimSun" w:hAnsi="Times New Roman" w:hint="default"/>
          <w:szCs w:val="24"/>
        </w:rPr>
        <w:t xml:space="preserve"> tvorí</w:t>
      </w:r>
      <w:r w:rsidRPr="00211DA5">
        <w:rPr>
          <w:rFonts w:ascii="Times New Roman" w:eastAsia="SimSun" w:hAnsi="Times New Roman" w:hint="default"/>
          <w:szCs w:val="24"/>
        </w:rPr>
        <w:t xml:space="preserve"> sú</w:t>
      </w:r>
      <w:r w:rsidRPr="00211DA5">
        <w:rPr>
          <w:rFonts w:ascii="Times New Roman" w:eastAsia="SimSun" w:hAnsi="Times New Roman" w:hint="default"/>
          <w:szCs w:val="24"/>
        </w:rPr>
        <w:t>bor technický</w:t>
      </w:r>
      <w:r w:rsidRPr="00211DA5">
        <w:rPr>
          <w:rFonts w:ascii="Times New Roman" w:eastAsia="SimSun" w:hAnsi="Times New Roman" w:hint="default"/>
          <w:szCs w:val="24"/>
        </w:rPr>
        <w:t>ch, rež</w:t>
      </w:r>
      <w:r w:rsidRPr="00211DA5">
        <w:rPr>
          <w:rFonts w:ascii="Times New Roman" w:eastAsia="SimSun" w:hAnsi="Times New Roman" w:hint="default"/>
          <w:szCs w:val="24"/>
        </w:rPr>
        <w:t>imový</w:t>
      </w:r>
      <w:r w:rsidRPr="00211DA5">
        <w:rPr>
          <w:rFonts w:ascii="Times New Roman" w:eastAsia="SimSun" w:hAnsi="Times New Roman" w:hint="default"/>
          <w:szCs w:val="24"/>
        </w:rPr>
        <w:t>ch a organizač</w:t>
      </w:r>
      <w:r w:rsidRPr="00211DA5">
        <w:rPr>
          <w:rFonts w:ascii="Times New Roman" w:eastAsia="SimSun" w:hAnsi="Times New Roman" w:hint="default"/>
          <w:szCs w:val="24"/>
        </w:rPr>
        <w:t>ný</w:t>
      </w:r>
      <w:r w:rsidRPr="00211DA5">
        <w:rPr>
          <w:rFonts w:ascii="Times New Roman" w:eastAsia="SimSun" w:hAnsi="Times New Roman" w:hint="default"/>
          <w:szCs w:val="24"/>
        </w:rPr>
        <w:t>ch opatrení</w:t>
      </w:r>
      <w:r w:rsidRPr="00211DA5">
        <w:rPr>
          <w:rFonts w:ascii="Times New Roman" w:eastAsia="SimSun" w:hAnsi="Times New Roman" w:hint="default"/>
          <w:szCs w:val="24"/>
        </w:rPr>
        <w:t>, potrebný</w:t>
      </w:r>
      <w:r w:rsidRPr="00211DA5">
        <w:rPr>
          <w:rFonts w:ascii="Times New Roman" w:eastAsia="SimSun" w:hAnsi="Times New Roman" w:hint="default"/>
          <w:szCs w:val="24"/>
        </w:rPr>
        <w:t xml:space="preserve">ch na </w:t>
      </w:r>
      <w:r w:rsidRPr="00211DA5" w:rsidR="000169E4">
        <w:rPr>
          <w:rFonts w:ascii="Times New Roman" w:eastAsia="SimSun" w:hAnsi="Times New Roman"/>
          <w:szCs w:val="24"/>
        </w:rPr>
        <w:t xml:space="preserve">zistenie a </w:t>
      </w:r>
      <w:r w:rsidRPr="00211DA5">
        <w:rPr>
          <w:rFonts w:ascii="Times New Roman" w:eastAsia="SimSun" w:hAnsi="Times New Roman" w:hint="default"/>
          <w:szCs w:val="24"/>
        </w:rPr>
        <w:t>zabrá</w:t>
      </w:r>
      <w:r w:rsidRPr="00211DA5">
        <w:rPr>
          <w:rFonts w:ascii="Times New Roman" w:eastAsia="SimSun" w:hAnsi="Times New Roman" w:hint="default"/>
          <w:szCs w:val="24"/>
        </w:rPr>
        <w:t>nenie neoprá</w:t>
      </w:r>
      <w:r w:rsidRPr="00211DA5">
        <w:rPr>
          <w:rFonts w:ascii="Times New Roman" w:eastAsia="SimSun" w:hAnsi="Times New Roman" w:hint="default"/>
          <w:szCs w:val="24"/>
        </w:rPr>
        <w:t>vnený</w:t>
      </w:r>
      <w:r w:rsidRPr="00211DA5">
        <w:rPr>
          <w:rFonts w:ascii="Times New Roman" w:eastAsia="SimSun" w:hAnsi="Times New Roman" w:hint="default"/>
          <w:szCs w:val="24"/>
        </w:rPr>
        <w:t>ch č</w:t>
      </w:r>
      <w:r w:rsidRPr="00211DA5">
        <w:rPr>
          <w:rFonts w:ascii="Times New Roman" w:eastAsia="SimSun" w:hAnsi="Times New Roman" w:hint="default"/>
          <w:szCs w:val="24"/>
        </w:rPr>
        <w:t>inností</w:t>
      </w:r>
      <w:r w:rsidRPr="00211DA5">
        <w:rPr>
          <w:rFonts w:ascii="Times New Roman" w:eastAsia="SimSun" w:hAnsi="Times New Roman" w:hint="default"/>
          <w:szCs w:val="24"/>
        </w:rPr>
        <w:t xml:space="preserve"> v </w:t>
      </w:r>
      <w:r w:rsidRPr="00211DA5">
        <w:rPr>
          <w:rFonts w:ascii="Times New Roman" w:eastAsia="SimSun" w:hAnsi="Times New Roman" w:hint="default"/>
          <w:szCs w:val="24"/>
        </w:rPr>
        <w:t>JZ, s JM, š</w:t>
      </w:r>
      <w:r w:rsidRPr="00211DA5">
        <w:rPr>
          <w:rFonts w:ascii="Times New Roman" w:eastAsia="SimSun" w:hAnsi="Times New Roman" w:hint="default"/>
          <w:szCs w:val="24"/>
        </w:rPr>
        <w:t>peciá</w:t>
      </w:r>
      <w:r w:rsidRPr="00211DA5">
        <w:rPr>
          <w:rFonts w:ascii="Times New Roman" w:eastAsia="SimSun" w:hAnsi="Times New Roman" w:hint="default"/>
          <w:szCs w:val="24"/>
        </w:rPr>
        <w:t>lnymi materiá</w:t>
      </w:r>
      <w:r w:rsidRPr="00211DA5">
        <w:rPr>
          <w:rFonts w:ascii="Times New Roman" w:eastAsia="SimSun" w:hAnsi="Times New Roman" w:hint="default"/>
          <w:szCs w:val="24"/>
        </w:rPr>
        <w:t>l</w:t>
      </w:r>
      <w:r w:rsidRPr="00211DA5">
        <w:rPr>
          <w:rFonts w:ascii="Times New Roman" w:eastAsia="SimSun" w:hAnsi="Times New Roman" w:hint="default"/>
          <w:szCs w:val="24"/>
        </w:rPr>
        <w:t>mi a zariadeniami, pri nakladaní</w:t>
      </w:r>
      <w:r w:rsidRPr="00211DA5">
        <w:rPr>
          <w:rFonts w:ascii="Times New Roman" w:eastAsia="SimSun" w:hAnsi="Times New Roman" w:hint="default"/>
          <w:szCs w:val="24"/>
        </w:rPr>
        <w:t xml:space="preserve"> s </w:t>
      </w:r>
      <w:r w:rsidRPr="00211DA5">
        <w:rPr>
          <w:rFonts w:ascii="Times New Roman" w:eastAsia="SimSun" w:hAnsi="Times New Roman" w:hint="default"/>
          <w:szCs w:val="24"/>
        </w:rPr>
        <w:t>RAO, VJP, pri preprave rá</w:t>
      </w:r>
      <w:r w:rsidRPr="00211DA5">
        <w:rPr>
          <w:rFonts w:ascii="Times New Roman" w:eastAsia="SimSun" w:hAnsi="Times New Roman" w:hint="default"/>
          <w:szCs w:val="24"/>
        </w:rPr>
        <w:t>dioaktí</w:t>
      </w:r>
      <w:r w:rsidRPr="00211DA5">
        <w:rPr>
          <w:rFonts w:ascii="Times New Roman" w:eastAsia="SimSun" w:hAnsi="Times New Roman" w:hint="default"/>
          <w:szCs w:val="24"/>
        </w:rPr>
        <w:t>vnych materiá</w:t>
      </w:r>
      <w:r w:rsidRPr="00211DA5">
        <w:rPr>
          <w:rFonts w:ascii="Times New Roman" w:eastAsia="SimSun" w:hAnsi="Times New Roman" w:hint="default"/>
          <w:szCs w:val="24"/>
        </w:rPr>
        <w:t>lov</w:t>
      </w:r>
      <w:r w:rsidR="004819B4">
        <w:rPr>
          <w:rFonts w:ascii="Times New Roman" w:eastAsia="SimSun" w:hAnsi="Times New Roman"/>
          <w:szCs w:val="24"/>
        </w:rPr>
        <w:t>,</w:t>
      </w:r>
      <w:r w:rsidRPr="00211DA5">
        <w:rPr>
          <w:rFonts w:ascii="Times New Roman" w:eastAsia="SimSun" w:hAnsi="Times New Roman" w:hint="default"/>
          <w:szCs w:val="24"/>
        </w:rPr>
        <w:t xml:space="preserve"> ako aj neoprá</w:t>
      </w:r>
      <w:r w:rsidRPr="00211DA5">
        <w:rPr>
          <w:rFonts w:ascii="Times New Roman" w:eastAsia="SimSun" w:hAnsi="Times New Roman" w:hint="default"/>
          <w:szCs w:val="24"/>
        </w:rPr>
        <w:t>vnené</w:t>
      </w:r>
      <w:r w:rsidRPr="00211DA5">
        <w:rPr>
          <w:rFonts w:ascii="Times New Roman" w:eastAsia="SimSun" w:hAnsi="Times New Roman" w:hint="default"/>
          <w:szCs w:val="24"/>
        </w:rPr>
        <w:t>ho vniknutia do JZ a vykonanie sabotáž</w:t>
      </w:r>
      <w:r w:rsidRPr="00211DA5">
        <w:rPr>
          <w:rFonts w:ascii="Times New Roman" w:eastAsia="SimSun" w:hAnsi="Times New Roman" w:hint="default"/>
          <w:szCs w:val="24"/>
        </w:rPr>
        <w:t>e.</w:t>
      </w:r>
      <w:r w:rsidRPr="00D61781" w:rsidR="00D61781">
        <w:rPr>
          <w:rFonts w:ascii="Times New Roman" w:eastAsia="SimSun" w:hAnsi="Times New Roman"/>
          <w:szCs w:val="24"/>
        </w:rPr>
        <w:t xml:space="preserve"> </w:t>
      </w:r>
    </w:p>
    <w:p w:rsidR="00211DA5" w:rsidRPr="003F61B2" w:rsidP="00BD313F">
      <w:pPr>
        <w:bidi w:val="0"/>
        <w:jc w:val="both"/>
        <w:rPr>
          <w:rFonts w:ascii="Times New Roman" w:eastAsia="SimSun" w:hAnsi="Times New Roman"/>
          <w:szCs w:val="24"/>
        </w:rPr>
      </w:pPr>
      <w:r w:rsidRPr="00211DA5" w:rsidR="00E00EC8">
        <w:rPr>
          <w:rFonts w:ascii="Times New Roman" w:eastAsia="SimSun" w:hAnsi="Times New Roman" w:hint="default"/>
          <w:szCs w:val="24"/>
        </w:rPr>
        <w:t>Dozornú</w:t>
      </w:r>
      <w:r w:rsidRPr="00211DA5" w:rsidR="00E00EC8">
        <w:rPr>
          <w:rFonts w:ascii="Times New Roman" w:eastAsia="SimSun" w:hAnsi="Times New Roman" w:hint="default"/>
          <w:szCs w:val="24"/>
        </w:rPr>
        <w:t xml:space="preserve"> č</w:t>
      </w:r>
      <w:r w:rsidRPr="00211DA5" w:rsidR="00E00EC8">
        <w:rPr>
          <w:rFonts w:ascii="Times New Roman" w:eastAsia="SimSun" w:hAnsi="Times New Roman" w:hint="default"/>
          <w:szCs w:val="24"/>
        </w:rPr>
        <w:t>innosť</w:t>
      </w:r>
      <w:r w:rsidRPr="00211DA5" w:rsidR="00E00EC8">
        <w:rPr>
          <w:rFonts w:ascii="Times New Roman" w:eastAsia="SimSun" w:hAnsi="Times New Roman" w:hint="default"/>
          <w:szCs w:val="24"/>
        </w:rPr>
        <w:t xml:space="preserve"> v </w:t>
      </w:r>
      <w:r w:rsidRPr="00211DA5" w:rsidR="00E00EC8">
        <w:rPr>
          <w:rFonts w:ascii="Times New Roman" w:eastAsia="SimSun" w:hAnsi="Times New Roman" w:hint="default"/>
          <w:szCs w:val="24"/>
        </w:rPr>
        <w:t>tejto oblasti Ú</w:t>
      </w:r>
      <w:r w:rsidRPr="00211DA5" w:rsidR="00E00EC8">
        <w:rPr>
          <w:rFonts w:ascii="Times New Roman" w:eastAsia="SimSun" w:hAnsi="Times New Roman" w:hint="default"/>
          <w:szCs w:val="24"/>
        </w:rPr>
        <w:t>JD SR sú</w:t>
      </w:r>
      <w:r w:rsidRPr="00211DA5" w:rsidR="00E00EC8">
        <w:rPr>
          <w:rFonts w:ascii="Times New Roman" w:eastAsia="SimSun" w:hAnsi="Times New Roman" w:hint="default"/>
          <w:szCs w:val="24"/>
        </w:rPr>
        <w:t>stredil na kontrolu prevá</w:t>
      </w:r>
      <w:r w:rsidRPr="00211DA5" w:rsidR="00E00EC8">
        <w:rPr>
          <w:rFonts w:ascii="Times New Roman" w:eastAsia="SimSun" w:hAnsi="Times New Roman" w:hint="default"/>
          <w:szCs w:val="24"/>
        </w:rPr>
        <w:t>dzky technický</w:t>
      </w:r>
      <w:r w:rsidRPr="00211DA5" w:rsidR="00E00EC8">
        <w:rPr>
          <w:rFonts w:ascii="Times New Roman" w:eastAsia="SimSun" w:hAnsi="Times New Roman" w:hint="default"/>
          <w:szCs w:val="24"/>
        </w:rPr>
        <w:t>ch systé</w:t>
      </w:r>
      <w:r w:rsidRPr="00211DA5" w:rsidR="00E00EC8">
        <w:rPr>
          <w:rFonts w:ascii="Times New Roman" w:eastAsia="SimSun" w:hAnsi="Times New Roman" w:hint="default"/>
          <w:szCs w:val="24"/>
        </w:rPr>
        <w:t xml:space="preserve">mov fyzickej ochrany a </w:t>
      </w:r>
      <w:r w:rsidRPr="00211DA5" w:rsidR="00E00EC8">
        <w:rPr>
          <w:rFonts w:ascii="Times New Roman" w:eastAsia="SimSun" w:hAnsi="Times New Roman" w:hint="default"/>
          <w:szCs w:val="24"/>
        </w:rPr>
        <w:t>ú</w:t>
      </w:r>
      <w:r w:rsidRPr="00211DA5" w:rsidR="00E00EC8">
        <w:rPr>
          <w:rFonts w:ascii="Times New Roman" w:eastAsia="SimSun" w:hAnsi="Times New Roman" w:hint="default"/>
          <w:szCs w:val="24"/>
        </w:rPr>
        <w:t>rovne vý</w:t>
      </w:r>
      <w:r w:rsidRPr="00211DA5" w:rsidR="00E00EC8">
        <w:rPr>
          <w:rFonts w:ascii="Times New Roman" w:eastAsia="SimSun" w:hAnsi="Times New Roman" w:hint="default"/>
          <w:szCs w:val="24"/>
        </w:rPr>
        <w:t>konu rež</w:t>
      </w:r>
      <w:r w:rsidRPr="00211DA5" w:rsidR="00E00EC8">
        <w:rPr>
          <w:rFonts w:ascii="Times New Roman" w:eastAsia="SimSun" w:hAnsi="Times New Roman" w:hint="default"/>
          <w:szCs w:val="24"/>
        </w:rPr>
        <w:t>imovej ochrany v AE Bohunice V-2, AE Mochovce 1,2 a 3,4, a  JAVYS, a.</w:t>
      </w:r>
      <w:r w:rsidR="00917B77">
        <w:rPr>
          <w:rFonts w:ascii="Times New Roman" w:eastAsia="SimSun" w:hAnsi="Times New Roman"/>
          <w:szCs w:val="24"/>
        </w:rPr>
        <w:t> </w:t>
      </w:r>
      <w:r w:rsidRPr="00211DA5" w:rsidR="00E00EC8">
        <w:rPr>
          <w:rFonts w:ascii="Times New Roman" w:eastAsia="SimSun" w:hAnsi="Times New Roman"/>
          <w:szCs w:val="24"/>
        </w:rPr>
        <w:t>s.</w:t>
      </w:r>
      <w:r w:rsidR="00917B77">
        <w:rPr>
          <w:rFonts w:ascii="Times New Roman" w:eastAsia="SimSun" w:hAnsi="Times New Roman"/>
          <w:szCs w:val="24"/>
        </w:rPr>
        <w:t xml:space="preserve"> ako i </w:t>
      </w:r>
      <w:r w:rsidR="00917B77">
        <w:rPr>
          <w:rFonts w:ascii="Times New Roman" w:eastAsia="SimSun" w:hAnsi="Times New Roman" w:hint="default"/>
          <w:szCs w:val="24"/>
        </w:rPr>
        <w:t>dodrž</w:t>
      </w:r>
      <w:r w:rsidR="00917B77">
        <w:rPr>
          <w:rFonts w:ascii="Times New Roman" w:eastAsia="SimSun" w:hAnsi="Times New Roman" w:hint="default"/>
          <w:szCs w:val="24"/>
        </w:rPr>
        <w:t>iavanie organizač</w:t>
      </w:r>
      <w:r w:rsidR="00917B77">
        <w:rPr>
          <w:rFonts w:ascii="Times New Roman" w:eastAsia="SimSun" w:hAnsi="Times New Roman" w:hint="default"/>
          <w:szCs w:val="24"/>
        </w:rPr>
        <w:t>ný</w:t>
      </w:r>
      <w:r w:rsidR="00917B77">
        <w:rPr>
          <w:rFonts w:ascii="Times New Roman" w:eastAsia="SimSun" w:hAnsi="Times New Roman" w:hint="default"/>
          <w:szCs w:val="24"/>
        </w:rPr>
        <w:t>ch opatrení</w:t>
      </w:r>
      <w:r w:rsidR="00E06851">
        <w:rPr>
          <w:rFonts w:ascii="Times New Roman" w:eastAsia="SimSun" w:hAnsi="Times New Roman"/>
          <w:szCs w:val="24"/>
        </w:rPr>
        <w:t>.</w:t>
      </w:r>
      <w:r w:rsidRPr="00211DA5" w:rsidR="00D65858">
        <w:rPr>
          <w:rFonts w:ascii="Times New Roman" w:eastAsia="SimSun" w:hAnsi="Times New Roman"/>
          <w:szCs w:val="24"/>
        </w:rPr>
        <w:t xml:space="preserve"> </w:t>
      </w:r>
    </w:p>
    <w:p w:rsidR="00211DA5" w:rsidRPr="00211DA5" w:rsidP="00BD313F">
      <w:pPr>
        <w:pStyle w:val="BodyTextIndent2"/>
        <w:bidi w:val="0"/>
        <w:ind w:left="0" w:firstLine="0"/>
        <w:rPr>
          <w:rFonts w:ascii="Times New Roman" w:hAnsi="Times New Roman"/>
          <w:b w:val="0"/>
          <w:sz w:val="24"/>
          <w:szCs w:val="24"/>
        </w:rPr>
      </w:pPr>
      <w:r w:rsidRPr="00211DA5">
        <w:rPr>
          <w:rFonts w:ascii="Times New Roman" w:hAnsi="Times New Roman"/>
          <w:b w:val="0"/>
          <w:sz w:val="24"/>
          <w:szCs w:val="24"/>
        </w:rPr>
        <w:t xml:space="preserve">V roku 2011 </w:t>
      </w:r>
      <w:r w:rsidR="004819B4">
        <w:rPr>
          <w:rFonts w:ascii="Times New Roman" w:hAnsi="Times New Roman"/>
          <w:b w:val="0"/>
          <w:sz w:val="24"/>
          <w:szCs w:val="24"/>
        </w:rPr>
        <w:t xml:space="preserve">sa </w:t>
      </w:r>
      <w:r w:rsidRPr="00211DA5">
        <w:rPr>
          <w:rFonts w:ascii="Times New Roman" w:hAnsi="Times New Roman"/>
          <w:b w:val="0"/>
          <w:sz w:val="24"/>
          <w:szCs w:val="24"/>
        </w:rPr>
        <w:t xml:space="preserve">naďalej </w:t>
      </w:r>
      <w:r w:rsidR="004819B4">
        <w:rPr>
          <w:rFonts w:ascii="Times New Roman" w:hAnsi="Times New Roman"/>
          <w:b w:val="0"/>
          <w:sz w:val="24"/>
          <w:szCs w:val="24"/>
        </w:rPr>
        <w:t>konali</w:t>
      </w:r>
      <w:r w:rsidRPr="00211DA5">
        <w:rPr>
          <w:rFonts w:ascii="Times New Roman" w:hAnsi="Times New Roman"/>
          <w:b w:val="0"/>
          <w:sz w:val="24"/>
          <w:szCs w:val="24"/>
        </w:rPr>
        <w:t xml:space="preserve"> pracovné stretnutia stálej medzirezortnej pracovnej skupiny na aktualizáciu určenia hrozby </w:t>
      </w:r>
      <w:r>
        <w:rPr>
          <w:rFonts w:ascii="Times New Roman" w:hAnsi="Times New Roman"/>
          <w:b w:val="0"/>
          <w:sz w:val="24"/>
          <w:szCs w:val="24"/>
        </w:rPr>
        <w:t xml:space="preserve">JZ </w:t>
      </w:r>
      <w:r w:rsidRPr="00211DA5">
        <w:rPr>
          <w:rFonts w:ascii="Times New Roman" w:hAnsi="Times New Roman"/>
          <w:b w:val="0"/>
          <w:sz w:val="24"/>
          <w:szCs w:val="24"/>
        </w:rPr>
        <w:t xml:space="preserve">a pre </w:t>
      </w:r>
      <w:r>
        <w:rPr>
          <w:rFonts w:ascii="Times New Roman" w:hAnsi="Times New Roman"/>
          <w:b w:val="0"/>
          <w:sz w:val="24"/>
          <w:szCs w:val="24"/>
        </w:rPr>
        <w:t>JZ</w:t>
      </w:r>
      <w:r w:rsidRPr="00211DA5">
        <w:rPr>
          <w:rFonts w:ascii="Times New Roman" w:hAnsi="Times New Roman"/>
          <w:b w:val="0"/>
          <w:sz w:val="24"/>
          <w:szCs w:val="24"/>
        </w:rPr>
        <w:t xml:space="preserve"> a </w:t>
      </w:r>
      <w:r>
        <w:rPr>
          <w:rFonts w:ascii="Times New Roman" w:hAnsi="Times New Roman"/>
          <w:b w:val="0"/>
          <w:sz w:val="24"/>
          <w:szCs w:val="24"/>
        </w:rPr>
        <w:t>JM</w:t>
      </w:r>
      <w:r w:rsidRPr="00211DA5">
        <w:rPr>
          <w:rFonts w:ascii="Times New Roman" w:hAnsi="Times New Roman"/>
          <w:b w:val="0"/>
          <w:sz w:val="24"/>
          <w:szCs w:val="24"/>
        </w:rPr>
        <w:t xml:space="preserve"> v rámci projektového ohrozenia štátu, ktorá aj v roku 2011 zaslala materiál aktualizácie hrozby na Bezpečnostnú radu SR. Vytvorenie medzirezortnej pracovnej skupiny</w:t>
      </w:r>
      <w:r>
        <w:rPr>
          <w:rFonts w:ascii="Times New Roman" w:hAnsi="Times New Roman"/>
          <w:b w:val="0"/>
          <w:sz w:val="24"/>
          <w:szCs w:val="24"/>
        </w:rPr>
        <w:t>,</w:t>
      </w:r>
      <w:r w:rsidRPr="00211DA5">
        <w:rPr>
          <w:rFonts w:ascii="Times New Roman" w:hAnsi="Times New Roman"/>
          <w:b w:val="0"/>
          <w:sz w:val="24"/>
          <w:szCs w:val="24"/>
        </w:rPr>
        <w:t xml:space="preserve"> ako i povinnosť predkladať ročnú aktualizáciu materiálu „Aktualizácia určenia hrozby jadrovým zariadením a pre jadrové zariadenia a jadrové materiály v rámci projektového ohrozenia štátu“ vyplýva  z </w:t>
      </w:r>
      <w:r>
        <w:rPr>
          <w:rFonts w:ascii="Times New Roman" w:hAnsi="Times New Roman"/>
          <w:b w:val="0"/>
          <w:sz w:val="24"/>
          <w:szCs w:val="24"/>
        </w:rPr>
        <w:t>u</w:t>
      </w:r>
      <w:r w:rsidRPr="00211DA5">
        <w:rPr>
          <w:rFonts w:ascii="Times New Roman" w:hAnsi="Times New Roman"/>
          <w:b w:val="0"/>
          <w:sz w:val="24"/>
          <w:szCs w:val="24"/>
        </w:rPr>
        <w:t>znesenia vlády SR č. 394/2007, ktorým bol schválený Dodatok k uvedenému dohovoru, podľa ktorého jeden zo základných princípov je aj Princíp G: „Hrozba“. V tomto princípe je uvedené, že „Fyzická ochrana zo strany štátu by mala vychádzať zo štátom aktuálneho posúdenia hrozby“. Skupina sa zaoberala okrem aktualizácie materiálu a pravidelného prehodnocovania hrozby</w:t>
      </w:r>
      <w:r>
        <w:rPr>
          <w:rFonts w:ascii="Times New Roman" w:hAnsi="Times New Roman"/>
          <w:b w:val="0"/>
          <w:sz w:val="24"/>
          <w:szCs w:val="24"/>
        </w:rPr>
        <w:t xml:space="preserve"> </w:t>
      </w:r>
      <w:r w:rsidRPr="00211DA5">
        <w:rPr>
          <w:rFonts w:ascii="Times New Roman" w:hAnsi="Times New Roman"/>
          <w:b w:val="0"/>
          <w:sz w:val="24"/>
          <w:szCs w:val="24"/>
        </w:rPr>
        <w:t>aj operatívnym riešením situácií, vyplývajúcich z udalostí či už v S</w:t>
      </w:r>
      <w:r>
        <w:rPr>
          <w:rFonts w:ascii="Times New Roman" w:hAnsi="Times New Roman"/>
          <w:b w:val="0"/>
          <w:sz w:val="24"/>
          <w:szCs w:val="24"/>
        </w:rPr>
        <w:t>R</w:t>
      </w:r>
      <w:r w:rsidRPr="00211DA5">
        <w:rPr>
          <w:rFonts w:ascii="Times New Roman" w:hAnsi="Times New Roman"/>
          <w:b w:val="0"/>
          <w:sz w:val="24"/>
          <w:szCs w:val="24"/>
        </w:rPr>
        <w:t xml:space="preserve"> alebo zahraničí, ktoré mali vplyv na fyzickú ochranu </w:t>
      </w:r>
      <w:r>
        <w:rPr>
          <w:rFonts w:ascii="Times New Roman" w:hAnsi="Times New Roman"/>
          <w:b w:val="0"/>
          <w:sz w:val="24"/>
          <w:szCs w:val="24"/>
        </w:rPr>
        <w:t>JM</w:t>
      </w:r>
      <w:r w:rsidRPr="00211DA5">
        <w:rPr>
          <w:rFonts w:ascii="Times New Roman" w:hAnsi="Times New Roman"/>
          <w:b w:val="0"/>
          <w:sz w:val="24"/>
          <w:szCs w:val="24"/>
        </w:rPr>
        <w:t xml:space="preserve"> a </w:t>
      </w:r>
      <w:r>
        <w:rPr>
          <w:rFonts w:ascii="Times New Roman" w:hAnsi="Times New Roman"/>
          <w:b w:val="0"/>
          <w:sz w:val="24"/>
          <w:szCs w:val="24"/>
        </w:rPr>
        <w:t>JZ</w:t>
      </w:r>
      <w:r w:rsidRPr="00211DA5">
        <w:rPr>
          <w:rFonts w:ascii="Times New Roman" w:hAnsi="Times New Roman"/>
          <w:b w:val="0"/>
          <w:sz w:val="24"/>
          <w:szCs w:val="24"/>
        </w:rPr>
        <w:t xml:space="preserve">. Ďalšie povinnosti vyplynuli </w:t>
      </w:r>
      <w:r>
        <w:rPr>
          <w:rFonts w:ascii="Times New Roman" w:hAnsi="Times New Roman"/>
          <w:b w:val="0"/>
          <w:sz w:val="24"/>
          <w:szCs w:val="24"/>
        </w:rPr>
        <w:t>ÚJD SR</w:t>
      </w:r>
      <w:r w:rsidRPr="00211DA5">
        <w:rPr>
          <w:rFonts w:ascii="Times New Roman" w:hAnsi="Times New Roman"/>
          <w:b w:val="0"/>
          <w:sz w:val="24"/>
          <w:szCs w:val="24"/>
        </w:rPr>
        <w:t xml:space="preserve"> aj z uznesenia vlády č. 401/2011 týkajúceho sa </w:t>
      </w:r>
      <w:r>
        <w:rPr>
          <w:rFonts w:ascii="Times New Roman" w:hAnsi="Times New Roman"/>
          <w:b w:val="0"/>
          <w:sz w:val="24"/>
          <w:szCs w:val="24"/>
        </w:rPr>
        <w:t>a</w:t>
      </w:r>
      <w:r w:rsidRPr="00211DA5">
        <w:rPr>
          <w:rFonts w:ascii="Times New Roman" w:hAnsi="Times New Roman"/>
          <w:b w:val="0"/>
          <w:sz w:val="24"/>
          <w:szCs w:val="24"/>
        </w:rPr>
        <w:t>ktualizácie zaradenia stavieb a budov do kategórie objektov osobitnej dôležitosti alebo do kategórie ďalších dôležitých objektov na obranu štátu, spôsob ich ochrany a obrany.</w:t>
      </w:r>
    </w:p>
    <w:p w:rsidR="00211DA5" w:rsidRPr="00211DA5" w:rsidP="00BD313F">
      <w:pPr>
        <w:bidi w:val="0"/>
        <w:jc w:val="both"/>
        <w:rPr>
          <w:rFonts w:ascii="Times New Roman" w:hAnsi="Times New Roman"/>
          <w:szCs w:val="24"/>
        </w:rPr>
      </w:pPr>
    </w:p>
    <w:p w:rsidR="00211DA5" w:rsidP="00BD313F">
      <w:pPr>
        <w:bidi w:val="0"/>
        <w:jc w:val="both"/>
        <w:rPr>
          <w:rFonts w:ascii="Times New Roman" w:hAnsi="Times New Roman"/>
          <w:szCs w:val="24"/>
        </w:rPr>
      </w:pPr>
      <w:r w:rsidRPr="00211DA5">
        <w:rPr>
          <w:rFonts w:ascii="Times New Roman" w:hAnsi="Times New Roman"/>
          <w:szCs w:val="24"/>
        </w:rPr>
        <w:t>ÚJD SR v</w:t>
      </w:r>
      <w:r>
        <w:rPr>
          <w:rFonts w:ascii="Times New Roman" w:hAnsi="Times New Roman"/>
          <w:szCs w:val="24"/>
        </w:rPr>
        <w:t> AE Bohunice V-2</w:t>
      </w:r>
      <w:r w:rsidRPr="00211DA5">
        <w:rPr>
          <w:rFonts w:ascii="Times New Roman" w:hAnsi="Times New Roman"/>
          <w:szCs w:val="24"/>
        </w:rPr>
        <w:t xml:space="preserve"> zameral svoju kontrolnú činnosť predovšetkým na činnosti</w:t>
      </w:r>
      <w:r w:rsidRPr="00A732CD">
        <w:rPr>
          <w:rFonts w:ascii="Times New Roman" w:hAnsi="Times New Roman"/>
          <w:szCs w:val="24"/>
        </w:rPr>
        <w:t xml:space="preserve"> súvisiace s rekonštrukciou a modernizáciou systému AKOBOJE. V</w:t>
      </w:r>
      <w:r>
        <w:rPr>
          <w:rFonts w:ascii="Times New Roman" w:hAnsi="Times New Roman"/>
          <w:szCs w:val="24"/>
        </w:rPr>
        <w:t> priebehu roku</w:t>
      </w:r>
      <w:r w:rsidRPr="00A732CD">
        <w:rPr>
          <w:rFonts w:ascii="Times New Roman" w:hAnsi="Times New Roman"/>
          <w:szCs w:val="24"/>
        </w:rPr>
        <w:t xml:space="preserve"> posúdil a schválil viacero zmien a doplnení plánov fyzickej ochrany súvisiacich s prebiehajúcou rekonštrukciou.</w:t>
      </w:r>
      <w:r>
        <w:rPr>
          <w:rFonts w:ascii="Times New Roman" w:hAnsi="Times New Roman"/>
          <w:szCs w:val="24"/>
        </w:rPr>
        <w:t xml:space="preserve"> V druhej polovici rok</w:t>
      </w:r>
      <w:r w:rsidR="00E06851">
        <w:rPr>
          <w:rFonts w:ascii="Times New Roman" w:hAnsi="Times New Roman"/>
          <w:szCs w:val="24"/>
        </w:rPr>
        <w:t>a</w:t>
      </w:r>
      <w:r>
        <w:rPr>
          <w:rFonts w:ascii="Times New Roman" w:hAnsi="Times New Roman"/>
          <w:szCs w:val="24"/>
        </w:rPr>
        <w:t xml:space="preserve"> </w:t>
      </w:r>
      <w:r w:rsidR="004819B4">
        <w:rPr>
          <w:rFonts w:ascii="Times New Roman" w:hAnsi="Times New Roman"/>
          <w:szCs w:val="24"/>
        </w:rPr>
        <w:t>sa uskutočnili</w:t>
      </w:r>
      <w:r>
        <w:rPr>
          <w:rFonts w:ascii="Times New Roman" w:hAnsi="Times New Roman"/>
          <w:szCs w:val="24"/>
        </w:rPr>
        <w:t xml:space="preserve"> skúšky predkomplexného a komplexného vyskúšania systému fyzickej ochrany. ÚJD SR zároveň schválil plán fyzickej ochrany už zrekonštruovaného systému fyzickej ochrany v lokalite  Bohunice.</w:t>
      </w:r>
    </w:p>
    <w:p w:rsidR="00211DA5" w:rsidP="00211DA5">
      <w:pPr>
        <w:bidi w:val="0"/>
        <w:jc w:val="both"/>
        <w:rPr>
          <w:rFonts w:ascii="Times New Roman" w:hAnsi="Times New Roman"/>
          <w:szCs w:val="24"/>
        </w:rPr>
      </w:pPr>
    </w:p>
    <w:p w:rsidR="00211DA5" w:rsidP="00211DA5">
      <w:pPr>
        <w:bidi w:val="0"/>
        <w:jc w:val="both"/>
        <w:rPr>
          <w:rFonts w:ascii="Times New Roman" w:hAnsi="Times New Roman"/>
          <w:szCs w:val="24"/>
        </w:rPr>
      </w:pPr>
      <w:r w:rsidR="004819B4">
        <w:rPr>
          <w:rFonts w:ascii="Times New Roman" w:hAnsi="Times New Roman"/>
          <w:szCs w:val="24"/>
        </w:rPr>
        <w:t>V JAVYS a.</w:t>
      </w:r>
      <w:r w:rsidR="00781460">
        <w:rPr>
          <w:rFonts w:ascii="Times New Roman" w:hAnsi="Times New Roman"/>
          <w:szCs w:val="24"/>
        </w:rPr>
        <w:t> </w:t>
      </w:r>
      <w:r w:rsidR="004819B4">
        <w:rPr>
          <w:rFonts w:ascii="Times New Roman" w:hAnsi="Times New Roman"/>
          <w:szCs w:val="24"/>
        </w:rPr>
        <w:t xml:space="preserve">s. </w:t>
      </w:r>
      <w:r>
        <w:rPr>
          <w:rFonts w:ascii="Times New Roman" w:hAnsi="Times New Roman"/>
          <w:szCs w:val="24"/>
        </w:rPr>
        <w:t xml:space="preserve">ÚJD SR posúdil a schválil plány fyzickej ochrany jednotlivých JZ  nachádzajúcich sa v lokalite Bohunice a plán fyzickej ochrany pre RÚ RAO Mochovce, ktorého schválenie bolo podľa atómového zákona osobitnou podmienkou pre vydanie povolenia na pokračovanie prevádzky RÚ RAO a na nakladanie s RAO na tomto </w:t>
      </w:r>
      <w:r w:rsidR="00B95079">
        <w:rPr>
          <w:rFonts w:ascii="Times New Roman" w:hAnsi="Times New Roman"/>
          <w:szCs w:val="24"/>
        </w:rPr>
        <w:t>JZ</w:t>
      </w:r>
      <w:r>
        <w:rPr>
          <w:rFonts w:ascii="Times New Roman" w:hAnsi="Times New Roman"/>
          <w:szCs w:val="24"/>
        </w:rPr>
        <w:t xml:space="preserve">. Ďalej </w:t>
      </w:r>
      <w:r w:rsidR="00B95079">
        <w:rPr>
          <w:rFonts w:ascii="Times New Roman" w:hAnsi="Times New Roman"/>
          <w:szCs w:val="24"/>
        </w:rPr>
        <w:t>ÚJD SR</w:t>
      </w:r>
      <w:r>
        <w:rPr>
          <w:rFonts w:ascii="Times New Roman" w:hAnsi="Times New Roman"/>
          <w:szCs w:val="24"/>
        </w:rPr>
        <w:t xml:space="preserve"> posúdil a schválil plány zabezpečenia fyzickej ochrany pre prepravy </w:t>
      </w:r>
      <w:r w:rsidR="00BD313F">
        <w:rPr>
          <w:rFonts w:ascii="Times New Roman" w:hAnsi="Times New Roman"/>
          <w:szCs w:val="24"/>
        </w:rPr>
        <w:t xml:space="preserve">rádioaktívnych materiálov. </w:t>
      </w:r>
      <w:r w:rsidRPr="00A732CD">
        <w:rPr>
          <w:rFonts w:ascii="Times New Roman" w:hAnsi="Times New Roman"/>
          <w:szCs w:val="24"/>
        </w:rPr>
        <w:t>ÚJD SR v roku 201</w:t>
      </w:r>
      <w:r>
        <w:rPr>
          <w:rFonts w:ascii="Times New Roman" w:hAnsi="Times New Roman"/>
          <w:szCs w:val="24"/>
        </w:rPr>
        <w:t>1</w:t>
      </w:r>
      <w:r w:rsidRPr="00A732CD">
        <w:rPr>
          <w:rFonts w:ascii="Times New Roman" w:hAnsi="Times New Roman"/>
          <w:szCs w:val="24"/>
        </w:rPr>
        <w:t xml:space="preserve"> schválil zmeny v </w:t>
      </w:r>
      <w:r w:rsidR="00B95079">
        <w:rPr>
          <w:rFonts w:ascii="Times New Roman" w:hAnsi="Times New Roman"/>
          <w:szCs w:val="24"/>
        </w:rPr>
        <w:t>p</w:t>
      </w:r>
      <w:r w:rsidRPr="00A732CD">
        <w:rPr>
          <w:rFonts w:ascii="Times New Roman" w:hAnsi="Times New Roman"/>
          <w:szCs w:val="24"/>
        </w:rPr>
        <w:t xml:space="preserve">láne fyzickej ochrany </w:t>
      </w:r>
      <w:r w:rsidR="00B95079">
        <w:rPr>
          <w:rFonts w:ascii="Times New Roman" w:hAnsi="Times New Roman"/>
          <w:szCs w:val="24"/>
        </w:rPr>
        <w:t>AE Mochovce</w:t>
      </w:r>
      <w:r w:rsidRPr="00A732CD">
        <w:rPr>
          <w:rFonts w:ascii="Times New Roman" w:hAnsi="Times New Roman"/>
          <w:szCs w:val="24"/>
        </w:rPr>
        <w:t xml:space="preserve"> 1,2</w:t>
      </w:r>
      <w:r>
        <w:rPr>
          <w:rFonts w:ascii="Times New Roman" w:hAnsi="Times New Roman"/>
          <w:szCs w:val="24"/>
        </w:rPr>
        <w:t xml:space="preserve"> </w:t>
      </w:r>
      <w:r w:rsidRPr="00A732CD">
        <w:rPr>
          <w:rFonts w:ascii="Times New Roman" w:hAnsi="Times New Roman"/>
          <w:szCs w:val="24"/>
        </w:rPr>
        <w:t>súvisiace</w:t>
      </w:r>
      <w:r>
        <w:rPr>
          <w:rFonts w:ascii="Times New Roman" w:hAnsi="Times New Roman"/>
          <w:szCs w:val="24"/>
        </w:rPr>
        <w:t xml:space="preserve"> </w:t>
      </w:r>
      <w:r w:rsidRPr="00A732CD">
        <w:rPr>
          <w:rFonts w:ascii="Times New Roman" w:hAnsi="Times New Roman"/>
          <w:szCs w:val="24"/>
        </w:rPr>
        <w:t>s</w:t>
      </w:r>
      <w:r>
        <w:rPr>
          <w:rFonts w:ascii="Times New Roman" w:hAnsi="Times New Roman"/>
          <w:szCs w:val="24"/>
        </w:rPr>
        <w:t>o zvyšovaním efektívnosti systému fyzickej ochrany</w:t>
      </w:r>
      <w:r w:rsidRPr="00A732CD">
        <w:rPr>
          <w:rFonts w:ascii="Times New Roman" w:hAnsi="Times New Roman"/>
          <w:szCs w:val="24"/>
        </w:rPr>
        <w:t xml:space="preserve"> a v Predbežnom pláne fyzickej ochrany</w:t>
      </w:r>
      <w:r w:rsidR="004819B4">
        <w:rPr>
          <w:rFonts w:ascii="Times New Roman" w:hAnsi="Times New Roman"/>
          <w:szCs w:val="24"/>
        </w:rPr>
        <w:t xml:space="preserve"> </w:t>
      </w:r>
      <w:r w:rsidR="00B95079">
        <w:rPr>
          <w:rFonts w:ascii="Times New Roman" w:hAnsi="Times New Roman"/>
          <w:szCs w:val="24"/>
        </w:rPr>
        <w:t>AE Mochovce</w:t>
      </w:r>
      <w:r w:rsidRPr="00A732CD" w:rsidR="00B95079">
        <w:rPr>
          <w:rFonts w:ascii="Times New Roman" w:hAnsi="Times New Roman"/>
          <w:szCs w:val="24"/>
        </w:rPr>
        <w:t xml:space="preserve"> </w:t>
      </w:r>
      <w:r w:rsidR="00B95079">
        <w:rPr>
          <w:rFonts w:ascii="Times New Roman" w:hAnsi="Times New Roman"/>
          <w:szCs w:val="24"/>
        </w:rPr>
        <w:t xml:space="preserve">3,4 </w:t>
      </w:r>
      <w:r>
        <w:rPr>
          <w:rFonts w:ascii="Times New Roman" w:hAnsi="Times New Roman"/>
          <w:szCs w:val="24"/>
        </w:rPr>
        <w:t>súvisiace s vybudovávaním systému fyzickej ochrany.</w:t>
      </w:r>
    </w:p>
    <w:p w:rsidR="00211DA5" w:rsidP="00211DA5">
      <w:pPr>
        <w:bidi w:val="0"/>
        <w:jc w:val="both"/>
        <w:rPr>
          <w:rFonts w:ascii="Times New Roman" w:hAnsi="Times New Roman"/>
          <w:szCs w:val="24"/>
        </w:rPr>
      </w:pPr>
    </w:p>
    <w:p w:rsidR="00211DA5" w:rsidP="00211DA5">
      <w:pPr>
        <w:bidi w:val="0"/>
        <w:jc w:val="both"/>
        <w:rPr>
          <w:rFonts w:ascii="Times New Roman" w:hAnsi="Times New Roman"/>
          <w:szCs w:val="24"/>
        </w:rPr>
      </w:pPr>
      <w:r>
        <w:rPr>
          <w:rFonts w:ascii="Times New Roman" w:hAnsi="Times New Roman"/>
          <w:szCs w:val="24"/>
        </w:rPr>
        <w:t xml:space="preserve">Na všetkých lokalitách sa za účasti zástupcov </w:t>
      </w:r>
      <w:r w:rsidR="00B95079">
        <w:rPr>
          <w:rFonts w:ascii="Times New Roman" w:hAnsi="Times New Roman"/>
          <w:szCs w:val="24"/>
        </w:rPr>
        <w:t>ÚJD SR</w:t>
      </w:r>
      <w:r>
        <w:rPr>
          <w:rFonts w:ascii="Times New Roman" w:hAnsi="Times New Roman"/>
          <w:szCs w:val="24"/>
        </w:rPr>
        <w:t xml:space="preserve"> každý štvrťrok vykonávali cvičenia zložiek fyzickej ochrany, ktorými bola preverovaná efektívnosť systému fyzickej ochrany.</w:t>
      </w:r>
    </w:p>
    <w:p w:rsidR="00211DA5" w:rsidRPr="00A732CD" w:rsidP="00211DA5">
      <w:pPr>
        <w:bidi w:val="0"/>
        <w:jc w:val="both"/>
        <w:rPr>
          <w:rFonts w:ascii="Times New Roman" w:hAnsi="Times New Roman"/>
          <w:szCs w:val="24"/>
        </w:rPr>
      </w:pPr>
    </w:p>
    <w:p w:rsidR="00211DA5" w:rsidRPr="00520417" w:rsidP="00BD313F">
      <w:pPr>
        <w:bidi w:val="0"/>
        <w:spacing w:after="120"/>
        <w:jc w:val="both"/>
        <w:rPr>
          <w:rFonts w:ascii="Times New Roman" w:hAnsi="Times New Roman"/>
          <w:szCs w:val="24"/>
        </w:rPr>
      </w:pPr>
      <w:r w:rsidRPr="003F61B2">
        <w:rPr>
          <w:rFonts w:ascii="Times New Roman" w:eastAsia="SimSun" w:hAnsi="Times New Roman"/>
          <w:szCs w:val="24"/>
        </w:rPr>
        <w:t>V priebehu rok</w:t>
      </w:r>
      <w:r w:rsidR="00781460">
        <w:rPr>
          <w:rFonts w:ascii="Times New Roman" w:eastAsia="SimSun" w:hAnsi="Times New Roman"/>
          <w:szCs w:val="24"/>
        </w:rPr>
        <w:t>a</w:t>
      </w:r>
      <w:r w:rsidRPr="003F61B2">
        <w:rPr>
          <w:rFonts w:ascii="Times New Roman" w:eastAsia="SimSun" w:hAnsi="Times New Roman" w:hint="default"/>
          <w:szCs w:val="24"/>
        </w:rPr>
        <w:t xml:space="preserve"> 2011 vykoná</w:t>
      </w:r>
      <w:r w:rsidRPr="003F61B2">
        <w:rPr>
          <w:rFonts w:ascii="Times New Roman" w:eastAsia="SimSun" w:hAnsi="Times New Roman" w:hint="default"/>
          <w:szCs w:val="24"/>
        </w:rPr>
        <w:t>val Ú</w:t>
      </w:r>
      <w:r w:rsidRPr="003F61B2">
        <w:rPr>
          <w:rFonts w:ascii="Times New Roman" w:eastAsia="SimSun" w:hAnsi="Times New Roman" w:hint="default"/>
          <w:szCs w:val="24"/>
        </w:rPr>
        <w:t>JD SR inš</w:t>
      </w:r>
      <w:r w:rsidRPr="003F61B2">
        <w:rPr>
          <w:rFonts w:ascii="Times New Roman" w:eastAsia="SimSun" w:hAnsi="Times New Roman" w:hint="default"/>
          <w:szCs w:val="24"/>
        </w:rPr>
        <w:t>pekcie zamerané</w:t>
      </w:r>
      <w:r w:rsidRPr="003F61B2">
        <w:rPr>
          <w:rFonts w:ascii="Times New Roman" w:eastAsia="SimSun" w:hAnsi="Times New Roman" w:hint="default"/>
          <w:szCs w:val="24"/>
        </w:rPr>
        <w:t xml:space="preserve"> na fyzickú</w:t>
      </w:r>
      <w:r w:rsidRPr="003F61B2">
        <w:rPr>
          <w:rFonts w:ascii="Times New Roman" w:eastAsia="SimSun" w:hAnsi="Times New Roman" w:hint="default"/>
          <w:szCs w:val="24"/>
        </w:rPr>
        <w:t xml:space="preserve"> ochranu</w:t>
      </w:r>
      <w:r w:rsidRPr="003F61B2">
        <w:rPr>
          <w:rFonts w:ascii="Times New Roman" w:eastAsia="SimSun" w:hAnsi="Times New Roman" w:hint="default"/>
          <w:szCs w:val="24"/>
        </w:rPr>
        <w:t xml:space="preserve"> </w:t>
      </w:r>
      <w:r w:rsidR="00B95079">
        <w:rPr>
          <w:rFonts w:ascii="Times New Roman" w:eastAsia="SimSun" w:hAnsi="Times New Roman"/>
          <w:szCs w:val="24"/>
        </w:rPr>
        <w:t>JZ</w:t>
      </w:r>
      <w:r w:rsidRPr="003F61B2">
        <w:rPr>
          <w:rFonts w:ascii="Times New Roman" w:eastAsia="SimSun" w:hAnsi="Times New Roman"/>
          <w:szCs w:val="24"/>
        </w:rPr>
        <w:t xml:space="preserve">, </w:t>
      </w:r>
      <w:r w:rsidR="00B95079">
        <w:rPr>
          <w:rFonts w:ascii="Times New Roman" w:eastAsia="SimSun" w:hAnsi="Times New Roman"/>
          <w:szCs w:val="24"/>
        </w:rPr>
        <w:t>JM</w:t>
      </w:r>
      <w:r w:rsidRPr="003F61B2">
        <w:rPr>
          <w:rFonts w:ascii="Times New Roman" w:eastAsia="SimSun" w:hAnsi="Times New Roman"/>
          <w:szCs w:val="24"/>
        </w:rPr>
        <w:t xml:space="preserve"> a</w:t>
      </w:r>
      <w:r w:rsidR="00E06851">
        <w:rPr>
          <w:rFonts w:ascii="Times New Roman" w:eastAsia="SimSun" w:hAnsi="Times New Roman"/>
          <w:szCs w:val="24"/>
        </w:rPr>
        <w:t> </w:t>
      </w:r>
      <w:r w:rsidR="00B95079">
        <w:rPr>
          <w:rFonts w:ascii="Times New Roman" w:eastAsia="SimSun" w:hAnsi="Times New Roman"/>
          <w:szCs w:val="24"/>
        </w:rPr>
        <w:t>RAO</w:t>
      </w:r>
      <w:r w:rsidR="00E06851">
        <w:rPr>
          <w:rFonts w:ascii="Times New Roman" w:eastAsia="SimSun" w:hAnsi="Times New Roman"/>
          <w:szCs w:val="24"/>
        </w:rPr>
        <w:t xml:space="preserve"> a</w:t>
      </w:r>
      <w:r w:rsidRPr="003F61B2">
        <w:rPr>
          <w:rFonts w:ascii="Times New Roman" w:eastAsia="SimSun" w:hAnsi="Times New Roman" w:hint="default"/>
          <w:szCs w:val="24"/>
        </w:rPr>
        <w:t xml:space="preserve"> na fyzickú</w:t>
      </w:r>
      <w:r w:rsidRPr="003F61B2">
        <w:rPr>
          <w:rFonts w:ascii="Times New Roman" w:eastAsia="SimSun" w:hAnsi="Times New Roman" w:hint="default"/>
          <w:szCs w:val="24"/>
        </w:rPr>
        <w:t xml:space="preserve"> ochranu pri</w:t>
      </w:r>
      <w:r>
        <w:rPr>
          <w:rFonts w:ascii="Times New Roman" w:eastAsia="SimSun" w:hAnsi="Times New Roman"/>
          <w:szCs w:val="24"/>
        </w:rPr>
        <w:t xml:space="preserve"> preprave </w:t>
      </w:r>
      <w:r w:rsidRPr="00520417">
        <w:rPr>
          <w:rFonts w:ascii="Times New Roman" w:hAnsi="Times New Roman"/>
          <w:szCs w:val="24"/>
        </w:rPr>
        <w:t>rádioaktívnych materiálov.</w:t>
      </w:r>
      <w:r>
        <w:rPr>
          <w:rFonts w:ascii="Times New Roman" w:hAnsi="Times New Roman"/>
          <w:szCs w:val="24"/>
        </w:rPr>
        <w:t xml:space="preserve"> </w:t>
      </w:r>
      <w:r w:rsidRPr="003F61B2">
        <w:rPr>
          <w:rFonts w:ascii="Times New Roman" w:eastAsia="SimSun" w:hAnsi="Times New Roman" w:hint="default"/>
          <w:szCs w:val="24"/>
        </w:rPr>
        <w:t>Inš</w:t>
      </w:r>
      <w:r w:rsidRPr="003F61B2">
        <w:rPr>
          <w:rFonts w:ascii="Times New Roman" w:eastAsia="SimSun" w:hAnsi="Times New Roman" w:hint="default"/>
          <w:szCs w:val="24"/>
        </w:rPr>
        <w:t>pekč</w:t>
      </w:r>
      <w:r w:rsidRPr="003F61B2">
        <w:rPr>
          <w:rFonts w:ascii="Times New Roman" w:eastAsia="SimSun" w:hAnsi="Times New Roman" w:hint="default"/>
          <w:szCs w:val="24"/>
        </w:rPr>
        <w:t>ná</w:t>
      </w:r>
      <w:r w:rsidRPr="003F61B2">
        <w:rPr>
          <w:rFonts w:ascii="Times New Roman" w:eastAsia="SimSun" w:hAnsi="Times New Roman" w:hint="default"/>
          <w:szCs w:val="24"/>
        </w:rPr>
        <w:t xml:space="preserve"> č</w:t>
      </w:r>
      <w:r w:rsidRPr="003F61B2">
        <w:rPr>
          <w:rFonts w:ascii="Times New Roman" w:eastAsia="SimSun" w:hAnsi="Times New Roman" w:hint="default"/>
          <w:szCs w:val="24"/>
        </w:rPr>
        <w:t>innosť</w:t>
      </w:r>
      <w:r w:rsidRPr="003F61B2">
        <w:rPr>
          <w:rFonts w:ascii="Times New Roman" w:eastAsia="SimSun" w:hAnsi="Times New Roman" w:hint="default"/>
          <w:szCs w:val="24"/>
        </w:rPr>
        <w:t xml:space="preserve"> bola</w:t>
      </w:r>
      <w:r w:rsidR="004819B4">
        <w:rPr>
          <w:rFonts w:ascii="Times New Roman" w:eastAsia="SimSun" w:hAnsi="Times New Roman"/>
          <w:szCs w:val="24"/>
        </w:rPr>
        <w:t xml:space="preserve"> </w:t>
      </w:r>
      <w:r w:rsidRPr="003F61B2">
        <w:rPr>
          <w:rFonts w:ascii="Times New Roman" w:eastAsia="SimSun" w:hAnsi="Times New Roman" w:hint="default"/>
          <w:szCs w:val="24"/>
        </w:rPr>
        <w:t>v sú</w:t>
      </w:r>
      <w:r w:rsidRPr="003F61B2">
        <w:rPr>
          <w:rFonts w:ascii="Times New Roman" w:eastAsia="SimSun" w:hAnsi="Times New Roman" w:hint="default"/>
          <w:szCs w:val="24"/>
        </w:rPr>
        <w:t>lade s inš</w:t>
      </w:r>
      <w:r w:rsidRPr="003F61B2">
        <w:rPr>
          <w:rFonts w:ascii="Times New Roman" w:eastAsia="SimSun" w:hAnsi="Times New Roman" w:hint="default"/>
          <w:szCs w:val="24"/>
        </w:rPr>
        <w:t>pekč</w:t>
      </w:r>
      <w:r w:rsidRPr="003F61B2">
        <w:rPr>
          <w:rFonts w:ascii="Times New Roman" w:eastAsia="SimSun" w:hAnsi="Times New Roman" w:hint="default"/>
          <w:szCs w:val="24"/>
        </w:rPr>
        <w:t>ný</w:t>
      </w:r>
      <w:r w:rsidRPr="003F61B2">
        <w:rPr>
          <w:rFonts w:ascii="Times New Roman" w:eastAsia="SimSun" w:hAnsi="Times New Roman" w:hint="default"/>
          <w:szCs w:val="24"/>
        </w:rPr>
        <w:t>m postupom Ú</w:t>
      </w:r>
      <w:r w:rsidRPr="003F61B2">
        <w:rPr>
          <w:rFonts w:ascii="Times New Roman" w:eastAsia="SimSun" w:hAnsi="Times New Roman" w:hint="default"/>
          <w:szCs w:val="24"/>
        </w:rPr>
        <w:t>JD SR zameraná</w:t>
      </w:r>
      <w:r w:rsidRPr="003F61B2">
        <w:rPr>
          <w:rFonts w:ascii="Times New Roman" w:eastAsia="SimSun" w:hAnsi="Times New Roman" w:hint="default"/>
          <w:szCs w:val="24"/>
        </w:rPr>
        <w:t xml:space="preserve"> na porovnanie stavu technický</w:t>
      </w:r>
      <w:r w:rsidRPr="003F61B2">
        <w:rPr>
          <w:rFonts w:ascii="Times New Roman" w:eastAsia="SimSun" w:hAnsi="Times New Roman" w:hint="default"/>
          <w:szCs w:val="24"/>
        </w:rPr>
        <w:t>ch prostriedkov systé</w:t>
      </w:r>
      <w:r w:rsidRPr="003F61B2">
        <w:rPr>
          <w:rFonts w:ascii="Times New Roman" w:eastAsia="SimSun" w:hAnsi="Times New Roman" w:hint="default"/>
          <w:szCs w:val="24"/>
        </w:rPr>
        <w:t>mu fyzickej ochrany s </w:t>
      </w:r>
      <w:r w:rsidRPr="003F61B2">
        <w:rPr>
          <w:rFonts w:ascii="Times New Roman" w:eastAsia="SimSun" w:hAnsi="Times New Roman" w:hint="default"/>
          <w:szCs w:val="24"/>
        </w:rPr>
        <w:t>platnou legislatí</w:t>
      </w:r>
      <w:r w:rsidRPr="003F61B2">
        <w:rPr>
          <w:rFonts w:ascii="Times New Roman" w:eastAsia="SimSun" w:hAnsi="Times New Roman" w:hint="default"/>
          <w:szCs w:val="24"/>
        </w:rPr>
        <w:t>vou a so stavom odsú</w:t>
      </w:r>
      <w:r w:rsidRPr="003F61B2">
        <w:rPr>
          <w:rFonts w:ascii="Times New Roman" w:eastAsia="SimSun" w:hAnsi="Times New Roman" w:hint="default"/>
          <w:szCs w:val="24"/>
        </w:rPr>
        <w:t>hl</w:t>
      </w:r>
      <w:r w:rsidRPr="003F61B2">
        <w:rPr>
          <w:rFonts w:ascii="Times New Roman" w:eastAsia="SimSun" w:hAnsi="Times New Roman" w:hint="default"/>
          <w:szCs w:val="24"/>
        </w:rPr>
        <w:t>asený</w:t>
      </w:r>
      <w:r w:rsidRPr="003F61B2">
        <w:rPr>
          <w:rFonts w:ascii="Times New Roman" w:eastAsia="SimSun" w:hAnsi="Times New Roman" w:hint="default"/>
          <w:szCs w:val="24"/>
        </w:rPr>
        <w:t>m v dokumentá</w:t>
      </w:r>
      <w:r w:rsidRPr="003F61B2">
        <w:rPr>
          <w:rFonts w:ascii="Times New Roman" w:eastAsia="SimSun" w:hAnsi="Times New Roman" w:hint="default"/>
          <w:szCs w:val="24"/>
        </w:rPr>
        <w:t>cii pre jednotlivé</w:t>
      </w:r>
      <w:r w:rsidRPr="003F61B2">
        <w:rPr>
          <w:rFonts w:ascii="Times New Roman" w:eastAsia="SimSun" w:hAnsi="Times New Roman" w:hint="default"/>
          <w:szCs w:val="24"/>
        </w:rPr>
        <w:t xml:space="preserve"> </w:t>
      </w:r>
      <w:r w:rsidR="00B95079">
        <w:rPr>
          <w:rFonts w:ascii="Times New Roman" w:eastAsia="SimSun" w:hAnsi="Times New Roman"/>
          <w:szCs w:val="24"/>
        </w:rPr>
        <w:t>JZ</w:t>
      </w:r>
      <w:r w:rsidRPr="003F61B2">
        <w:rPr>
          <w:rFonts w:ascii="Times New Roman" w:eastAsia="SimSun" w:hAnsi="Times New Roman"/>
          <w:szCs w:val="24"/>
        </w:rPr>
        <w:t xml:space="preserve">. </w:t>
      </w:r>
    </w:p>
    <w:p w:rsidR="00211DA5" w:rsidRPr="00520417" w:rsidP="00BD313F">
      <w:pPr>
        <w:bidi w:val="0"/>
        <w:spacing w:after="120"/>
        <w:jc w:val="both"/>
        <w:rPr>
          <w:rFonts w:ascii="Times New Roman" w:hAnsi="Times New Roman"/>
          <w:szCs w:val="24"/>
        </w:rPr>
      </w:pPr>
      <w:r w:rsidRPr="003F61B2">
        <w:rPr>
          <w:rFonts w:ascii="Times New Roman" w:eastAsia="SimSun" w:hAnsi="Times New Roman" w:hint="default"/>
          <w:szCs w:val="24"/>
        </w:rPr>
        <w:t>V priebehu roku 2011 Ú</w:t>
      </w:r>
      <w:r w:rsidRPr="003F61B2">
        <w:rPr>
          <w:rFonts w:ascii="Times New Roman" w:eastAsia="SimSun" w:hAnsi="Times New Roman" w:hint="default"/>
          <w:szCs w:val="24"/>
        </w:rPr>
        <w:t>JD SR vykonal 18 inš</w:t>
      </w:r>
      <w:r w:rsidRPr="003F61B2">
        <w:rPr>
          <w:rFonts w:ascii="Times New Roman" w:eastAsia="SimSun" w:hAnsi="Times New Roman" w:hint="default"/>
          <w:szCs w:val="24"/>
        </w:rPr>
        <w:t>pekcií</w:t>
      </w:r>
      <w:r w:rsidRPr="003F61B2">
        <w:rPr>
          <w:rFonts w:ascii="Times New Roman" w:eastAsia="SimSun" w:hAnsi="Times New Roman" w:hint="default"/>
          <w:szCs w:val="24"/>
        </w:rPr>
        <w:t xml:space="preserve"> zameraný</w:t>
      </w:r>
      <w:r w:rsidRPr="003F61B2">
        <w:rPr>
          <w:rFonts w:ascii="Times New Roman" w:eastAsia="SimSun" w:hAnsi="Times New Roman" w:hint="default"/>
          <w:szCs w:val="24"/>
        </w:rPr>
        <w:t>ch na fyzickú</w:t>
      </w:r>
      <w:r w:rsidRPr="003F61B2">
        <w:rPr>
          <w:rFonts w:ascii="Times New Roman" w:eastAsia="SimSun" w:hAnsi="Times New Roman" w:hint="default"/>
          <w:szCs w:val="24"/>
        </w:rPr>
        <w:t xml:space="preserve"> ochranu  </w:t>
      </w:r>
      <w:r w:rsidR="00A71AEB">
        <w:rPr>
          <w:rFonts w:ascii="Times New Roman" w:eastAsia="SimSun" w:hAnsi="Times New Roman"/>
          <w:szCs w:val="24"/>
        </w:rPr>
        <w:t>JZ</w:t>
      </w:r>
      <w:r w:rsidRPr="003F61B2">
        <w:rPr>
          <w:rFonts w:ascii="Times New Roman" w:eastAsia="SimSun" w:hAnsi="Times New Roman" w:hint="default"/>
          <w:szCs w:val="24"/>
        </w:rPr>
        <w:t>, jadrový</w:t>
      </w:r>
      <w:r w:rsidRPr="003F61B2">
        <w:rPr>
          <w:rFonts w:ascii="Times New Roman" w:eastAsia="SimSun" w:hAnsi="Times New Roman" w:hint="default"/>
          <w:szCs w:val="24"/>
        </w:rPr>
        <w:t>ch materiá</w:t>
      </w:r>
      <w:r w:rsidRPr="003F61B2">
        <w:rPr>
          <w:rFonts w:ascii="Times New Roman" w:eastAsia="SimSun" w:hAnsi="Times New Roman" w:hint="default"/>
          <w:szCs w:val="24"/>
        </w:rPr>
        <w:t xml:space="preserve">lov, </w:t>
      </w:r>
      <w:r w:rsidR="00A71AEB">
        <w:rPr>
          <w:rFonts w:ascii="Times New Roman" w:eastAsia="SimSun" w:hAnsi="Times New Roman"/>
          <w:szCs w:val="24"/>
        </w:rPr>
        <w:t>RAO</w:t>
      </w:r>
      <w:r w:rsidRPr="003F61B2">
        <w:rPr>
          <w:rFonts w:ascii="Times New Roman" w:eastAsia="SimSun" w:hAnsi="Times New Roman" w:hint="default"/>
          <w:szCs w:val="24"/>
        </w:rPr>
        <w:t xml:space="preserve"> a zá</w:t>
      </w:r>
      <w:r w:rsidRPr="003F61B2">
        <w:rPr>
          <w:rFonts w:ascii="Times New Roman" w:eastAsia="SimSun" w:hAnsi="Times New Roman" w:hint="default"/>
          <w:szCs w:val="24"/>
        </w:rPr>
        <w:t>roveň</w:t>
      </w:r>
      <w:r w:rsidRPr="003F61B2">
        <w:rPr>
          <w:rFonts w:ascii="Times New Roman" w:eastAsia="SimSun" w:hAnsi="Times New Roman" w:hint="default"/>
          <w:szCs w:val="24"/>
        </w:rPr>
        <w:t xml:space="preserve"> boli vykonané</w:t>
      </w:r>
      <w:r w:rsidRPr="003F61B2">
        <w:rPr>
          <w:rFonts w:ascii="Times New Roman" w:eastAsia="SimSun" w:hAnsi="Times New Roman" w:hint="default"/>
          <w:szCs w:val="24"/>
        </w:rPr>
        <w:t xml:space="preserve"> i inš</w:t>
      </w:r>
      <w:r w:rsidRPr="003F61B2">
        <w:rPr>
          <w:rFonts w:ascii="Times New Roman" w:eastAsia="SimSun" w:hAnsi="Times New Roman" w:hint="default"/>
          <w:szCs w:val="24"/>
        </w:rPr>
        <w:t>pekcie zamerané</w:t>
      </w:r>
      <w:r w:rsidRPr="003F61B2">
        <w:rPr>
          <w:rFonts w:ascii="Times New Roman" w:eastAsia="SimSun" w:hAnsi="Times New Roman" w:hint="default"/>
          <w:szCs w:val="24"/>
        </w:rPr>
        <w:t xml:space="preserve"> na zabezpeč</w:t>
      </w:r>
      <w:r w:rsidRPr="003F61B2">
        <w:rPr>
          <w:rFonts w:ascii="Times New Roman" w:eastAsia="SimSun" w:hAnsi="Times New Roman" w:hint="default"/>
          <w:szCs w:val="24"/>
        </w:rPr>
        <w:t>enie fyzickej ochrany pri prepravá</w:t>
      </w:r>
      <w:r w:rsidRPr="003F61B2">
        <w:rPr>
          <w:rFonts w:ascii="Times New Roman" w:eastAsia="SimSun" w:hAnsi="Times New Roman" w:hint="default"/>
          <w:szCs w:val="24"/>
        </w:rPr>
        <w:t xml:space="preserve">ch </w:t>
      </w:r>
      <w:r w:rsidRPr="00520417">
        <w:rPr>
          <w:rFonts w:ascii="Times New Roman" w:hAnsi="Times New Roman"/>
          <w:szCs w:val="24"/>
        </w:rPr>
        <w:t>rádioaktívnych materiálov.</w:t>
      </w:r>
    </w:p>
    <w:p w:rsidR="00211DA5" w:rsidRPr="00A732CD" w:rsidP="00211DA5">
      <w:pPr>
        <w:bidi w:val="0"/>
        <w:jc w:val="both"/>
        <w:rPr>
          <w:rFonts w:ascii="Times New Roman" w:eastAsia="SimSun" w:hAnsi="Times New Roman"/>
          <w:szCs w:val="24"/>
        </w:rPr>
      </w:pPr>
    </w:p>
    <w:p w:rsidR="00BC73CA" w:rsidRPr="00BC73CA" w:rsidP="00BC73CA">
      <w:pPr>
        <w:bidi w:val="0"/>
        <w:rPr>
          <w:rFonts w:ascii="Times New Roman" w:hAnsi="Times New Roman"/>
          <w:lang w:eastAsia="cs-CZ"/>
        </w:rPr>
      </w:pPr>
      <w:bookmarkStart w:id="76" w:name="_Toc158112600"/>
      <w:bookmarkStart w:id="77" w:name="_Toc162317367"/>
    </w:p>
    <w:p w:rsidR="00E00EC8" w:rsidP="006D0191">
      <w:pPr>
        <w:pStyle w:val="Heading1"/>
        <w:tabs>
          <w:tab w:val="clear" w:pos="5747"/>
        </w:tabs>
        <w:bidi w:val="0"/>
        <w:ind w:left="357" w:hanging="357"/>
        <w:rPr>
          <w:rFonts w:ascii="Times New Roman" w:hAnsi="Times New Roman"/>
        </w:rPr>
      </w:pPr>
      <w:bookmarkStart w:id="78" w:name="_Toc320719731"/>
      <w:r>
        <w:rPr>
          <w:rFonts w:ascii="Times New Roman" w:hAnsi="Times New Roman"/>
        </w:rPr>
        <w:t>Havarijné</w:t>
      </w:r>
      <w:r w:rsidR="00EF7DC4">
        <w:rPr>
          <w:rFonts w:ascii="Times New Roman" w:hAnsi="Times New Roman"/>
        </w:rPr>
        <w:t xml:space="preserve"> </w:t>
      </w:r>
      <w:r>
        <w:rPr>
          <w:rFonts w:ascii="Times New Roman" w:hAnsi="Times New Roman"/>
        </w:rPr>
        <w:t xml:space="preserve"> </w:t>
      </w:r>
      <w:r w:rsidRPr="006D0191">
        <w:rPr>
          <w:rFonts w:ascii="Times New Roman" w:hAnsi="Times New Roman"/>
        </w:rPr>
        <w:t>plánovanie</w:t>
      </w:r>
      <w:r>
        <w:rPr>
          <w:rFonts w:ascii="Times New Roman" w:hAnsi="Times New Roman"/>
        </w:rPr>
        <w:t xml:space="preserve"> a</w:t>
      </w:r>
      <w:r w:rsidR="008A395A">
        <w:rPr>
          <w:rFonts w:ascii="Times New Roman" w:hAnsi="Times New Roman"/>
        </w:rPr>
        <w:t> </w:t>
      </w:r>
      <w:r>
        <w:rPr>
          <w:rFonts w:ascii="Times New Roman" w:hAnsi="Times New Roman"/>
        </w:rPr>
        <w:t>pripravenosť</w:t>
      </w:r>
      <w:bookmarkEnd w:id="76"/>
      <w:bookmarkEnd w:id="77"/>
      <w:bookmarkEnd w:id="78"/>
    </w:p>
    <w:p w:rsidR="008A395A" w:rsidRPr="008A395A" w:rsidP="008A395A">
      <w:pPr>
        <w:bidi w:val="0"/>
        <w:rPr>
          <w:rFonts w:ascii="Times New Roman" w:hAnsi="Times New Roman"/>
          <w:lang w:eastAsia="cs-CZ"/>
        </w:rPr>
      </w:pPr>
    </w:p>
    <w:p w:rsidR="004D2DF1" w:rsidRPr="00704A47" w:rsidP="004D2DF1">
      <w:pPr>
        <w:pStyle w:val="Heading2"/>
        <w:tabs>
          <w:tab w:val="num" w:pos="0"/>
        </w:tabs>
        <w:bidi w:val="0"/>
        <w:ind w:left="0" w:firstLine="11"/>
        <w:rPr>
          <w:rFonts w:ascii="Times New Roman" w:hAnsi="Times New Roman"/>
        </w:rPr>
      </w:pPr>
      <w:bookmarkStart w:id="79" w:name="_Toc320719732"/>
      <w:r w:rsidRPr="008F08AA">
        <w:rPr>
          <w:rFonts w:ascii="Times New Roman" w:hAnsi="Times New Roman"/>
        </w:rPr>
        <w:t xml:space="preserve"> </w:t>
      </w:r>
      <w:r w:rsidRPr="008F08AA">
        <w:rPr>
          <w:rFonts w:ascii="Times New Roman" w:hAnsi="Times New Roman"/>
        </w:rPr>
        <w:t>Vnútorné hava</w:t>
      </w:r>
      <w:r>
        <w:rPr>
          <w:rFonts w:ascii="Times New Roman" w:hAnsi="Times New Roman"/>
        </w:rPr>
        <w:t>rijné plánovanie a pripravenosť</w:t>
      </w:r>
      <w:bookmarkEnd w:id="79"/>
    </w:p>
    <w:p w:rsidR="004D2DF1" w:rsidP="004D2DF1">
      <w:pPr>
        <w:bidi w:val="0"/>
        <w:spacing w:after="100" w:afterAutospacing="1"/>
        <w:jc w:val="both"/>
        <w:rPr>
          <w:rFonts w:ascii="Times New Roman" w:hAnsi="Times New Roman"/>
        </w:rPr>
      </w:pPr>
      <w:r>
        <w:rPr>
          <w:rFonts w:ascii="Times New Roman" w:hAnsi="Times New Roman"/>
        </w:rPr>
        <w:t>V zmysle ustanovení atómového zákona je žiadateľ o vydanie povolenia na prevádzku JZ povinný predložiť ÚJD SR na schválenie vnútorný havarijný plán. Cieľom vnútorného havarijného plánovania je zabezpečiť pripravenosť zamestnancov držiteľov povolení na realizáciu plánovaných opatrení v prípade vzniku udalosti na JZ s dôrazom na zníženie rizika alebo zmiernenie následkov udalosti, predchádzanie ťažkým zdravotným poškodeniam ako i zníženie rizika pravdepodobnosti výskytu stochastických účinkov na zdravie.</w:t>
      </w:r>
    </w:p>
    <w:p w:rsidR="004D2DF1" w:rsidP="004D2DF1">
      <w:pPr>
        <w:bidi w:val="0"/>
        <w:spacing w:after="100" w:afterAutospacing="1"/>
        <w:jc w:val="both"/>
        <w:rPr>
          <w:rFonts w:ascii="Times New Roman" w:hAnsi="Times New Roman"/>
        </w:rPr>
      </w:pPr>
      <w:r>
        <w:rPr>
          <w:rFonts w:ascii="Times New Roman" w:hAnsi="Times New Roman"/>
        </w:rPr>
        <w:t>V čase výstavby JZ musí mať držiteľ povolenia ÚJD SR schválený predbežný vnútorný havarijný plán, ktorý obsahuje opatrenia na území JZ počas jeho výstavby.</w:t>
      </w:r>
    </w:p>
    <w:p w:rsidR="004D2DF1" w:rsidP="004D2DF1">
      <w:pPr>
        <w:bidi w:val="0"/>
        <w:spacing w:after="100" w:afterAutospacing="1"/>
        <w:jc w:val="both"/>
        <w:rPr>
          <w:rFonts w:ascii="Times New Roman" w:hAnsi="Times New Roman"/>
        </w:rPr>
      </w:pPr>
      <w:r>
        <w:rPr>
          <w:rFonts w:ascii="Times New Roman" w:hAnsi="Times New Roman"/>
        </w:rPr>
        <w:t xml:space="preserve">Špecifickou kategóriou havarijných plánov je havarijný dopravný poriadok, ktorý obsahuje opatrenia počas nehody alebo havárie pri preprave rádioaktívnych materiálov. Jeho princípy, ciele a využitie </w:t>
      </w:r>
      <w:r w:rsidR="00C52B61">
        <w:rPr>
          <w:rFonts w:ascii="Times New Roman" w:hAnsi="Times New Roman"/>
        </w:rPr>
        <w:t>sú</w:t>
      </w:r>
      <w:r>
        <w:rPr>
          <w:rFonts w:ascii="Times New Roman" w:hAnsi="Times New Roman"/>
        </w:rPr>
        <w:t xml:space="preserve"> rovnaké ako pri havarijných plánoch JZ.</w:t>
      </w:r>
    </w:p>
    <w:p w:rsidR="004D2DF1" w:rsidP="004D2DF1">
      <w:pPr>
        <w:bidi w:val="0"/>
        <w:spacing w:after="100" w:afterAutospacing="1"/>
        <w:jc w:val="both"/>
        <w:rPr>
          <w:rFonts w:ascii="Times New Roman" w:hAnsi="Times New Roman"/>
        </w:rPr>
      </w:pPr>
      <w:r>
        <w:rPr>
          <w:rFonts w:ascii="Times New Roman" w:hAnsi="Times New Roman"/>
        </w:rPr>
        <w:t>Na zabezpečenie úloh, ktoré JZ vyplývajú z legislatívy a havarijných plánov, má držiteľ povolenia vytvorenú dočasnú organizáciu havarijnej odozvy, havarijnú komisiu a havarijné riadiace stredisko.</w:t>
      </w:r>
    </w:p>
    <w:p w:rsidR="004D2DF1" w:rsidP="004D2DF1">
      <w:pPr>
        <w:bidi w:val="0"/>
        <w:jc w:val="both"/>
        <w:rPr>
          <w:rFonts w:ascii="Times New Roman" w:hAnsi="Times New Roman"/>
          <w:bCs/>
          <w:szCs w:val="24"/>
        </w:rPr>
      </w:pPr>
      <w:r>
        <w:rPr>
          <w:rFonts w:ascii="Times New Roman" w:hAnsi="Times New Roman"/>
          <w:bCs/>
          <w:szCs w:val="24"/>
        </w:rPr>
        <w:t>V roku 2011 bolo vydaných 7 rozhodnutí, ktorým ÚJD SR schválil vnútorný havarijný plán, veľkosť oblasti ohrozenia a posúdil plán ochrany obyvateľstva a havarijné dopravné poriadky.</w:t>
      </w:r>
    </w:p>
    <w:p w:rsidR="004D2DF1" w:rsidP="004D2DF1">
      <w:pPr>
        <w:bidi w:val="0"/>
        <w:jc w:val="both"/>
        <w:rPr>
          <w:rFonts w:ascii="Times New Roman" w:hAnsi="Times New Roman"/>
          <w:szCs w:val="24"/>
        </w:rPr>
      </w:pPr>
    </w:p>
    <w:p w:rsidR="004D2DF1" w:rsidRPr="005008A8" w:rsidP="004D2DF1">
      <w:pPr>
        <w:pStyle w:val="Heading2"/>
        <w:tabs>
          <w:tab w:val="num" w:pos="0"/>
        </w:tabs>
        <w:bidi w:val="0"/>
        <w:ind w:left="0" w:firstLine="11"/>
        <w:rPr>
          <w:rFonts w:ascii="Times New Roman" w:hAnsi="Times New Roman"/>
        </w:rPr>
      </w:pPr>
      <w:bookmarkStart w:id="80" w:name="_Toc320719733"/>
      <w:r w:rsidRPr="008F08AA">
        <w:rPr>
          <w:rFonts w:ascii="Times New Roman" w:hAnsi="Times New Roman"/>
        </w:rPr>
        <w:t xml:space="preserve"> </w:t>
      </w:r>
      <w:r w:rsidRPr="008F08AA">
        <w:rPr>
          <w:rFonts w:ascii="Times New Roman" w:hAnsi="Times New Roman"/>
        </w:rPr>
        <w:t>Vonkajšie havarijné plánovanie a pripravenosť</w:t>
      </w:r>
      <w:bookmarkEnd w:id="80"/>
    </w:p>
    <w:p w:rsidR="004D2DF1" w:rsidP="004D2DF1">
      <w:pPr>
        <w:bidi w:val="0"/>
        <w:jc w:val="both"/>
        <w:rPr>
          <w:rFonts w:ascii="Times New Roman" w:hAnsi="Times New Roman"/>
          <w:szCs w:val="24"/>
        </w:rPr>
      </w:pPr>
      <w:r>
        <w:rPr>
          <w:rFonts w:ascii="Times New Roman" w:hAnsi="Times New Roman"/>
          <w:szCs w:val="24"/>
        </w:rPr>
        <w:t xml:space="preserve">Vonkajšie havarijné plánovanie zabezpečuje úlohy súvisiace s preventívnymi opatreniami, pripravenosť zodpovedných pracovníkov a zamestnancov štátnej správy, odborníkov ako aj členov výkonných zložiek. Cieľom vonkajšieho havarijného plánovania je vedieť reálne získavať a následne využívať získané údaje pri realizácii konkrétnych opatrení súvisiacich so zabezpečením ochrany obyvateľstva. </w:t>
      </w:r>
    </w:p>
    <w:p w:rsidR="004D2DF1" w:rsidP="004D2DF1">
      <w:pPr>
        <w:bidi w:val="0"/>
        <w:jc w:val="both"/>
        <w:rPr>
          <w:rFonts w:ascii="Times New Roman" w:hAnsi="Times New Roman"/>
          <w:szCs w:val="24"/>
        </w:rPr>
      </w:pPr>
      <w:r>
        <w:rPr>
          <w:rFonts w:ascii="Times New Roman" w:hAnsi="Times New Roman"/>
          <w:szCs w:val="24"/>
        </w:rPr>
        <w:t>Základným dokumentom upravujúcim vonkajšie havarijné plánovanie je plán ochrany obyvateľstva, ktorý obsahuje opatrenia na ochranu obyvateľstva v oblasti ohrozenia počas úniku rádioaktívnych látok do životné</w:t>
      </w:r>
      <w:r w:rsidR="00DA5FA4">
        <w:rPr>
          <w:rFonts w:ascii="Times New Roman" w:hAnsi="Times New Roman"/>
          <w:szCs w:val="24"/>
        </w:rPr>
        <w:t>ho</w:t>
      </w:r>
      <w:r>
        <w:rPr>
          <w:rFonts w:ascii="Times New Roman" w:hAnsi="Times New Roman"/>
          <w:szCs w:val="24"/>
        </w:rPr>
        <w:t xml:space="preserve"> prostredia. Spracúvajú ich obvodné úrady v sídle kraja, ktoré spadajú do oblasti ohrozenia  AE Mochovce 1,2 a AE Bohunice V-2.</w:t>
      </w:r>
    </w:p>
    <w:p w:rsidR="004D2DF1" w:rsidP="004D2DF1">
      <w:pPr>
        <w:bidi w:val="0"/>
        <w:jc w:val="both"/>
        <w:rPr>
          <w:rFonts w:ascii="Times New Roman" w:hAnsi="Times New Roman"/>
          <w:szCs w:val="24"/>
        </w:rPr>
      </w:pPr>
      <w:r>
        <w:rPr>
          <w:rFonts w:ascii="Times New Roman" w:hAnsi="Times New Roman"/>
          <w:szCs w:val="24"/>
        </w:rPr>
        <w:t>ÚJD SR svojím rozhodnutím určuje oblasť ohrozenia JZ. V súčasnosti sú platné tieto oblasti ohrozenia pre prevádzkované JZ:</w:t>
      </w:r>
    </w:p>
    <w:p w:rsidR="004D2DF1" w:rsidP="00E700F5">
      <w:pPr>
        <w:numPr>
          <w:ilvl w:val="1"/>
          <w:numId w:val="8"/>
        </w:numPr>
        <w:bidi w:val="0"/>
        <w:jc w:val="both"/>
        <w:rPr>
          <w:rFonts w:ascii="Times New Roman" w:hAnsi="Times New Roman"/>
          <w:szCs w:val="24"/>
        </w:rPr>
      </w:pPr>
      <w:r>
        <w:rPr>
          <w:rFonts w:ascii="Times New Roman" w:hAnsi="Times New Roman"/>
          <w:szCs w:val="24"/>
        </w:rPr>
        <w:t>oblasť ohrozenia JZ AE Bohunice  V-2 – 21 km</w:t>
      </w:r>
    </w:p>
    <w:p w:rsidR="004D2DF1" w:rsidP="00E700F5">
      <w:pPr>
        <w:numPr>
          <w:ilvl w:val="1"/>
          <w:numId w:val="8"/>
        </w:numPr>
        <w:bidi w:val="0"/>
        <w:jc w:val="both"/>
        <w:rPr>
          <w:rFonts w:ascii="Times New Roman" w:hAnsi="Times New Roman"/>
          <w:szCs w:val="24"/>
        </w:rPr>
      </w:pPr>
      <w:r>
        <w:rPr>
          <w:rFonts w:ascii="Times New Roman" w:hAnsi="Times New Roman"/>
          <w:szCs w:val="24"/>
        </w:rPr>
        <w:t>oblasť ohrozenia JZ Mochovce 1,2 – 20 km.</w:t>
      </w:r>
    </w:p>
    <w:p w:rsidR="004D2DF1" w:rsidP="004D2DF1">
      <w:pPr>
        <w:bidi w:val="0"/>
        <w:jc w:val="both"/>
        <w:rPr>
          <w:rFonts w:ascii="Times New Roman" w:hAnsi="Times New Roman"/>
          <w:szCs w:val="24"/>
        </w:rPr>
      </w:pPr>
      <w:r>
        <w:rPr>
          <w:rFonts w:ascii="Times New Roman" w:hAnsi="Times New Roman"/>
          <w:szCs w:val="24"/>
        </w:rPr>
        <w:t xml:space="preserve">Zaradenie obcí do oblasti ohrozenia je v kompetencii obvodných úradov v sídle kraja. </w:t>
      </w:r>
    </w:p>
    <w:p w:rsidR="004D2DF1" w:rsidP="004D2DF1">
      <w:pPr>
        <w:bidi w:val="0"/>
        <w:jc w:val="both"/>
        <w:rPr>
          <w:rFonts w:ascii="Times New Roman" w:hAnsi="Times New Roman"/>
          <w:szCs w:val="24"/>
        </w:rPr>
      </w:pPr>
    </w:p>
    <w:p w:rsidR="00781460" w:rsidP="00A16146">
      <w:pPr>
        <w:bidi w:val="0"/>
        <w:spacing w:after="100" w:afterAutospacing="1"/>
        <w:jc w:val="both"/>
        <w:rPr>
          <w:rFonts w:ascii="Times New Roman" w:hAnsi="Times New Roman"/>
          <w:szCs w:val="24"/>
        </w:rPr>
      </w:pPr>
      <w:r w:rsidR="004D2DF1">
        <w:rPr>
          <w:rFonts w:ascii="Times New Roman" w:hAnsi="Times New Roman"/>
        </w:rPr>
        <w:t>V súlade s platnou legislatívou má ÚJD SR na hodnotenie priebehu a následkov nehôd a havárií JZ závažných z hľadiska ich možného vplyvu na okolie, prípravu návrhov opatrení alebo odporúčaní na ďalší postup vytvorené Centrum havarijnej odozvy (ďalej len „CHO“). CHO je začlenené v systéme havarijnej pripravenosti SR a spolupracuje pri príprave odporúčaní s Ústredným krízovým štábom (ďalej len „ÚKŠ“). CHO je technick</w:t>
      </w:r>
      <w:r w:rsidR="00A16146">
        <w:rPr>
          <w:rFonts w:ascii="Times New Roman" w:hAnsi="Times New Roman"/>
        </w:rPr>
        <w:t xml:space="preserve">ým podporným prostriedkom ÚKŠ. </w:t>
      </w:r>
      <w:r w:rsidR="004D2DF1">
        <w:rPr>
          <w:rFonts w:ascii="Times New Roman" w:hAnsi="Times New Roman"/>
        </w:rPr>
        <w:t xml:space="preserve">ÚJD SR má zo svojich zamestnancov vytvorený havarijný štáb (ďalej len „HŠ“), ktorý s podporou softvérových vyhodnocovacích nástrojov dokáže v krátkom čase poskytnúť prognózu vývoja udalosti s možnými opatreniami na elimináciu dôsledkov nehody alebo havárie. </w:t>
      </w:r>
      <w:r w:rsidR="004D2DF1">
        <w:rPr>
          <w:rFonts w:ascii="Times New Roman" w:hAnsi="Times New Roman"/>
          <w:szCs w:val="24"/>
        </w:rPr>
        <w:t xml:space="preserve">Zamestnanci ÚJD SR zaradení do HŠ sú rozdelení do troch sledov a slúžia v týždenných pohotovostných cykloch. </w:t>
      </w:r>
    </w:p>
    <w:p w:rsidR="004D2DF1" w:rsidRPr="00A16146" w:rsidP="00D95E1F">
      <w:pPr>
        <w:bidi w:val="0"/>
        <w:jc w:val="both"/>
        <w:rPr>
          <w:rFonts w:ascii="Times New Roman" w:hAnsi="Times New Roman"/>
        </w:rPr>
      </w:pPr>
      <w:r>
        <w:rPr>
          <w:rFonts w:ascii="Times New Roman" w:hAnsi="Times New Roman"/>
          <w:szCs w:val="24"/>
        </w:rPr>
        <w:t xml:space="preserve">Počas roka sa konali pravidelné školenia odborných skupín, ako aj špeciálne kurzy a tréningy, v ktorých si zamestnanci osvojovali návyky na používanie havarijnej dokumentácie a využívanie podporných softvérových prostriedkov. </w:t>
      </w:r>
      <w:r>
        <w:rPr>
          <w:rFonts w:ascii="Times New Roman" w:hAnsi="Times New Roman"/>
        </w:rPr>
        <w:t xml:space="preserve">Na zabezpečenie vysokej úrovne činnosti </w:t>
      </w:r>
      <w:r>
        <w:rPr>
          <w:rFonts w:ascii="Times New Roman" w:hAnsi="Times New Roman"/>
          <w:bCs/>
          <w:szCs w:val="24"/>
        </w:rPr>
        <w:t>sa v roku 2011 v</w:t>
      </w:r>
      <w:r w:rsidRPr="007B026E">
        <w:rPr>
          <w:rFonts w:ascii="Times New Roman" w:hAnsi="Times New Roman"/>
          <w:bCs/>
          <w:szCs w:val="24"/>
        </w:rPr>
        <w:t xml:space="preserve">ykonala pravidelná revízia kompletnej zostavy </w:t>
      </w:r>
      <w:r>
        <w:rPr>
          <w:rFonts w:ascii="Times New Roman" w:hAnsi="Times New Roman"/>
          <w:bCs/>
          <w:szCs w:val="24"/>
        </w:rPr>
        <w:t>h</w:t>
      </w:r>
      <w:r w:rsidRPr="007B026E">
        <w:rPr>
          <w:rFonts w:ascii="Times New Roman" w:hAnsi="Times New Roman"/>
          <w:bCs/>
          <w:szCs w:val="24"/>
        </w:rPr>
        <w:t xml:space="preserve">avarijných predpisov. </w:t>
      </w:r>
      <w:r w:rsidR="00C52B61">
        <w:rPr>
          <w:rFonts w:ascii="Times New Roman" w:hAnsi="Times New Roman"/>
          <w:bCs/>
          <w:szCs w:val="24"/>
        </w:rPr>
        <w:t>P</w:t>
      </w:r>
      <w:r w:rsidRPr="007B026E">
        <w:rPr>
          <w:rFonts w:ascii="Times New Roman" w:hAnsi="Times New Roman"/>
          <w:bCs/>
          <w:szCs w:val="24"/>
        </w:rPr>
        <w:t>ostupn</w:t>
      </w:r>
      <w:r w:rsidR="00C52B61">
        <w:rPr>
          <w:rFonts w:ascii="Times New Roman" w:hAnsi="Times New Roman"/>
          <w:bCs/>
          <w:szCs w:val="24"/>
        </w:rPr>
        <w:t>e sa</w:t>
      </w:r>
      <w:r w:rsidRPr="007B026E">
        <w:rPr>
          <w:rFonts w:ascii="Times New Roman" w:hAnsi="Times New Roman"/>
          <w:bCs/>
          <w:szCs w:val="24"/>
        </w:rPr>
        <w:t xml:space="preserve"> </w:t>
      </w:r>
      <w:r>
        <w:rPr>
          <w:rFonts w:ascii="Times New Roman" w:hAnsi="Times New Roman"/>
          <w:bCs/>
          <w:szCs w:val="24"/>
        </w:rPr>
        <w:t>aktualiz</w:t>
      </w:r>
      <w:r w:rsidR="00C52B61">
        <w:rPr>
          <w:rFonts w:ascii="Times New Roman" w:hAnsi="Times New Roman"/>
          <w:bCs/>
          <w:szCs w:val="24"/>
        </w:rPr>
        <w:t>ovali</w:t>
      </w:r>
      <w:r w:rsidRPr="007B026E">
        <w:rPr>
          <w:rFonts w:ascii="Times New Roman" w:hAnsi="Times New Roman"/>
          <w:bCs/>
          <w:szCs w:val="24"/>
        </w:rPr>
        <w:t xml:space="preserve"> vyhodnocovac</w:t>
      </w:r>
      <w:r w:rsidR="00C52B61">
        <w:rPr>
          <w:rFonts w:ascii="Times New Roman" w:hAnsi="Times New Roman"/>
          <w:bCs/>
          <w:szCs w:val="24"/>
        </w:rPr>
        <w:t>ie</w:t>
      </w:r>
      <w:r w:rsidRPr="007B026E">
        <w:rPr>
          <w:rFonts w:ascii="Times New Roman" w:hAnsi="Times New Roman"/>
          <w:bCs/>
          <w:szCs w:val="24"/>
        </w:rPr>
        <w:t xml:space="preserve"> a podporn</w:t>
      </w:r>
      <w:r w:rsidR="00C52B61">
        <w:rPr>
          <w:rFonts w:ascii="Times New Roman" w:hAnsi="Times New Roman"/>
          <w:bCs/>
          <w:szCs w:val="24"/>
        </w:rPr>
        <w:t>é</w:t>
      </w:r>
      <w:r w:rsidRPr="007B026E">
        <w:rPr>
          <w:rFonts w:ascii="Times New Roman" w:hAnsi="Times New Roman"/>
          <w:bCs/>
          <w:szCs w:val="24"/>
        </w:rPr>
        <w:t xml:space="preserve"> softvér</w:t>
      </w:r>
      <w:r w:rsidR="00C52B61">
        <w:rPr>
          <w:rFonts w:ascii="Times New Roman" w:hAnsi="Times New Roman"/>
          <w:bCs/>
          <w:szCs w:val="24"/>
        </w:rPr>
        <w:t>y</w:t>
      </w:r>
      <w:r w:rsidRPr="007B026E">
        <w:rPr>
          <w:rFonts w:ascii="Times New Roman" w:hAnsi="Times New Roman"/>
          <w:bCs/>
          <w:szCs w:val="24"/>
        </w:rPr>
        <w:t>, realizovali sa zmeny v  prenos</w:t>
      </w:r>
      <w:r>
        <w:rPr>
          <w:rFonts w:ascii="Times New Roman" w:hAnsi="Times New Roman"/>
          <w:bCs/>
          <w:szCs w:val="24"/>
        </w:rPr>
        <w:t>e</w:t>
      </w:r>
      <w:r w:rsidRPr="007B026E">
        <w:rPr>
          <w:rFonts w:ascii="Times New Roman" w:hAnsi="Times New Roman"/>
          <w:bCs/>
          <w:szCs w:val="24"/>
        </w:rPr>
        <w:t xml:space="preserve"> technologických a radiačných dát z JAVYS a.</w:t>
      </w:r>
      <w:r w:rsidR="00781460">
        <w:rPr>
          <w:rFonts w:ascii="Times New Roman" w:hAnsi="Times New Roman"/>
          <w:bCs/>
          <w:szCs w:val="24"/>
        </w:rPr>
        <w:t> </w:t>
      </w:r>
      <w:r w:rsidRPr="007B026E">
        <w:rPr>
          <w:rFonts w:ascii="Times New Roman" w:hAnsi="Times New Roman"/>
          <w:bCs/>
          <w:szCs w:val="24"/>
        </w:rPr>
        <w:t>s. a boli uskutočnené úpravy v prenose technologických, rádiologických a meteorologických dát z SE a.</w:t>
      </w:r>
      <w:r w:rsidR="00781460">
        <w:rPr>
          <w:rFonts w:ascii="Times New Roman" w:hAnsi="Times New Roman"/>
          <w:bCs/>
          <w:szCs w:val="24"/>
        </w:rPr>
        <w:t> </w:t>
      </w:r>
      <w:r w:rsidRPr="007B026E">
        <w:rPr>
          <w:rFonts w:ascii="Times New Roman" w:hAnsi="Times New Roman"/>
          <w:bCs/>
          <w:szCs w:val="24"/>
        </w:rPr>
        <w:t>s. a jeho zálohovanie.</w:t>
      </w:r>
    </w:p>
    <w:p w:rsidR="004D2DF1" w:rsidP="00D95E1F">
      <w:pPr>
        <w:bidi w:val="0"/>
        <w:jc w:val="both"/>
        <w:rPr>
          <w:rFonts w:ascii="Times New Roman" w:hAnsi="Times New Roman"/>
          <w:szCs w:val="24"/>
        </w:rPr>
      </w:pPr>
    </w:p>
    <w:p w:rsidR="004D2DF1" w:rsidRPr="00A16146" w:rsidP="00D95E1F">
      <w:pPr>
        <w:pStyle w:val="Heading2"/>
        <w:tabs>
          <w:tab w:val="num" w:pos="0"/>
        </w:tabs>
        <w:bidi w:val="0"/>
        <w:ind w:left="0" w:firstLine="11"/>
        <w:rPr>
          <w:rFonts w:ascii="Times New Roman" w:hAnsi="Times New Roman"/>
        </w:rPr>
      </w:pPr>
      <w:bookmarkStart w:id="81" w:name="_Toc320719734"/>
      <w:r w:rsidRPr="008F08AA">
        <w:rPr>
          <w:rFonts w:ascii="Times New Roman" w:hAnsi="Times New Roman"/>
        </w:rPr>
        <w:t>Inšpekcie v oblasti havarijného plánovania</w:t>
      </w:r>
      <w:r>
        <w:rPr>
          <w:rFonts w:ascii="Times New Roman" w:hAnsi="Times New Roman"/>
        </w:rPr>
        <w:t xml:space="preserve"> a pripravenosti</w:t>
      </w:r>
      <w:bookmarkEnd w:id="81"/>
    </w:p>
    <w:p w:rsidR="004D2DF1" w:rsidP="00D95E1F">
      <w:pPr>
        <w:bidi w:val="0"/>
        <w:jc w:val="both"/>
        <w:rPr>
          <w:rFonts w:ascii="Times New Roman" w:hAnsi="Times New Roman"/>
          <w:szCs w:val="24"/>
        </w:rPr>
      </w:pPr>
      <w:r>
        <w:rPr>
          <w:rFonts w:ascii="Times New Roman" w:hAnsi="Times New Roman"/>
          <w:szCs w:val="24"/>
        </w:rPr>
        <w:t>V  oblasti havarijného plánovania a pripravenosti boli vykonané inšpekcie u všetkých držiteľov povolení zamerané najmä na prenosy on-line dát, previerku súčinnosti pri cvičeniach, systému školení a zariadení určených pre havarijnú pripravenosť. Súčasťou inšpekcií bolo aj celoareálové havarijné cvičenie v  lokalite Mochovce a celoareálové havarijné cvičenie v lokalite Bohunice v súčinnosti zo zapojením zložiek určených v pláne ochrany obyvateľstva. V nadväznosti na tieto cvičenia sa konali aj cvičenia Havarijného štábu ÚJD SR, kde si jeho členovia precvičovali činnosti a postupy riešenia simulovaných udalostí.</w:t>
      </w:r>
    </w:p>
    <w:p w:rsidR="004D2DF1" w:rsidP="00D95E1F">
      <w:pPr>
        <w:pStyle w:val="PlainText"/>
        <w:bidi w:val="0"/>
        <w:jc w:val="both"/>
        <w:rPr>
          <w:rFonts w:ascii="Times New Roman" w:hAnsi="Times New Roman"/>
        </w:rPr>
      </w:pPr>
    </w:p>
    <w:p w:rsidR="004D2DF1" w:rsidRPr="00A16146" w:rsidP="00D95E1F">
      <w:pPr>
        <w:pStyle w:val="Heading2"/>
        <w:tabs>
          <w:tab w:val="num" w:pos="0"/>
        </w:tabs>
        <w:bidi w:val="0"/>
        <w:ind w:left="0" w:firstLine="11"/>
        <w:rPr>
          <w:rFonts w:ascii="Times New Roman" w:hAnsi="Times New Roman"/>
        </w:rPr>
      </w:pPr>
      <w:bookmarkStart w:id="82" w:name="_Toc320719735"/>
      <w:r>
        <w:rPr>
          <w:rFonts w:ascii="Times New Roman" w:hAnsi="Times New Roman"/>
        </w:rPr>
        <w:t xml:space="preserve"> </w:t>
      </w:r>
      <w:r w:rsidRPr="00606BB4">
        <w:rPr>
          <w:rFonts w:ascii="Times New Roman" w:hAnsi="Times New Roman"/>
        </w:rPr>
        <w:t>Medzinárodné cvičenia</w:t>
      </w:r>
      <w:bookmarkEnd w:id="82"/>
    </w:p>
    <w:p w:rsidR="004D2DF1" w:rsidRPr="004E4FC3" w:rsidP="004D2DF1">
      <w:pPr>
        <w:pStyle w:val="Default"/>
        <w:bidi w:val="0"/>
        <w:jc w:val="both"/>
        <w:rPr>
          <w:rFonts w:ascii="Times New Roman" w:hAnsi="Times New Roman"/>
          <w:color w:val="auto"/>
          <w:lang w:val="sk-SK"/>
        </w:rPr>
      </w:pPr>
      <w:r w:rsidRPr="004E4FC3">
        <w:rPr>
          <w:rFonts w:ascii="Times New Roman" w:hAnsi="Times New Roman"/>
          <w:lang w:val="sk-SK"/>
        </w:rPr>
        <w:t>ÚJD SR</w:t>
      </w:r>
      <w:r>
        <w:rPr>
          <w:rFonts w:ascii="Times New Roman" w:hAnsi="Times New Roman"/>
          <w:lang w:val="sk-SK"/>
        </w:rPr>
        <w:t>, ako zástupca SR</w:t>
      </w:r>
      <w:r w:rsidRPr="004E4FC3">
        <w:rPr>
          <w:rFonts w:ascii="Times New Roman" w:hAnsi="Times New Roman"/>
          <w:lang w:val="sk-SK"/>
        </w:rPr>
        <w:t xml:space="preserve"> </w:t>
      </w:r>
      <w:r>
        <w:rPr>
          <w:rFonts w:ascii="Times New Roman" w:hAnsi="Times New Roman"/>
          <w:lang w:val="sk-SK"/>
        </w:rPr>
        <w:t xml:space="preserve">v OECD/NEA, </w:t>
      </w:r>
      <w:r w:rsidR="00BD313F">
        <w:rPr>
          <w:rFonts w:ascii="Times New Roman" w:hAnsi="Times New Roman"/>
          <w:lang w:val="sk-SK"/>
        </w:rPr>
        <w:t>organizoval</w:t>
      </w:r>
      <w:r w:rsidRPr="004E4FC3" w:rsidR="00BD313F">
        <w:rPr>
          <w:rFonts w:ascii="Times New Roman" w:hAnsi="Times New Roman"/>
          <w:lang w:val="sk-SK"/>
        </w:rPr>
        <w:t xml:space="preserve"> </w:t>
      </w:r>
      <w:r w:rsidRPr="004E4FC3">
        <w:rPr>
          <w:rFonts w:ascii="Times New Roman" w:hAnsi="Times New Roman"/>
          <w:lang w:val="sk-SK"/>
        </w:rPr>
        <w:t>cvičeni</w:t>
      </w:r>
      <w:r>
        <w:rPr>
          <w:rFonts w:ascii="Times New Roman" w:hAnsi="Times New Roman"/>
          <w:lang w:val="sk-SK"/>
        </w:rPr>
        <w:t>e</w:t>
      </w:r>
      <w:r w:rsidRPr="004E4FC3">
        <w:rPr>
          <w:rFonts w:ascii="Times New Roman" w:hAnsi="Times New Roman"/>
          <w:lang w:val="sk-SK"/>
        </w:rPr>
        <w:t xml:space="preserve"> INEX 4, ktoré </w:t>
      </w:r>
      <w:r>
        <w:rPr>
          <w:rFonts w:ascii="Times New Roman" w:hAnsi="Times New Roman"/>
          <w:lang w:val="sk-SK"/>
        </w:rPr>
        <w:t xml:space="preserve">bolo zamerané na </w:t>
      </w:r>
      <w:r w:rsidRPr="007A79E3">
        <w:rPr>
          <w:rFonts w:ascii="Times New Roman" w:hAnsi="Times New Roman"/>
          <w:lang w:val="sk-SK"/>
        </w:rPr>
        <w:t>zvládnutie prechodnej</w:t>
      </w:r>
      <w:r>
        <w:rPr>
          <w:rFonts w:ascii="Times New Roman" w:hAnsi="Times New Roman"/>
          <w:lang w:val="sk-SK"/>
        </w:rPr>
        <w:t xml:space="preserve"> a</w:t>
      </w:r>
      <w:r w:rsidRPr="007A79E3">
        <w:rPr>
          <w:rFonts w:ascii="Times New Roman" w:hAnsi="Times New Roman"/>
          <w:lang w:val="sk-SK"/>
        </w:rPr>
        <w:t xml:space="preserve"> neskorej fázy a</w:t>
      </w:r>
      <w:r>
        <w:rPr>
          <w:rFonts w:ascii="Times New Roman" w:hAnsi="Times New Roman"/>
          <w:lang w:val="sk-SK"/>
        </w:rPr>
        <w:t xml:space="preserve"> tiež </w:t>
      </w:r>
      <w:r w:rsidRPr="007A79E3">
        <w:rPr>
          <w:rFonts w:ascii="Times New Roman" w:hAnsi="Times New Roman"/>
          <w:lang w:val="sk-SK"/>
        </w:rPr>
        <w:t>fázy obnovy po radiačnej udalosti, ktorá by vznikla následkom zneužitia jadrových alebo rádioaktívnych materiálov</w:t>
      </w:r>
      <w:r>
        <w:rPr>
          <w:rFonts w:ascii="Times New Roman" w:hAnsi="Times New Roman"/>
          <w:lang w:val="sk-SK"/>
        </w:rPr>
        <w:t xml:space="preserve">. </w:t>
      </w:r>
      <w:r w:rsidRPr="007A79E3">
        <w:rPr>
          <w:rFonts w:ascii="Times New Roman" w:hAnsi="Times New Roman"/>
          <w:lang w:val="sk-SK"/>
        </w:rPr>
        <w:t>Do cvičenia sa zapojilo široké množstvo zložiek štátnej správy a</w:t>
      </w:r>
      <w:r>
        <w:rPr>
          <w:rFonts w:ascii="Times New Roman" w:hAnsi="Times New Roman"/>
          <w:lang w:val="sk-SK"/>
        </w:rPr>
        <w:t> </w:t>
      </w:r>
      <w:r w:rsidRPr="007A79E3">
        <w:rPr>
          <w:rFonts w:ascii="Times New Roman" w:hAnsi="Times New Roman"/>
          <w:lang w:val="sk-SK"/>
        </w:rPr>
        <w:t>samosprávy</w:t>
      </w:r>
      <w:r>
        <w:rPr>
          <w:rFonts w:ascii="Times New Roman" w:hAnsi="Times New Roman"/>
          <w:lang w:val="sk-SK"/>
        </w:rPr>
        <w:t xml:space="preserve">. Cvičenia INEX sú </w:t>
      </w:r>
      <w:r w:rsidRPr="004E4FC3">
        <w:rPr>
          <w:rFonts w:ascii="Times New Roman" w:hAnsi="Times New Roman"/>
          <w:color w:val="auto"/>
          <w:lang w:val="sk-SK"/>
        </w:rPr>
        <w:t>súčasťou série medzinárodných cvičení OECD</w:t>
      </w:r>
      <w:r>
        <w:rPr>
          <w:rFonts w:ascii="Times New Roman" w:hAnsi="Times New Roman"/>
          <w:color w:val="auto"/>
          <w:lang w:val="sk-SK"/>
        </w:rPr>
        <w:t>/</w:t>
      </w:r>
      <w:r w:rsidRPr="004E4FC3">
        <w:rPr>
          <w:rFonts w:ascii="Times New Roman" w:hAnsi="Times New Roman"/>
          <w:color w:val="auto"/>
          <w:lang w:val="sk-SK"/>
        </w:rPr>
        <w:t>NEA</w:t>
      </w:r>
      <w:r w:rsidR="002104B8">
        <w:rPr>
          <w:rFonts w:ascii="Times New Roman" w:hAnsi="Times New Roman"/>
          <w:color w:val="auto"/>
          <w:lang w:val="sk-SK"/>
        </w:rPr>
        <w:t>.</w:t>
      </w:r>
      <w:r w:rsidRPr="004E4FC3">
        <w:rPr>
          <w:rFonts w:ascii="Times New Roman" w:hAnsi="Times New Roman"/>
          <w:color w:val="auto"/>
          <w:lang w:val="sk-SK"/>
        </w:rPr>
        <w:t xml:space="preserve"> </w:t>
      </w:r>
      <w:r w:rsidRPr="004E4FC3">
        <w:rPr>
          <w:rFonts w:ascii="Times New Roman" w:hAnsi="Times New Roman"/>
          <w:lang w:val="sk-SK"/>
        </w:rPr>
        <w:t>Ú</w:t>
      </w:r>
      <w:r>
        <w:rPr>
          <w:rFonts w:ascii="Times New Roman" w:hAnsi="Times New Roman"/>
          <w:lang w:val="sk-SK"/>
        </w:rPr>
        <w:t>JD SR</w:t>
      </w:r>
      <w:r w:rsidRPr="004E4FC3">
        <w:rPr>
          <w:rFonts w:ascii="Times New Roman" w:hAnsi="Times New Roman"/>
          <w:lang w:val="sk-SK"/>
        </w:rPr>
        <w:t xml:space="preserve"> bol </w:t>
      </w:r>
      <w:r>
        <w:rPr>
          <w:rFonts w:ascii="Times New Roman" w:hAnsi="Times New Roman"/>
          <w:lang w:val="sk-SK"/>
        </w:rPr>
        <w:t xml:space="preserve">taktiež </w:t>
      </w:r>
      <w:r w:rsidRPr="004E4FC3">
        <w:rPr>
          <w:rFonts w:ascii="Times New Roman" w:hAnsi="Times New Roman"/>
          <w:lang w:val="sk-SK"/>
        </w:rPr>
        <w:t xml:space="preserve">účastníkom medzinárodných cvičení </w:t>
      </w:r>
      <w:r>
        <w:rPr>
          <w:rFonts w:ascii="Times New Roman" w:hAnsi="Times New Roman"/>
          <w:lang w:val="sk-SK"/>
        </w:rPr>
        <w:t>MAAE (</w:t>
      </w:r>
      <w:r w:rsidRPr="004E4FC3">
        <w:rPr>
          <w:rFonts w:ascii="Times New Roman" w:hAnsi="Times New Roman"/>
          <w:lang w:val="sk-SK"/>
        </w:rPr>
        <w:t>ConvEx</w:t>
      </w:r>
      <w:r>
        <w:rPr>
          <w:rFonts w:ascii="Times New Roman" w:hAnsi="Times New Roman"/>
          <w:lang w:val="sk-SK"/>
        </w:rPr>
        <w:t>)</w:t>
      </w:r>
      <w:r w:rsidRPr="004E4FC3">
        <w:rPr>
          <w:rFonts w:ascii="Times New Roman" w:hAnsi="Times New Roman"/>
          <w:lang w:val="sk-SK"/>
        </w:rPr>
        <w:t xml:space="preserve">. </w:t>
      </w:r>
      <w:r>
        <w:rPr>
          <w:rFonts w:ascii="Times New Roman" w:hAnsi="Times New Roman"/>
          <w:lang w:val="sk-SK"/>
        </w:rPr>
        <w:t xml:space="preserve">Začiatkom roka </w:t>
      </w:r>
      <w:r w:rsidR="00C52B61">
        <w:rPr>
          <w:rFonts w:ascii="Times New Roman" w:hAnsi="Times New Roman"/>
          <w:lang w:val="sk-SK"/>
        </w:rPr>
        <w:t>sa konalo</w:t>
      </w:r>
      <w:r>
        <w:rPr>
          <w:rFonts w:ascii="Times New Roman" w:hAnsi="Times New Roman"/>
          <w:lang w:val="sk-SK"/>
        </w:rPr>
        <w:t xml:space="preserve"> </w:t>
      </w:r>
      <w:r w:rsidRPr="004E4FC3">
        <w:rPr>
          <w:rFonts w:ascii="Times New Roman" w:hAnsi="Times New Roman"/>
          <w:lang w:val="sk-SK"/>
        </w:rPr>
        <w:t>medzinárodn</w:t>
      </w:r>
      <w:r w:rsidR="00DA5FA4">
        <w:rPr>
          <w:rFonts w:ascii="Times New Roman" w:hAnsi="Times New Roman"/>
          <w:lang w:val="sk-SK"/>
        </w:rPr>
        <w:t>é</w:t>
      </w:r>
      <w:r w:rsidRPr="004E4FC3">
        <w:rPr>
          <w:rFonts w:ascii="Times New Roman" w:hAnsi="Times New Roman"/>
          <w:lang w:val="sk-SK"/>
        </w:rPr>
        <w:t xml:space="preserve"> cvičen</w:t>
      </w:r>
      <w:r>
        <w:rPr>
          <w:rFonts w:ascii="Times New Roman" w:hAnsi="Times New Roman"/>
          <w:lang w:val="sk-SK"/>
        </w:rPr>
        <w:t>ie</w:t>
      </w:r>
      <w:r w:rsidRPr="004E4FC3">
        <w:rPr>
          <w:rFonts w:ascii="Times New Roman" w:hAnsi="Times New Roman"/>
          <w:lang w:val="sk-SK"/>
        </w:rPr>
        <w:t xml:space="preserve"> </w:t>
      </w:r>
      <w:r>
        <w:rPr>
          <w:rFonts w:ascii="Times New Roman" w:hAnsi="Times New Roman"/>
          <w:lang w:val="sk-SK"/>
        </w:rPr>
        <w:t xml:space="preserve">organizované EK, </w:t>
      </w:r>
      <w:r w:rsidRPr="004E4FC3">
        <w:rPr>
          <w:rFonts w:ascii="Times New Roman" w:hAnsi="Times New Roman"/>
          <w:lang w:val="sk-SK"/>
        </w:rPr>
        <w:t>ECURIE level 3</w:t>
      </w:r>
      <w:r w:rsidR="00DA5FA4">
        <w:rPr>
          <w:rFonts w:ascii="Times New Roman" w:hAnsi="Times New Roman"/>
          <w:lang w:val="sk-SK"/>
        </w:rPr>
        <w:t xml:space="preserve"> </w:t>
      </w:r>
      <w:r w:rsidRPr="004E4FC3">
        <w:rPr>
          <w:rFonts w:ascii="Times New Roman" w:hAnsi="Times New Roman"/>
          <w:lang w:val="sk-SK"/>
        </w:rPr>
        <w:t>- t. j. simulácia činnosti systému pri skutočnej udalosti</w:t>
      </w:r>
      <w:r>
        <w:rPr>
          <w:rFonts w:ascii="Times New Roman" w:hAnsi="Times New Roman"/>
          <w:lang w:val="sk-SK"/>
        </w:rPr>
        <w:t>.</w:t>
      </w:r>
      <w:r w:rsidRPr="004E4FC3">
        <w:rPr>
          <w:rFonts w:ascii="Times New Roman" w:hAnsi="Times New Roman"/>
          <w:lang w:val="sk-SK"/>
        </w:rPr>
        <w:t xml:space="preserve"> </w:t>
      </w:r>
      <w:r>
        <w:rPr>
          <w:rFonts w:ascii="Times New Roman" w:hAnsi="Times New Roman"/>
          <w:lang w:val="sk-SK"/>
        </w:rPr>
        <w:t xml:space="preserve">V priebehu roka sa uskutočnili aj cvičenia ECURIE level 1 zamerané na preverenie odozvy. </w:t>
      </w:r>
    </w:p>
    <w:p w:rsidR="004D2DF1" w:rsidP="004D2DF1">
      <w:pPr>
        <w:pStyle w:val="PlainText"/>
        <w:bidi w:val="0"/>
        <w:jc w:val="both"/>
        <w:rPr>
          <w:rFonts w:ascii="Times New Roman" w:hAnsi="Times New Roman"/>
        </w:rPr>
      </w:pPr>
    </w:p>
    <w:p w:rsidR="004D2DF1" w:rsidP="004D2DF1">
      <w:pPr>
        <w:pStyle w:val="Heading2"/>
        <w:tabs>
          <w:tab w:val="num" w:pos="0"/>
        </w:tabs>
        <w:bidi w:val="0"/>
        <w:ind w:left="0" w:firstLine="11"/>
        <w:rPr>
          <w:rFonts w:ascii="Times New Roman" w:hAnsi="Times New Roman"/>
        </w:rPr>
      </w:pPr>
      <w:bookmarkStart w:id="83" w:name="_Toc320719736"/>
      <w:r>
        <w:rPr>
          <w:rFonts w:ascii="Times New Roman" w:hAnsi="Times New Roman"/>
        </w:rPr>
        <w:t>Odozva na haváriu v AE Fukušima</w:t>
      </w:r>
      <w:bookmarkEnd w:id="83"/>
    </w:p>
    <w:p w:rsidR="00D65858" w:rsidP="00D97436">
      <w:pPr>
        <w:bidi w:val="0"/>
        <w:jc w:val="both"/>
        <w:rPr>
          <w:rFonts w:ascii="Times New Roman" w:hAnsi="Times New Roman"/>
          <w:szCs w:val="24"/>
        </w:rPr>
      </w:pPr>
      <w:r w:rsidRPr="007B026E" w:rsidR="004D2DF1">
        <w:rPr>
          <w:rFonts w:ascii="Times New Roman" w:hAnsi="Times New Roman"/>
          <w:szCs w:val="24"/>
        </w:rPr>
        <w:t xml:space="preserve">Najzávažnejšou udalosťou </w:t>
      </w:r>
      <w:r w:rsidR="00BD313F">
        <w:rPr>
          <w:rFonts w:ascii="Times New Roman" w:hAnsi="Times New Roman"/>
          <w:szCs w:val="24"/>
        </w:rPr>
        <w:t>vo väzbe na</w:t>
      </w:r>
      <w:r w:rsidRPr="007B026E" w:rsidR="00BD313F">
        <w:rPr>
          <w:rFonts w:ascii="Times New Roman" w:hAnsi="Times New Roman"/>
          <w:szCs w:val="24"/>
        </w:rPr>
        <w:t xml:space="preserve"> </w:t>
      </w:r>
      <w:r w:rsidR="00BD313F">
        <w:rPr>
          <w:rFonts w:ascii="Times New Roman" w:hAnsi="Times New Roman"/>
          <w:szCs w:val="24"/>
        </w:rPr>
        <w:t>h</w:t>
      </w:r>
      <w:r w:rsidRPr="007B026E" w:rsidR="00BD313F">
        <w:rPr>
          <w:rFonts w:ascii="Times New Roman" w:hAnsi="Times New Roman"/>
          <w:szCs w:val="24"/>
        </w:rPr>
        <w:t>avarijn</w:t>
      </w:r>
      <w:r w:rsidR="00BD313F">
        <w:rPr>
          <w:rFonts w:ascii="Times New Roman" w:hAnsi="Times New Roman"/>
          <w:szCs w:val="24"/>
        </w:rPr>
        <w:t>ú</w:t>
      </w:r>
      <w:r w:rsidRPr="007B026E" w:rsidR="00BD313F">
        <w:rPr>
          <w:rFonts w:ascii="Times New Roman" w:hAnsi="Times New Roman"/>
          <w:szCs w:val="24"/>
        </w:rPr>
        <w:t xml:space="preserve"> pripravenos</w:t>
      </w:r>
      <w:r w:rsidR="00BD313F">
        <w:rPr>
          <w:rFonts w:ascii="Times New Roman" w:hAnsi="Times New Roman"/>
          <w:szCs w:val="24"/>
        </w:rPr>
        <w:t>ť</w:t>
      </w:r>
      <w:r w:rsidRPr="007B026E" w:rsidR="00BD313F">
        <w:rPr>
          <w:rFonts w:ascii="Times New Roman" w:hAnsi="Times New Roman"/>
          <w:szCs w:val="24"/>
        </w:rPr>
        <w:t xml:space="preserve"> </w:t>
      </w:r>
      <w:r w:rsidRPr="007B026E" w:rsidR="004D2DF1">
        <w:rPr>
          <w:rFonts w:ascii="Times New Roman" w:hAnsi="Times New Roman"/>
          <w:szCs w:val="24"/>
        </w:rPr>
        <w:t xml:space="preserve">v roku </w:t>
      </w:r>
      <w:r w:rsidR="00BD313F">
        <w:rPr>
          <w:rFonts w:ascii="Times New Roman" w:hAnsi="Times New Roman"/>
          <w:szCs w:val="24"/>
        </w:rPr>
        <w:t xml:space="preserve">2011 </w:t>
      </w:r>
      <w:r w:rsidRPr="007B026E" w:rsidR="004D2DF1">
        <w:rPr>
          <w:rFonts w:ascii="Times New Roman" w:hAnsi="Times New Roman"/>
          <w:szCs w:val="24"/>
        </w:rPr>
        <w:t>bola havária vo Fuku</w:t>
      </w:r>
      <w:r w:rsidR="004D2DF1">
        <w:rPr>
          <w:rFonts w:ascii="Times New Roman" w:hAnsi="Times New Roman"/>
          <w:szCs w:val="24"/>
        </w:rPr>
        <w:t>š</w:t>
      </w:r>
      <w:r w:rsidRPr="007B026E" w:rsidR="004D2DF1">
        <w:rPr>
          <w:rFonts w:ascii="Times New Roman" w:hAnsi="Times New Roman"/>
          <w:szCs w:val="24"/>
        </w:rPr>
        <w:t xml:space="preserve">ime, ktorá výrazne ovplyvnila aj činnosti ÚJD SR. Táto udalosť ostro preverila havarijnú pripravenosť </w:t>
      </w:r>
      <w:r w:rsidR="00CA372E">
        <w:rPr>
          <w:rFonts w:ascii="Times New Roman" w:hAnsi="Times New Roman"/>
          <w:szCs w:val="24"/>
        </w:rPr>
        <w:t xml:space="preserve"> a komunikáciu </w:t>
      </w:r>
      <w:r w:rsidRPr="007B026E" w:rsidR="004D2DF1">
        <w:rPr>
          <w:rFonts w:ascii="Times New Roman" w:hAnsi="Times New Roman"/>
          <w:szCs w:val="24"/>
        </w:rPr>
        <w:t xml:space="preserve">medzi organizáciami </w:t>
      </w:r>
      <w:r w:rsidRPr="007B026E" w:rsidR="00CA372E">
        <w:rPr>
          <w:rFonts w:ascii="Times New Roman" w:hAnsi="Times New Roman"/>
          <w:szCs w:val="24"/>
        </w:rPr>
        <w:t>v rámci SR</w:t>
      </w:r>
      <w:r w:rsidR="00C52B61">
        <w:rPr>
          <w:rFonts w:ascii="Times New Roman" w:hAnsi="Times New Roman"/>
          <w:szCs w:val="24"/>
        </w:rPr>
        <w:t>,</w:t>
      </w:r>
      <w:r w:rsidRPr="007B026E" w:rsidR="004D2DF1">
        <w:rPr>
          <w:rFonts w:ascii="Times New Roman" w:hAnsi="Times New Roman"/>
          <w:szCs w:val="24"/>
        </w:rPr>
        <w:t xml:space="preserve"> ako aj</w:t>
      </w:r>
      <w:r w:rsidRPr="00CA372E" w:rsidR="00CA372E">
        <w:rPr>
          <w:rFonts w:ascii="Times New Roman" w:hAnsi="Times New Roman"/>
          <w:szCs w:val="24"/>
        </w:rPr>
        <w:t xml:space="preserve"> </w:t>
      </w:r>
      <w:r w:rsidRPr="007B026E" w:rsidR="00CA372E">
        <w:rPr>
          <w:rFonts w:ascii="Times New Roman" w:hAnsi="Times New Roman"/>
          <w:szCs w:val="24"/>
        </w:rPr>
        <w:t>v</w:t>
      </w:r>
      <w:r w:rsidR="00CA372E">
        <w:rPr>
          <w:rFonts w:ascii="Times New Roman" w:hAnsi="Times New Roman"/>
          <w:szCs w:val="24"/>
        </w:rPr>
        <w:t> </w:t>
      </w:r>
      <w:r w:rsidRPr="007B026E" w:rsidR="00CA372E">
        <w:rPr>
          <w:rFonts w:ascii="Times New Roman" w:hAnsi="Times New Roman"/>
          <w:szCs w:val="24"/>
        </w:rPr>
        <w:t>zahraničí</w:t>
      </w:r>
      <w:r w:rsidRPr="007B026E" w:rsidR="004D2DF1">
        <w:rPr>
          <w:rFonts w:ascii="Times New Roman" w:hAnsi="Times New Roman"/>
          <w:szCs w:val="24"/>
        </w:rPr>
        <w:t>. Ú</w:t>
      </w:r>
      <w:r w:rsidR="004D2DF1">
        <w:rPr>
          <w:rFonts w:ascii="Times New Roman" w:hAnsi="Times New Roman"/>
          <w:szCs w:val="24"/>
        </w:rPr>
        <w:t>JD SR</w:t>
      </w:r>
      <w:r w:rsidRPr="007B026E" w:rsidR="004D2DF1">
        <w:rPr>
          <w:rFonts w:ascii="Times New Roman" w:hAnsi="Times New Roman"/>
          <w:szCs w:val="24"/>
        </w:rPr>
        <w:t xml:space="preserve"> ako kompetentný orgán a styčné miesto SR (NCA)</w:t>
      </w:r>
      <w:r w:rsidR="004D2DF1">
        <w:rPr>
          <w:rFonts w:ascii="Times New Roman" w:hAnsi="Times New Roman"/>
          <w:szCs w:val="24"/>
        </w:rPr>
        <w:t xml:space="preserve"> </w:t>
      </w:r>
      <w:r w:rsidRPr="007B026E" w:rsidR="004D2DF1">
        <w:rPr>
          <w:rFonts w:ascii="Times New Roman" w:hAnsi="Times New Roman"/>
          <w:szCs w:val="24"/>
        </w:rPr>
        <w:t xml:space="preserve">preberal aktuálne informácie o udalosti </w:t>
      </w:r>
      <w:r w:rsidRPr="007B026E" w:rsidR="004D2DF1">
        <w:rPr>
          <w:rFonts w:ascii="Times New Roman" w:hAnsi="Times New Roman"/>
          <w:bCs/>
          <w:szCs w:val="24"/>
        </w:rPr>
        <w:t xml:space="preserve">prostredníctvom 24-hodinovej služby styčného miesta pre informovanie o udalosti na </w:t>
      </w:r>
      <w:r w:rsidR="004D2DF1">
        <w:rPr>
          <w:rFonts w:ascii="Times New Roman" w:hAnsi="Times New Roman"/>
          <w:bCs/>
          <w:szCs w:val="24"/>
        </w:rPr>
        <w:t>JZ</w:t>
      </w:r>
      <w:r w:rsidRPr="007B026E" w:rsidR="004D2DF1">
        <w:rPr>
          <w:rFonts w:ascii="Times New Roman" w:hAnsi="Times New Roman"/>
          <w:szCs w:val="24"/>
        </w:rPr>
        <w:t xml:space="preserve"> a</w:t>
      </w:r>
      <w:r w:rsidR="004D2DF1">
        <w:rPr>
          <w:rFonts w:ascii="Times New Roman" w:hAnsi="Times New Roman"/>
          <w:szCs w:val="24"/>
        </w:rPr>
        <w:t xml:space="preserve"> tiež </w:t>
      </w:r>
      <w:r w:rsidRPr="007B026E" w:rsidR="004D2DF1">
        <w:rPr>
          <w:rFonts w:ascii="Times New Roman" w:hAnsi="Times New Roman"/>
          <w:szCs w:val="24"/>
        </w:rPr>
        <w:t>cez medzinárodné informačné systémy E</w:t>
      </w:r>
      <w:r w:rsidR="004D2DF1">
        <w:rPr>
          <w:rFonts w:ascii="Times New Roman" w:hAnsi="Times New Roman"/>
          <w:szCs w:val="24"/>
        </w:rPr>
        <w:t>K</w:t>
      </w:r>
      <w:r w:rsidRPr="007B026E" w:rsidR="004D2DF1">
        <w:rPr>
          <w:rFonts w:ascii="Times New Roman" w:hAnsi="Times New Roman"/>
          <w:szCs w:val="24"/>
        </w:rPr>
        <w:t xml:space="preserve"> (CoDecS) a M</w:t>
      </w:r>
      <w:r w:rsidR="004D2DF1">
        <w:rPr>
          <w:rFonts w:ascii="Times New Roman" w:hAnsi="Times New Roman"/>
          <w:szCs w:val="24"/>
        </w:rPr>
        <w:t>AAE</w:t>
      </w:r>
      <w:r w:rsidRPr="007B026E" w:rsidR="004D2DF1">
        <w:rPr>
          <w:rFonts w:ascii="Times New Roman" w:hAnsi="Times New Roman"/>
          <w:szCs w:val="24"/>
        </w:rPr>
        <w:t xml:space="preserve"> (USIE), z ktorých následne vyhotovoval správy a tie pravidelne zverejňoval na svojich webových stránkach</w:t>
      </w:r>
      <w:r w:rsidR="004D2DF1">
        <w:rPr>
          <w:rFonts w:ascii="Times New Roman" w:hAnsi="Times New Roman"/>
          <w:szCs w:val="24"/>
        </w:rPr>
        <w:t>. Súčasne ÚJD SR tieto správy zasielal aj na Ministerstvo zdravotníctva SR – Úrad verejného zdravotníctva SR</w:t>
      </w:r>
      <w:r w:rsidRPr="007B026E" w:rsidR="004D2DF1">
        <w:rPr>
          <w:rFonts w:ascii="Times New Roman" w:hAnsi="Times New Roman"/>
          <w:szCs w:val="24"/>
        </w:rPr>
        <w:t xml:space="preserve">. </w:t>
      </w:r>
      <w:r w:rsidR="004D2DF1">
        <w:rPr>
          <w:rFonts w:ascii="Times New Roman" w:hAnsi="Times New Roman"/>
          <w:szCs w:val="24"/>
        </w:rPr>
        <w:t>ÚJD SR</w:t>
      </w:r>
      <w:r w:rsidRPr="007B026E" w:rsidR="004D2DF1">
        <w:rPr>
          <w:rFonts w:ascii="Times New Roman" w:hAnsi="Times New Roman"/>
          <w:szCs w:val="24"/>
        </w:rPr>
        <w:t xml:space="preserve"> </w:t>
      </w:r>
      <w:r w:rsidR="00D97436">
        <w:rPr>
          <w:rFonts w:ascii="Times New Roman" w:hAnsi="Times New Roman"/>
          <w:szCs w:val="24"/>
        </w:rPr>
        <w:t xml:space="preserve">neustále </w:t>
      </w:r>
      <w:r w:rsidRPr="007B026E" w:rsidR="004D2DF1">
        <w:rPr>
          <w:rFonts w:ascii="Times New Roman" w:hAnsi="Times New Roman"/>
          <w:szCs w:val="24"/>
        </w:rPr>
        <w:t>monitoruje činnosti v </w:t>
      </w:r>
      <w:r w:rsidR="00A16146">
        <w:rPr>
          <w:rFonts w:ascii="Times New Roman" w:hAnsi="Times New Roman"/>
          <w:szCs w:val="24"/>
        </w:rPr>
        <w:t>AE</w:t>
      </w:r>
      <w:r w:rsidRPr="007B026E" w:rsidR="004D2DF1">
        <w:rPr>
          <w:rFonts w:ascii="Times New Roman" w:hAnsi="Times New Roman"/>
          <w:szCs w:val="24"/>
        </w:rPr>
        <w:t xml:space="preserve"> Fuku</w:t>
      </w:r>
      <w:r w:rsidR="004D2DF1">
        <w:rPr>
          <w:rFonts w:ascii="Times New Roman" w:hAnsi="Times New Roman"/>
          <w:szCs w:val="24"/>
        </w:rPr>
        <w:t>š</w:t>
      </w:r>
      <w:r w:rsidRPr="007B026E" w:rsidR="004D2DF1">
        <w:rPr>
          <w:rFonts w:ascii="Times New Roman" w:hAnsi="Times New Roman"/>
          <w:szCs w:val="24"/>
        </w:rPr>
        <w:t>ima prostredníctvom pravidelných súhrnných správ</w:t>
      </w:r>
      <w:r w:rsidR="004D2DF1">
        <w:rPr>
          <w:rFonts w:ascii="Times New Roman" w:hAnsi="Times New Roman"/>
          <w:szCs w:val="24"/>
        </w:rPr>
        <w:t>, ktoré zasiela MAAE.</w:t>
      </w:r>
    </w:p>
    <w:p w:rsidR="00CA372E" w:rsidP="00D97436">
      <w:pPr>
        <w:bidi w:val="0"/>
        <w:jc w:val="both"/>
        <w:rPr>
          <w:rFonts w:ascii="Times New Roman" w:hAnsi="Times New Roman"/>
          <w:szCs w:val="24"/>
        </w:rPr>
      </w:pPr>
    </w:p>
    <w:p w:rsidR="00D95E1F" w:rsidRPr="00D97436" w:rsidP="00D97436">
      <w:pPr>
        <w:bidi w:val="0"/>
        <w:jc w:val="both"/>
        <w:rPr>
          <w:rFonts w:ascii="Times New Roman" w:hAnsi="Times New Roman"/>
          <w:szCs w:val="24"/>
        </w:rPr>
      </w:pPr>
    </w:p>
    <w:p w:rsidR="00E00EC8" w:rsidRPr="00D61781" w:rsidP="00D61781">
      <w:pPr>
        <w:pStyle w:val="Heading1"/>
        <w:tabs>
          <w:tab w:val="num" w:pos="426"/>
          <w:tab w:val="clear" w:pos="5747"/>
        </w:tabs>
        <w:bidi w:val="0"/>
        <w:ind w:left="357" w:hanging="357"/>
        <w:rPr>
          <w:rFonts w:ascii="Times New Roman" w:hAnsi="Times New Roman"/>
        </w:rPr>
      </w:pPr>
      <w:bookmarkStart w:id="84" w:name="_Toc158112601"/>
      <w:bookmarkStart w:id="85" w:name="_Toc162317368"/>
      <w:bookmarkStart w:id="86" w:name="_Toc320719737"/>
      <w:r w:rsidRPr="00D61781">
        <w:rPr>
          <w:rFonts w:ascii="Times New Roman" w:hAnsi="Times New Roman"/>
        </w:rPr>
        <w:t>Medzinárodné aktivity</w:t>
      </w:r>
      <w:bookmarkEnd w:id="84"/>
      <w:bookmarkEnd w:id="85"/>
      <w:bookmarkEnd w:id="86"/>
      <w:r w:rsidRPr="00D61781">
        <w:rPr>
          <w:rFonts w:ascii="Times New Roman" w:hAnsi="Times New Roman"/>
        </w:rPr>
        <w:t xml:space="preserve"> </w:t>
      </w:r>
    </w:p>
    <w:p w:rsidR="006F42F4" w:rsidRPr="006F42F4" w:rsidP="006F42F4">
      <w:pPr>
        <w:bidi w:val="0"/>
        <w:rPr>
          <w:rFonts w:ascii="Times New Roman" w:hAnsi="Times New Roman"/>
          <w:lang w:eastAsia="cs-CZ"/>
        </w:rPr>
      </w:pPr>
    </w:p>
    <w:p w:rsidR="00E00EC8" w:rsidRPr="00DC7A78" w:rsidP="0077492E">
      <w:pPr>
        <w:pStyle w:val="Heading2"/>
        <w:tabs>
          <w:tab w:val="clear" w:pos="414"/>
          <w:tab w:val="num" w:pos="426"/>
        </w:tabs>
        <w:bidi w:val="0"/>
        <w:ind w:left="0" w:firstLine="11"/>
        <w:rPr>
          <w:rFonts w:ascii="Times New Roman" w:hAnsi="Times New Roman"/>
        </w:rPr>
      </w:pPr>
      <w:bookmarkStart w:id="87" w:name="_Toc320719738"/>
      <w:r w:rsidRPr="00DC7A78">
        <w:rPr>
          <w:rFonts w:ascii="Times New Roman" w:hAnsi="Times New Roman"/>
        </w:rPr>
        <w:t>Európske záležitosti</w:t>
      </w:r>
      <w:bookmarkEnd w:id="87"/>
      <w:r w:rsidRPr="00DC7A78">
        <w:rPr>
          <w:rFonts w:ascii="Times New Roman" w:hAnsi="Times New Roman"/>
        </w:rPr>
        <w:t xml:space="preserve">  </w:t>
      </w:r>
    </w:p>
    <w:p w:rsidR="00FE5974" w:rsidRPr="00D97436" w:rsidP="0077492E">
      <w:pPr>
        <w:pStyle w:val="BodyTextIndent"/>
        <w:bidi w:val="0"/>
        <w:ind w:left="0" w:firstLine="0"/>
        <w:jc w:val="both"/>
        <w:rPr>
          <w:rFonts w:ascii="Times New Roman" w:hAnsi="Times New Roman"/>
          <w:lang w:val="sk-SK" w:eastAsia="x-none"/>
        </w:rPr>
      </w:pPr>
      <w:r>
        <w:rPr>
          <w:rFonts w:ascii="Times New Roman" w:hAnsi="Times New Roman"/>
        </w:rPr>
        <w:t>Počas celého roka 2011 sa zabezpečovali úlohy a plnili záväzky, ktoré vyplývajú z členstva SR v</w:t>
      </w:r>
      <w:r w:rsidR="002104B8">
        <w:rPr>
          <w:rFonts w:ascii="Times New Roman" w:hAnsi="Times New Roman"/>
          <w:lang w:val="sk-SK" w:eastAsia="x-none"/>
        </w:rPr>
        <w:t xml:space="preserve"> </w:t>
      </w:r>
      <w:r>
        <w:rPr>
          <w:rFonts w:ascii="Times New Roman" w:hAnsi="Times New Roman"/>
          <w:lang w:val="sk-SK" w:eastAsia="x-none"/>
        </w:rPr>
        <w:t>EÚ</w:t>
      </w:r>
      <w:r>
        <w:rPr>
          <w:rFonts w:ascii="Times New Roman" w:hAnsi="Times New Roman"/>
        </w:rPr>
        <w:t xml:space="preserve">. Zástupcovia ÚJD </w:t>
      </w:r>
      <w:r>
        <w:rPr>
          <w:rFonts w:ascii="Times New Roman" w:hAnsi="Times New Roman"/>
          <w:lang w:val="sk-SK" w:eastAsia="x-none"/>
        </w:rPr>
        <w:t xml:space="preserve">SR </w:t>
      </w:r>
      <w:r>
        <w:rPr>
          <w:rFonts w:ascii="Times New Roman" w:hAnsi="Times New Roman"/>
        </w:rPr>
        <w:t xml:space="preserve">sa pravidelne aktívne zúčastňovali na rokovaniach v pracovných skupinách Rady EÚ i na zasadnutiach pracovných výborov a skupín </w:t>
      </w:r>
      <w:r>
        <w:rPr>
          <w:rFonts w:ascii="Times New Roman" w:hAnsi="Times New Roman"/>
          <w:lang w:val="sk-SK" w:eastAsia="x-none"/>
        </w:rPr>
        <w:t>EK</w:t>
      </w:r>
      <w:r>
        <w:rPr>
          <w:rFonts w:ascii="Times New Roman" w:hAnsi="Times New Roman"/>
        </w:rPr>
        <w:t>, kde ako experti v oblastiach týkajúcich sa kompetencií ÚJD</w:t>
      </w:r>
      <w:r>
        <w:rPr>
          <w:rFonts w:ascii="Times New Roman" w:hAnsi="Times New Roman"/>
          <w:lang w:val="sk-SK" w:eastAsia="x-none"/>
        </w:rPr>
        <w:t xml:space="preserve"> SR</w:t>
      </w:r>
      <w:r>
        <w:rPr>
          <w:rFonts w:ascii="Times New Roman" w:hAnsi="Times New Roman"/>
        </w:rPr>
        <w:t>, najmä vo vzťahu k záväzkom a činnostiam vyplývajúcim zo Zmluvy o založení európskeho spoločenstva pre atómovú energiu (Zmluva o Eur</w:t>
      </w:r>
      <w:r w:rsidR="00D97436">
        <w:rPr>
          <w:rFonts w:ascii="Times New Roman" w:hAnsi="Times New Roman"/>
        </w:rPr>
        <w:t xml:space="preserve">atome), zastupovali záujmy SR. </w:t>
      </w:r>
    </w:p>
    <w:p w:rsidR="00FE5974" w:rsidRPr="000D1309" w:rsidP="000D1309">
      <w:pPr>
        <w:pStyle w:val="BodyTextIndent"/>
        <w:bidi w:val="0"/>
        <w:ind w:left="0" w:firstLine="0"/>
        <w:jc w:val="both"/>
        <w:rPr>
          <w:rFonts w:ascii="Times New Roman" w:hAnsi="Times New Roman"/>
          <w:lang w:val="sk-SK" w:eastAsia="x-none"/>
        </w:rPr>
      </w:pPr>
      <w:r>
        <w:rPr>
          <w:rFonts w:ascii="Times New Roman" w:hAnsi="Times New Roman"/>
        </w:rPr>
        <w:t xml:space="preserve">Jednou z najvýznamnejších pracovných skupín Rady EÚ z pohľadu kompetencií ÚJD </w:t>
      </w:r>
      <w:r>
        <w:rPr>
          <w:rFonts w:ascii="Times New Roman" w:hAnsi="Times New Roman"/>
          <w:lang w:val="sk-SK" w:eastAsia="x-none"/>
        </w:rPr>
        <w:t xml:space="preserve">SR </w:t>
      </w:r>
      <w:r>
        <w:rPr>
          <w:rFonts w:ascii="Times New Roman" w:hAnsi="Times New Roman"/>
        </w:rPr>
        <w:t xml:space="preserve">je </w:t>
      </w:r>
      <w:r w:rsidRPr="000D1309">
        <w:rPr>
          <w:rFonts w:ascii="Times New Roman" w:hAnsi="Times New Roman"/>
          <w:bCs/>
        </w:rPr>
        <w:t>Pracovná skupina pre atómové otázky</w:t>
      </w:r>
      <w:r>
        <w:rPr>
          <w:rFonts w:ascii="Times New Roman" w:hAnsi="Times New Roman"/>
        </w:rPr>
        <w:t xml:space="preserve"> (ATO). V rok</w:t>
      </w:r>
      <w:r w:rsidR="00611575">
        <w:rPr>
          <w:rFonts w:ascii="Times New Roman" w:hAnsi="Times New Roman"/>
          <w:lang w:val="sk-SK" w:eastAsia="x-none"/>
        </w:rPr>
        <w:t>u</w:t>
      </w:r>
      <w:r>
        <w:rPr>
          <w:rFonts w:ascii="Times New Roman" w:hAnsi="Times New Roman"/>
        </w:rPr>
        <w:t xml:space="preserve"> 2011 v rámci nej prebiehali diskusie k mnohým oblastiam, ťažiskovou boli najmä diskusie k návrhu Smernice Rady 2011/70/Euratom</w:t>
      </w:r>
      <w:r w:rsidR="00D97436">
        <w:rPr>
          <w:rFonts w:ascii="Times New Roman" w:hAnsi="Times New Roman"/>
          <w:lang w:val="sk-SK" w:eastAsia="x-none"/>
        </w:rPr>
        <w:t>,</w:t>
      </w:r>
      <w:r>
        <w:rPr>
          <w:rFonts w:ascii="Times New Roman" w:hAnsi="Times New Roman"/>
        </w:rPr>
        <w:t xml:space="preserve"> ktorou sa zriaďuje rámec Spoločenstva pre zodpovedné a bezpečné nakladanie s vyhoretým palivom a  rádioaktívnym odpadom</w:t>
      </w:r>
      <w:r w:rsidR="00D97436">
        <w:rPr>
          <w:rFonts w:ascii="Times New Roman" w:hAnsi="Times New Roman"/>
          <w:lang w:val="sk-SK" w:eastAsia="x-none"/>
        </w:rPr>
        <w:t xml:space="preserve"> a</w:t>
      </w:r>
      <w:r>
        <w:rPr>
          <w:rFonts w:ascii="Times New Roman" w:hAnsi="Times New Roman"/>
        </w:rPr>
        <w:t xml:space="preserve"> ktorá nadväzuje na prijatú </w:t>
      </w:r>
      <w:r>
        <w:rPr>
          <w:rFonts w:ascii="Tms Rmn" w:hAnsi="Tms Rmn" w:cs="Tms Rmn"/>
          <w:color w:val="000000"/>
          <w:lang w:val="en-US" w:eastAsia="en-US"/>
        </w:rPr>
        <w:t xml:space="preserve"> smernicu Rady 2009/71/Euratom pre jadrovú bezpečnosť jadrových zariadení. </w:t>
      </w:r>
      <w:r>
        <w:rPr>
          <w:rFonts w:ascii="Times New Roman" w:hAnsi="Times New Roman"/>
        </w:rPr>
        <w:t>Zástupcovia SR</w:t>
      </w:r>
      <w:r w:rsidR="00611575">
        <w:rPr>
          <w:rFonts w:ascii="Times New Roman" w:hAnsi="Times New Roman"/>
          <w:lang w:val="sk-SK" w:eastAsia="x-none"/>
        </w:rPr>
        <w:t>,</w:t>
      </w:r>
      <w:r>
        <w:rPr>
          <w:rFonts w:ascii="Times New Roman" w:hAnsi="Times New Roman"/>
        </w:rPr>
        <w:t xml:space="preserve"> vrátane ÚJD</w:t>
      </w:r>
      <w:r>
        <w:rPr>
          <w:rFonts w:ascii="Times New Roman" w:hAnsi="Times New Roman"/>
          <w:lang w:val="sk-SK" w:eastAsia="x-none"/>
        </w:rPr>
        <w:t xml:space="preserve"> SR</w:t>
      </w:r>
      <w:r w:rsidR="00611575">
        <w:rPr>
          <w:rFonts w:ascii="Times New Roman" w:hAnsi="Times New Roman"/>
          <w:lang w:val="sk-SK" w:eastAsia="x-none"/>
        </w:rPr>
        <w:t>,</w:t>
      </w:r>
      <w:r>
        <w:rPr>
          <w:rFonts w:ascii="Times New Roman" w:hAnsi="Times New Roman"/>
        </w:rPr>
        <w:t xml:space="preserve"> na rokovaniach presadzovali úpravy textu smernice v súlade so schváleným predbežným stanoviskom. Po intenzívnych rokovaniach bol návrh v júli 2011 schválený. SR je povinná transponovať smernicu do svojho právneho poriadku do augusta 2013.</w:t>
      </w:r>
    </w:p>
    <w:p w:rsidR="00FE5974" w:rsidP="000D1309">
      <w:pPr>
        <w:bidi w:val="0"/>
        <w:jc w:val="both"/>
        <w:rPr>
          <w:rFonts w:ascii="Times New Roman" w:hAnsi="Times New Roman"/>
        </w:rPr>
      </w:pPr>
      <w:r>
        <w:rPr>
          <w:rFonts w:ascii="Times New Roman" w:hAnsi="Times New Roman"/>
        </w:rPr>
        <w:t xml:space="preserve">Ďalej sa zástupcovia ÚJD SR zúčastňovali </w:t>
      </w:r>
      <w:r w:rsidR="00D97436">
        <w:rPr>
          <w:rFonts w:ascii="Times New Roman" w:hAnsi="Times New Roman"/>
        </w:rPr>
        <w:t>aj</w:t>
      </w:r>
      <w:r>
        <w:rPr>
          <w:rFonts w:ascii="Times New Roman" w:hAnsi="Times New Roman"/>
        </w:rPr>
        <w:t xml:space="preserve"> diskusií o prijatých opatreniach v súvislosti s udalosťami v Japonsku, k správe o realizácii projektov pre spoluprácu s tretími krajinami, k finančnej pomoci poskytnutej Spoločenstvom z dôvodu predčasného odstavenia AE </w:t>
      </w:r>
      <w:r w:rsidR="000D1309">
        <w:rPr>
          <w:rFonts w:ascii="Times New Roman" w:hAnsi="Times New Roman"/>
        </w:rPr>
        <w:t>v</w:t>
      </w:r>
      <w:r>
        <w:rPr>
          <w:rFonts w:ascii="Times New Roman" w:hAnsi="Times New Roman"/>
        </w:rPr>
        <w:t xml:space="preserve"> S</w:t>
      </w:r>
      <w:r w:rsidR="000D1309">
        <w:rPr>
          <w:rFonts w:ascii="Times New Roman" w:hAnsi="Times New Roman"/>
        </w:rPr>
        <w:t>R</w:t>
      </w:r>
      <w:r>
        <w:rPr>
          <w:rFonts w:ascii="Times New Roman" w:hAnsi="Times New Roman"/>
        </w:rPr>
        <w:t xml:space="preserve">, Litve a Bulharsku, k povinnostiam vyplývajúcim z čl. 37, 41 a 43 Zmluvy o Euratome, bilaterálne vzťahy Spoločenstva Euratom s Austráliou, Ruskou federáciou, </w:t>
      </w:r>
      <w:r w:rsidR="000D1309">
        <w:rPr>
          <w:rFonts w:ascii="Times New Roman" w:hAnsi="Times New Roman"/>
        </w:rPr>
        <w:t>Kanadou, Južnou Afrikou atď</w:t>
      </w:r>
      <w:r w:rsidR="00DA5FA4">
        <w:rPr>
          <w:rFonts w:ascii="Times New Roman" w:hAnsi="Times New Roman"/>
        </w:rPr>
        <w:t>.</w:t>
      </w:r>
      <w:r w:rsidR="000D1309">
        <w:rPr>
          <w:rFonts w:ascii="Times New Roman" w:hAnsi="Times New Roman"/>
        </w:rPr>
        <w:t xml:space="preserve"> </w:t>
      </w:r>
      <w:r>
        <w:rPr>
          <w:rFonts w:ascii="Times New Roman" w:hAnsi="Times New Roman"/>
        </w:rPr>
        <w:t>Sledoval sa vývoj návrhu rozhodnutia vo veci predĺženia 7. rámcového programu pre jadrový výskum a výcvikové aktivity na roky 2012 a 2013, ktorý bol diskutovaný v </w:t>
      </w:r>
      <w:r w:rsidR="0009273D">
        <w:rPr>
          <w:rFonts w:ascii="Times New Roman" w:hAnsi="Times New Roman"/>
        </w:rPr>
        <w:t>s</w:t>
      </w:r>
      <w:r>
        <w:rPr>
          <w:rFonts w:ascii="Times New Roman" w:hAnsi="Times New Roman"/>
        </w:rPr>
        <w:t>poločnej pracovnej skupine pre výskum a ATO a v decembri 2011 napokon schválený.</w:t>
      </w:r>
    </w:p>
    <w:p w:rsidR="00FE5974" w:rsidRPr="0039424A" w:rsidP="0039424A">
      <w:pPr>
        <w:pStyle w:val="BodyTextIndent"/>
        <w:bidi w:val="0"/>
        <w:ind w:left="0" w:firstLine="0"/>
        <w:jc w:val="both"/>
        <w:rPr>
          <w:rFonts w:ascii="Times New Roman" w:hAnsi="Times New Roman"/>
          <w:lang w:val="sk-SK" w:eastAsia="x-none"/>
        </w:rPr>
      </w:pPr>
      <w:r>
        <w:rPr>
          <w:rFonts w:ascii="Times New Roman" w:hAnsi="Times New Roman"/>
        </w:rPr>
        <w:t>V nadväznosti na</w:t>
      </w:r>
      <w:r w:rsidR="000D1309">
        <w:rPr>
          <w:rFonts w:ascii="Times New Roman" w:hAnsi="Times New Roman"/>
          <w:lang w:val="sk-SK" w:eastAsia="x-none"/>
        </w:rPr>
        <w:t xml:space="preserve"> </w:t>
      </w:r>
      <w:r w:rsidR="00611575">
        <w:rPr>
          <w:rFonts w:ascii="Times New Roman" w:hAnsi="Times New Roman"/>
          <w:lang w:val="sk-SK" w:eastAsia="x-none"/>
        </w:rPr>
        <w:t>haváriu</w:t>
      </w:r>
      <w:r w:rsidR="000D1309">
        <w:rPr>
          <w:rFonts w:ascii="Times New Roman" w:hAnsi="Times New Roman"/>
          <w:lang w:val="sk-SK" w:eastAsia="x-none"/>
        </w:rPr>
        <w:t xml:space="preserve"> v AE</w:t>
      </w:r>
      <w:r w:rsidR="000D1309">
        <w:rPr>
          <w:rFonts w:ascii="Times New Roman" w:hAnsi="Times New Roman"/>
        </w:rPr>
        <w:t xml:space="preserve"> </w:t>
      </w:r>
      <w:r w:rsidR="00517ABE">
        <w:rPr>
          <w:rFonts w:ascii="Times New Roman" w:hAnsi="Times New Roman"/>
          <w:lang w:val="sk-SK" w:eastAsia="x-none"/>
        </w:rPr>
        <w:t>Fukušima</w:t>
      </w:r>
      <w:r w:rsidR="00C060EA">
        <w:rPr>
          <w:rFonts w:ascii="Times New Roman" w:hAnsi="Times New Roman"/>
          <w:lang w:val="sk-SK" w:eastAsia="x-none"/>
        </w:rPr>
        <w:t xml:space="preserve"> </w:t>
      </w:r>
      <w:r>
        <w:rPr>
          <w:rFonts w:ascii="Times New Roman" w:hAnsi="Times New Roman"/>
        </w:rPr>
        <w:t>v Japonsku prijala EÚ v oblasti jadrovej bezpečnosti opatrenia na najvyššej úrovni</w:t>
      </w:r>
      <w:r w:rsidR="008F3439">
        <w:rPr>
          <w:rFonts w:ascii="Times New Roman" w:hAnsi="Times New Roman"/>
          <w:lang w:val="sk-SK" w:eastAsia="x-none"/>
        </w:rPr>
        <w:t>,</w:t>
      </w:r>
      <w:r>
        <w:rPr>
          <w:rFonts w:ascii="Times New Roman" w:hAnsi="Times New Roman"/>
        </w:rPr>
        <w:t xml:space="preserve"> základom ktorých sú </w:t>
      </w:r>
      <w:r w:rsidRPr="00746D3F">
        <w:rPr>
          <w:rFonts w:ascii="Times New Roman" w:hAnsi="Times New Roman"/>
        </w:rPr>
        <w:t>Závery Európskej rady</w:t>
      </w:r>
      <w:r>
        <w:rPr>
          <w:rFonts w:ascii="Times New Roman" w:hAnsi="Times New Roman"/>
        </w:rPr>
        <w:t xml:space="preserve"> z marca 2011. Na základe výsledkov rokovaní v relevantných pracovných skupinách (</w:t>
      </w:r>
      <w:r>
        <w:rPr>
          <w:rFonts w:ascii="Times New Roman" w:hAnsi="Times New Roman"/>
          <w:lang w:val="sk-SK" w:eastAsia="x-none"/>
        </w:rPr>
        <w:t xml:space="preserve">ATO, </w:t>
      </w:r>
      <w:r>
        <w:rPr>
          <w:rFonts w:ascii="Times New Roman" w:hAnsi="Times New Roman"/>
        </w:rPr>
        <w:t xml:space="preserve">ENSREG, WENRA, ENEF) bol EK pripravený dokument </w:t>
      </w:r>
      <w:r w:rsidRPr="0009273D">
        <w:rPr>
          <w:rFonts w:ascii="Times New Roman" w:hAnsi="Times New Roman"/>
        </w:rPr>
        <w:t>„</w:t>
      </w:r>
      <w:r w:rsidRPr="0009273D">
        <w:rPr>
          <w:rFonts w:ascii="Times New Roman" w:hAnsi="Times New Roman"/>
          <w:i/>
        </w:rPr>
        <w:t>Komplexné hodnotenie rizika a bezpečnosti (tzv. záťažové testy) jadrových zariadení</w:t>
      </w:r>
      <w:r w:rsidRPr="0009273D">
        <w:rPr>
          <w:rFonts w:ascii="Times New Roman" w:hAnsi="Times New Roman"/>
        </w:rPr>
        <w:t>“,</w:t>
      </w:r>
      <w:r>
        <w:rPr>
          <w:rFonts w:ascii="Times New Roman" w:hAnsi="Times New Roman"/>
        </w:rPr>
        <w:t xml:space="preserve"> ku ktorému </w:t>
      </w:r>
      <w:r>
        <w:rPr>
          <w:rFonts w:ascii="Times New Roman" w:hAnsi="Times New Roman"/>
          <w:lang w:val="sk-SK" w:eastAsia="x-none"/>
        </w:rPr>
        <w:t xml:space="preserve">ÚJD SR </w:t>
      </w:r>
      <w:r>
        <w:rPr>
          <w:rFonts w:ascii="Times New Roman" w:hAnsi="Times New Roman"/>
        </w:rPr>
        <w:t xml:space="preserve">pripravil stanovisko na rokovanie Rady ministrov pre dopravu, telekomunikácie a energetiku. V súlade s jeho závermi a prijatým harmonogramom sa na </w:t>
      </w:r>
      <w:r w:rsidR="00C060EA">
        <w:rPr>
          <w:rFonts w:ascii="Times New Roman" w:hAnsi="Times New Roman"/>
          <w:lang w:val="sk-SK" w:eastAsia="x-none"/>
        </w:rPr>
        <w:t>AE</w:t>
      </w:r>
      <w:r>
        <w:rPr>
          <w:rFonts w:ascii="Times New Roman" w:hAnsi="Times New Roman"/>
        </w:rPr>
        <w:t xml:space="preserve"> od 1. júna 2011 začali realizovať záťažové testy. </w:t>
      </w:r>
      <w:r w:rsidRPr="0039424A">
        <w:rPr>
          <w:rFonts w:ascii="Times New Roman" w:hAnsi="Times New Roman"/>
        </w:rPr>
        <w:t>Viac informácií je uvedených v časti o jadrovej bezpečnosti.</w:t>
      </w:r>
    </w:p>
    <w:p w:rsidR="00C060EA" w:rsidP="00C060EA">
      <w:pPr>
        <w:pStyle w:val="BodyTextIndent"/>
        <w:bidi w:val="0"/>
        <w:ind w:left="0" w:firstLine="0"/>
        <w:jc w:val="both"/>
        <w:rPr>
          <w:rFonts w:ascii="Times New Roman" w:hAnsi="Times New Roman"/>
          <w:lang w:val="sk-SK" w:eastAsia="x-none"/>
        </w:rPr>
      </w:pPr>
      <w:r w:rsidR="00FE5974">
        <w:rPr>
          <w:rFonts w:ascii="Times New Roman" w:hAnsi="Times New Roman"/>
        </w:rPr>
        <w:t>Aktivity v rámci ENSREG a jej podskupín boli v priebehu roka 2011 zamerané hlavne na diskusiu o vecnej náplni opatrení v na</w:t>
      </w:r>
      <w:r w:rsidR="00756EB1">
        <w:rPr>
          <w:rFonts w:ascii="Times New Roman" w:hAnsi="Times New Roman"/>
          <w:lang w:val="sk-SK" w:eastAsia="x-none"/>
        </w:rPr>
        <w:t>d</w:t>
      </w:r>
      <w:r w:rsidR="00FE5974">
        <w:rPr>
          <w:rFonts w:ascii="Times New Roman" w:hAnsi="Times New Roman"/>
        </w:rPr>
        <w:t>vä</w:t>
      </w:r>
      <w:r w:rsidR="00756EB1">
        <w:rPr>
          <w:rFonts w:ascii="Times New Roman" w:hAnsi="Times New Roman"/>
          <w:lang w:val="sk-SK" w:eastAsia="x-none"/>
        </w:rPr>
        <w:t>z</w:t>
      </w:r>
      <w:r w:rsidR="00FE5974">
        <w:rPr>
          <w:rFonts w:ascii="Times New Roman" w:hAnsi="Times New Roman"/>
        </w:rPr>
        <w:t>nosti na udalosti v Japonsku a to hlavne vo vzťahu k posudzovaniu rozsahu, obsahu a priebehu záťažových testov</w:t>
      </w:r>
      <w:r w:rsidR="00756EB1">
        <w:rPr>
          <w:rFonts w:ascii="Times New Roman" w:hAnsi="Times New Roman"/>
          <w:lang w:val="sk-SK" w:eastAsia="x-none"/>
        </w:rPr>
        <w:t>,</w:t>
      </w:r>
      <w:r w:rsidR="00FE5974">
        <w:rPr>
          <w:rFonts w:ascii="Times New Roman" w:hAnsi="Times New Roman"/>
        </w:rPr>
        <w:t xml:space="preserve"> ako aj následne hodnotenia ich výsledkov a formulovania záverov. </w:t>
      </w:r>
    </w:p>
    <w:p w:rsidR="00FE5974" w:rsidRPr="0039424A" w:rsidP="00C060EA">
      <w:pPr>
        <w:pStyle w:val="BodyTextIndent"/>
        <w:bidi w:val="0"/>
        <w:ind w:left="0" w:firstLine="0"/>
        <w:jc w:val="both"/>
        <w:rPr>
          <w:rFonts w:ascii="Times New Roman" w:hAnsi="Times New Roman"/>
          <w:lang w:val="sk-SK" w:eastAsia="x-none"/>
        </w:rPr>
      </w:pPr>
      <w:r>
        <w:rPr>
          <w:rFonts w:ascii="Times New Roman" w:hAnsi="Times New Roman"/>
        </w:rPr>
        <w:t xml:space="preserve">Dňa 28. </w:t>
      </w:r>
      <w:r w:rsidR="00C060EA">
        <w:rPr>
          <w:rFonts w:ascii="Times New Roman" w:hAnsi="Times New Roman"/>
          <w:lang w:val="sk-SK" w:eastAsia="x-none"/>
        </w:rPr>
        <w:t>júna</w:t>
      </w:r>
      <w:r>
        <w:rPr>
          <w:rFonts w:ascii="Times New Roman" w:hAnsi="Times New Roman"/>
        </w:rPr>
        <w:t xml:space="preserve"> 2011</w:t>
      </w:r>
      <w:r w:rsidR="00DA5FA4">
        <w:rPr>
          <w:rFonts w:ascii="Times New Roman" w:hAnsi="Times New Roman"/>
          <w:lang w:val="sk-SK" w:eastAsia="x-none"/>
        </w:rPr>
        <w:t xml:space="preserve"> </w:t>
      </w:r>
      <w:r w:rsidR="00756EB1">
        <w:rPr>
          <w:rFonts w:ascii="Times New Roman" w:hAnsi="Times New Roman"/>
        </w:rPr>
        <w:t xml:space="preserve">zorganizoval </w:t>
      </w:r>
      <w:r>
        <w:rPr>
          <w:rFonts w:ascii="Times New Roman" w:hAnsi="Times New Roman"/>
        </w:rPr>
        <w:t>ENSREG v spolupráci so združením WENRA a EK v Bruseli dvojdňovú Európsku konferenciu o jadrovej bezpečnosti</w:t>
      </w:r>
      <w:r>
        <w:rPr>
          <w:rFonts w:ascii="Times New Roman" w:hAnsi="Times New Roman"/>
          <w:lang w:val="sk-SK" w:eastAsia="x-none"/>
        </w:rPr>
        <w:t xml:space="preserve"> za účasti ÚJD</w:t>
      </w:r>
      <w:r w:rsidR="00756EB1">
        <w:rPr>
          <w:rFonts w:ascii="Times New Roman" w:hAnsi="Times New Roman"/>
          <w:lang w:val="sk-SK" w:eastAsia="x-none"/>
        </w:rPr>
        <w:t xml:space="preserve"> SR</w:t>
      </w:r>
      <w:r>
        <w:rPr>
          <w:rFonts w:ascii="Times New Roman" w:hAnsi="Times New Roman"/>
        </w:rPr>
        <w:t>, ktorej cieľom bola vzájomná výmena skúseností a  smerovani</w:t>
      </w:r>
      <w:r w:rsidR="0009273D">
        <w:rPr>
          <w:rFonts w:ascii="Times New Roman" w:hAnsi="Times New Roman"/>
          <w:lang w:val="sk-SK" w:eastAsia="x-none"/>
        </w:rPr>
        <w:t>e</w:t>
      </w:r>
      <w:r>
        <w:rPr>
          <w:rFonts w:ascii="Times New Roman" w:hAnsi="Times New Roman"/>
        </w:rPr>
        <w:t xml:space="preserve"> do budúcnosti v</w:t>
      </w:r>
      <w:r w:rsidR="00C060EA">
        <w:rPr>
          <w:rFonts w:ascii="Times New Roman" w:hAnsi="Times New Roman"/>
        </w:rPr>
        <w:t> </w:t>
      </w:r>
      <w:r w:rsidR="00C060EA">
        <w:rPr>
          <w:rFonts w:ascii="Times New Roman" w:hAnsi="Times New Roman"/>
          <w:lang w:val="sk-SK" w:eastAsia="x-none"/>
        </w:rPr>
        <w:t>oblasti zvyšovania jadrovej bezpečnosti JZ</w:t>
      </w:r>
      <w:r w:rsidR="0039424A">
        <w:rPr>
          <w:rFonts w:ascii="Times New Roman" w:hAnsi="Times New Roman"/>
        </w:rPr>
        <w:t>.</w:t>
      </w:r>
    </w:p>
    <w:p w:rsidR="00FE5974" w:rsidRPr="0039424A" w:rsidP="0039424A">
      <w:pPr>
        <w:pStyle w:val="BodyTextIndent"/>
        <w:bidi w:val="0"/>
        <w:ind w:left="0" w:firstLine="0"/>
        <w:jc w:val="both"/>
        <w:rPr>
          <w:rFonts w:ascii="Times New Roman" w:hAnsi="Times New Roman"/>
          <w:lang w:val="sk-SK" w:eastAsia="x-none"/>
        </w:rPr>
      </w:pPr>
      <w:r>
        <w:rPr>
          <w:rFonts w:ascii="Times New Roman" w:hAnsi="Times New Roman"/>
        </w:rPr>
        <w:t xml:space="preserve">V priebehu roka 2011 pokračovala vo svojej činnosti </w:t>
      </w:r>
      <w:r w:rsidRPr="00756EB1">
        <w:rPr>
          <w:rFonts w:ascii="Times New Roman" w:hAnsi="Times New Roman"/>
        </w:rPr>
        <w:t>M</w:t>
      </w:r>
      <w:r w:rsidRPr="00756EB1">
        <w:rPr>
          <w:rFonts w:ascii="Times New Roman" w:hAnsi="Times New Roman"/>
          <w:bCs/>
        </w:rPr>
        <w:t>edzirezortná koordinačná skupina</w:t>
      </w:r>
      <w:r>
        <w:rPr>
          <w:rFonts w:ascii="Times New Roman" w:hAnsi="Times New Roman"/>
        </w:rPr>
        <w:t xml:space="preserve"> na koordináciu úloh vyplývajúcich z článkov Zmluvy o Euratome, ktorá bola na ÚJD</w:t>
      </w:r>
      <w:r w:rsidR="00756EB1">
        <w:rPr>
          <w:rFonts w:ascii="Times New Roman" w:hAnsi="Times New Roman"/>
          <w:lang w:val="sk-SK" w:eastAsia="x-none"/>
        </w:rPr>
        <w:t xml:space="preserve"> SR</w:t>
      </w:r>
      <w:r>
        <w:rPr>
          <w:rFonts w:ascii="Times New Roman" w:hAnsi="Times New Roman"/>
        </w:rPr>
        <w:t xml:space="preserve"> zriadená na základe uznesenia vlády SR č. 442/2006. Počas roka sa uskutočnili dve zasadnutia, a to v apríli a v novembri 2011. </w:t>
      </w:r>
      <w:r>
        <w:rPr>
          <w:rFonts w:ascii="Times New Roman" w:hAnsi="Times New Roman"/>
          <w:lang w:val="sk-SK" w:eastAsia="x-none"/>
        </w:rPr>
        <w:t>Na rokovaniach sa diskutovali aktuálne otázky týkajúce sa implementácie zmluvy Euratom a prijali sa odporúčania</w:t>
      </w:r>
      <w:r w:rsidR="00611575">
        <w:rPr>
          <w:rFonts w:ascii="Times New Roman" w:hAnsi="Times New Roman"/>
          <w:lang w:val="sk-SK" w:eastAsia="x-none"/>
        </w:rPr>
        <w:t>.</w:t>
      </w:r>
      <w:r>
        <w:rPr>
          <w:rFonts w:ascii="Times New Roman" w:hAnsi="Times New Roman"/>
          <w:lang w:val="sk-SK" w:eastAsia="x-none"/>
        </w:rPr>
        <w:t xml:space="preserve"> </w:t>
      </w:r>
    </w:p>
    <w:p w:rsidR="00756EB1" w:rsidP="00FE5974">
      <w:pPr>
        <w:bidi w:val="0"/>
        <w:jc w:val="both"/>
        <w:rPr>
          <w:rFonts w:ascii="Times New Roman" w:hAnsi="Times New Roman"/>
        </w:rPr>
      </w:pPr>
      <w:r w:rsidR="00FE5974">
        <w:rPr>
          <w:rFonts w:ascii="Times New Roman" w:hAnsi="Times New Roman"/>
        </w:rPr>
        <w:t>ÚJD</w:t>
      </w:r>
      <w:r>
        <w:rPr>
          <w:rFonts w:ascii="Times New Roman" w:hAnsi="Times New Roman"/>
        </w:rPr>
        <w:t xml:space="preserve"> SR</w:t>
      </w:r>
      <w:r w:rsidR="00FE5974">
        <w:rPr>
          <w:rFonts w:ascii="Times New Roman" w:hAnsi="Times New Roman"/>
        </w:rPr>
        <w:t xml:space="preserve"> ako gestor </w:t>
      </w:r>
      <w:r w:rsidRPr="00756EB1" w:rsidR="00FE5974">
        <w:rPr>
          <w:rFonts w:ascii="Times New Roman" w:hAnsi="Times New Roman"/>
        </w:rPr>
        <w:t>čl. 37 Zmluvy o Euratome</w:t>
      </w:r>
      <w:r w:rsidR="00FE5974">
        <w:rPr>
          <w:rFonts w:ascii="Times New Roman" w:hAnsi="Times New Roman"/>
        </w:rPr>
        <w:t xml:space="preserve"> koordinoval činnosti v tejto oblasti a komunikoval s EK aj počas roka 2011. Vo veci vyraďovania </w:t>
      </w:r>
      <w:r>
        <w:rPr>
          <w:rFonts w:ascii="Times New Roman" w:hAnsi="Times New Roman"/>
        </w:rPr>
        <w:t>A</w:t>
      </w:r>
      <w:r w:rsidR="00FE5974">
        <w:rPr>
          <w:rFonts w:ascii="Times New Roman" w:hAnsi="Times New Roman"/>
        </w:rPr>
        <w:t xml:space="preserve">E </w:t>
      </w:r>
      <w:r>
        <w:rPr>
          <w:rFonts w:ascii="Times New Roman" w:hAnsi="Times New Roman"/>
        </w:rPr>
        <w:t xml:space="preserve">Bohunice </w:t>
      </w:r>
      <w:r w:rsidR="00FE5974">
        <w:rPr>
          <w:rFonts w:ascii="Times New Roman" w:hAnsi="Times New Roman"/>
        </w:rPr>
        <w:t xml:space="preserve">V-1 vydala EK </w:t>
      </w:r>
      <w:r w:rsidR="00CA372E">
        <w:rPr>
          <w:rFonts w:ascii="Times New Roman" w:hAnsi="Times New Roman"/>
        </w:rPr>
        <w:t xml:space="preserve">dňa 15. júla 2011 </w:t>
      </w:r>
      <w:r w:rsidR="00FE5974">
        <w:rPr>
          <w:rFonts w:ascii="Times New Roman" w:hAnsi="Times New Roman"/>
        </w:rPr>
        <w:t xml:space="preserve">svoje finálne stanovisko . Vo vzťahu k notifikačnej povinnosti podľa čl. 37 Zmluvy Euratom vo veci uvedenia do prevádzky </w:t>
      </w:r>
      <w:r>
        <w:rPr>
          <w:rFonts w:ascii="Times New Roman" w:hAnsi="Times New Roman"/>
        </w:rPr>
        <w:t xml:space="preserve">AE Mochovce </w:t>
      </w:r>
      <w:r w:rsidR="00FE5974">
        <w:rPr>
          <w:rFonts w:ascii="Times New Roman" w:hAnsi="Times New Roman"/>
        </w:rPr>
        <w:t>3,4 boli v spolupráci s ÚVZ SR,  MŽP SR a SE a.</w:t>
      </w:r>
      <w:r w:rsidR="00673352">
        <w:rPr>
          <w:rFonts w:ascii="Times New Roman" w:hAnsi="Times New Roman"/>
        </w:rPr>
        <w:t xml:space="preserve"> </w:t>
      </w:r>
      <w:r w:rsidR="00FE5974">
        <w:rPr>
          <w:rFonts w:ascii="Times New Roman" w:hAnsi="Times New Roman"/>
        </w:rPr>
        <w:t>s. pripravené všeobecné údaje v súlade s Prílohou I odporúčania 2010/635/Euratom. Finálna verzia dokumentu bola v novembri 2011 zaslaná na Stále zastúpenie SR v Bruseli, ktoré ho následne v decembri postúpilo na EK na posúdenie</w:t>
      </w:r>
      <w:r w:rsidR="0039424A">
        <w:rPr>
          <w:rFonts w:ascii="Times New Roman" w:hAnsi="Times New Roman"/>
        </w:rPr>
        <w:t xml:space="preserve"> príslušnou skupinou expertov. </w:t>
      </w:r>
    </w:p>
    <w:p w:rsidR="00E45958" w:rsidRPr="00815954" w:rsidP="00E45958">
      <w:pPr>
        <w:bidi w:val="0"/>
        <w:jc w:val="both"/>
        <w:rPr>
          <w:rFonts w:ascii="Times New Roman" w:hAnsi="Times New Roman"/>
          <w:b/>
          <w:u w:val="single"/>
        </w:rPr>
      </w:pPr>
      <w:r>
        <w:rPr>
          <w:rFonts w:ascii="Times New Roman" w:hAnsi="Times New Roman"/>
        </w:rPr>
        <w:t xml:space="preserve">Hoci v oblasti </w:t>
      </w:r>
      <w:r w:rsidRPr="00C060EA">
        <w:rPr>
          <w:rFonts w:ascii="Times New Roman" w:hAnsi="Times New Roman"/>
        </w:rPr>
        <w:t>technickej spolupráce</w:t>
      </w:r>
      <w:r>
        <w:rPr>
          <w:rFonts w:ascii="Times New Roman" w:hAnsi="Times New Roman"/>
        </w:rPr>
        <w:t xml:space="preserve"> boli projekty Prechodného fondu</w:t>
      </w:r>
      <w:r w:rsidR="00DA5FA4">
        <w:rPr>
          <w:rFonts w:ascii="Times New Roman" w:hAnsi="Times New Roman"/>
        </w:rPr>
        <w:t xml:space="preserve"> a</w:t>
      </w:r>
      <w:r>
        <w:rPr>
          <w:rFonts w:ascii="Times New Roman" w:hAnsi="Times New Roman"/>
        </w:rPr>
        <w:t> Phare úspešne ukončené</w:t>
      </w:r>
      <w:r w:rsidR="00611575">
        <w:rPr>
          <w:rFonts w:ascii="Times New Roman" w:hAnsi="Times New Roman"/>
        </w:rPr>
        <w:t>,</w:t>
      </w:r>
      <w:r>
        <w:rPr>
          <w:rFonts w:ascii="Times New Roman" w:hAnsi="Times New Roman"/>
        </w:rPr>
        <w:t xml:space="preserve"> naďalej prebieha, v zmysle požiadaviek EK, monitoring ich trvalej udržateľnosti. V tejto súvislosti bola v roku 2011 podľa požiadaviek Úradu vlády SR vypracovaná ex post monitorovacia správa k projektu TF 2005 </w:t>
      </w:r>
      <w:r w:rsidRPr="00815954">
        <w:rPr>
          <w:rFonts w:ascii="Times New Roman" w:hAnsi="Times New Roman"/>
          <w:bCs/>
          <w:i/>
          <w:iCs/>
        </w:rPr>
        <w:t>„Vývoj informačného a prezentačného systému pre RAO a</w:t>
      </w:r>
      <w:r>
        <w:rPr>
          <w:rFonts w:ascii="Times New Roman" w:hAnsi="Times New Roman"/>
          <w:bCs/>
          <w:i/>
          <w:iCs/>
        </w:rPr>
        <w:t xml:space="preserve"> </w:t>
      </w:r>
      <w:r w:rsidRPr="00815954">
        <w:rPr>
          <w:rFonts w:ascii="Times New Roman" w:hAnsi="Times New Roman"/>
          <w:bCs/>
          <w:i/>
          <w:iCs/>
        </w:rPr>
        <w:t>VJP v</w:t>
      </w:r>
      <w:r>
        <w:rPr>
          <w:rFonts w:ascii="Times New Roman" w:hAnsi="Times New Roman"/>
          <w:bCs/>
          <w:i/>
          <w:iCs/>
        </w:rPr>
        <w:t> </w:t>
      </w:r>
      <w:r w:rsidRPr="00815954">
        <w:rPr>
          <w:rFonts w:ascii="Times New Roman" w:hAnsi="Times New Roman"/>
          <w:bCs/>
          <w:i/>
          <w:iCs/>
        </w:rPr>
        <w:t>SR</w:t>
      </w:r>
      <w:r>
        <w:rPr>
          <w:rFonts w:ascii="Times New Roman" w:hAnsi="Times New Roman"/>
          <w:bCs/>
          <w:i/>
          <w:iCs/>
        </w:rPr>
        <w:t>“</w:t>
      </w:r>
      <w:r>
        <w:rPr>
          <w:rFonts w:ascii="Times New Roman" w:hAnsi="Times New Roman"/>
        </w:rPr>
        <w:t>.</w:t>
      </w:r>
    </w:p>
    <w:p w:rsidR="00756EB1" w:rsidP="00FE5974">
      <w:pPr>
        <w:bidi w:val="0"/>
        <w:jc w:val="both"/>
        <w:rPr>
          <w:rFonts w:ascii="Times New Roman" w:hAnsi="Times New Roman"/>
        </w:rPr>
      </w:pPr>
    </w:p>
    <w:p w:rsidR="00E00EC8" w:rsidP="00A703C2">
      <w:pPr>
        <w:pStyle w:val="Heading2"/>
        <w:tabs>
          <w:tab w:val="clear" w:pos="414"/>
          <w:tab w:val="num" w:pos="426"/>
        </w:tabs>
        <w:bidi w:val="0"/>
        <w:ind w:left="0" w:firstLine="11"/>
        <w:rPr>
          <w:rStyle w:val="Strong"/>
          <w:rFonts w:ascii="Times New Roman" w:hAnsi="Times New Roman"/>
          <w:bCs/>
        </w:rPr>
      </w:pPr>
      <w:bookmarkStart w:id="88" w:name="_Toc320719739"/>
      <w:r>
        <w:rPr>
          <w:rStyle w:val="Strong"/>
          <w:rFonts w:ascii="Times New Roman" w:hAnsi="Times New Roman"/>
          <w:bCs/>
        </w:rPr>
        <w:t>Členstvo a spolupráca s medzinárodnými organizáciami</w:t>
      </w:r>
      <w:bookmarkEnd w:id="88"/>
    </w:p>
    <w:p w:rsidR="00E00EC8" w:rsidP="00E00EC8">
      <w:pPr>
        <w:pStyle w:val="BodyTextIndent"/>
        <w:bidi w:val="0"/>
        <w:ind w:left="0" w:firstLine="0"/>
        <w:jc w:val="both"/>
        <w:rPr>
          <w:rStyle w:val="Strong"/>
          <w:rFonts w:ascii="Times New Roman" w:hAnsi="Times New Roman"/>
          <w:bCs/>
        </w:rPr>
      </w:pPr>
    </w:p>
    <w:p w:rsidR="00E00EC8" w:rsidP="0077492E">
      <w:pPr>
        <w:pStyle w:val="BodyTextIndent"/>
        <w:numPr>
          <w:numId w:val="12"/>
        </w:numPr>
        <w:tabs>
          <w:tab w:val="left" w:pos="284"/>
          <w:tab w:val="left" w:pos="426"/>
        </w:tabs>
        <w:bidi w:val="0"/>
        <w:ind w:left="0" w:firstLine="0"/>
        <w:jc w:val="both"/>
        <w:rPr>
          <w:rFonts w:ascii="Times New Roman" w:hAnsi="Times New Roman"/>
        </w:rPr>
      </w:pPr>
      <w:r>
        <w:rPr>
          <w:rFonts w:ascii="Times New Roman" w:hAnsi="Times New Roman"/>
          <w:b/>
          <w:bCs/>
          <w:i/>
          <w:iCs/>
        </w:rPr>
        <w:t>Medzinárodná agentúra pre atómovú energiu</w:t>
      </w:r>
    </w:p>
    <w:p w:rsidR="00756EB1" w:rsidP="0077492E">
      <w:pPr>
        <w:pStyle w:val="BodyTextIndent"/>
        <w:bidi w:val="0"/>
        <w:ind w:left="0" w:firstLine="0"/>
        <w:jc w:val="both"/>
        <w:rPr>
          <w:rFonts w:ascii="Times New Roman" w:hAnsi="Times New Roman"/>
        </w:rPr>
      </w:pPr>
      <w:r w:rsidR="00C060EA">
        <w:rPr>
          <w:rFonts w:ascii="Times New Roman" w:hAnsi="Times New Roman"/>
          <w:lang w:val="sk-SK" w:eastAsia="x-none"/>
        </w:rPr>
        <w:t>S</w:t>
      </w:r>
      <w:r w:rsidR="00C060EA">
        <w:rPr>
          <w:rFonts w:ascii="Times New Roman" w:hAnsi="Times New Roman"/>
        </w:rPr>
        <w:t>polupráca s MAAE so sídlom vo Viedni</w:t>
      </w:r>
      <w:r w:rsidR="00C060EA">
        <w:rPr>
          <w:rFonts w:ascii="Times New Roman" w:hAnsi="Times New Roman"/>
          <w:lang w:val="sk-SK" w:eastAsia="x-none"/>
        </w:rPr>
        <w:t xml:space="preserve"> patrí</w:t>
      </w:r>
      <w:r>
        <w:rPr>
          <w:rFonts w:ascii="Times New Roman" w:hAnsi="Times New Roman"/>
        </w:rPr>
        <w:t xml:space="preserve">, vzhľadom na medzinárodný význam a širokú škálu možností technickej spolupráce a pomoci, </w:t>
      </w:r>
      <w:r w:rsidR="00C060EA">
        <w:rPr>
          <w:rFonts w:ascii="Times New Roman" w:hAnsi="Times New Roman"/>
          <w:lang w:val="sk-SK" w:eastAsia="x-none"/>
        </w:rPr>
        <w:t>k tým najvýznamnejším</w:t>
      </w:r>
      <w:r w:rsidR="00DA5FA4">
        <w:rPr>
          <w:rFonts w:ascii="Times New Roman" w:hAnsi="Times New Roman"/>
          <w:lang w:val="sk-SK" w:eastAsia="x-none"/>
        </w:rPr>
        <w:t>.</w:t>
      </w:r>
      <w:r>
        <w:rPr>
          <w:rFonts w:ascii="Times New Roman" w:hAnsi="Times New Roman"/>
        </w:rPr>
        <w:t xml:space="preserve"> </w:t>
      </w:r>
    </w:p>
    <w:p w:rsidR="00756EB1" w:rsidP="00C060EA">
      <w:pPr>
        <w:pStyle w:val="BodyTextIndent"/>
        <w:bidi w:val="0"/>
        <w:ind w:left="0" w:firstLine="0"/>
        <w:jc w:val="both"/>
        <w:rPr>
          <w:rFonts w:ascii="Times New Roman" w:hAnsi="Times New Roman"/>
        </w:rPr>
      </w:pPr>
      <w:r>
        <w:rPr>
          <w:rFonts w:ascii="Times New Roman" w:hAnsi="Times New Roman"/>
        </w:rPr>
        <w:t xml:space="preserve">V nadväznosti na haváriu v japonskej </w:t>
      </w:r>
      <w:r>
        <w:rPr>
          <w:rFonts w:ascii="Times New Roman" w:hAnsi="Times New Roman"/>
          <w:lang w:val="sk-SK" w:eastAsia="x-none"/>
        </w:rPr>
        <w:t xml:space="preserve">AE </w:t>
      </w:r>
      <w:r w:rsidR="00517ABE">
        <w:rPr>
          <w:rFonts w:ascii="Times New Roman" w:hAnsi="Times New Roman"/>
          <w:lang w:val="sk-SK" w:eastAsia="x-none"/>
        </w:rPr>
        <w:t>Fukušima</w:t>
      </w:r>
      <w:r>
        <w:rPr>
          <w:rFonts w:ascii="Times New Roman" w:hAnsi="Times New Roman"/>
        </w:rPr>
        <w:t xml:space="preserve"> sa </w:t>
      </w:r>
      <w:r w:rsidR="00C060EA">
        <w:rPr>
          <w:rFonts w:ascii="Times New Roman" w:hAnsi="Times New Roman"/>
        </w:rPr>
        <w:t xml:space="preserve">z iniciatívy generálneho riaditeľa MAAE </w:t>
      </w:r>
      <w:r w:rsidR="00CA372E">
        <w:rPr>
          <w:rFonts w:ascii="Times New Roman" w:hAnsi="Times New Roman"/>
          <w:lang w:val="sk-SK" w:eastAsia="x-none"/>
        </w:rPr>
        <w:t xml:space="preserve">p. </w:t>
      </w:r>
      <w:r w:rsidR="00C060EA">
        <w:rPr>
          <w:rFonts w:ascii="Times New Roman" w:hAnsi="Times New Roman"/>
        </w:rPr>
        <w:t xml:space="preserve">Y. Amana </w:t>
      </w:r>
      <w:r>
        <w:rPr>
          <w:rFonts w:ascii="Times New Roman" w:hAnsi="Times New Roman"/>
        </w:rPr>
        <w:t xml:space="preserve">uskutočnila </w:t>
      </w:r>
      <w:r w:rsidR="00611575">
        <w:rPr>
          <w:rFonts w:ascii="Times New Roman" w:hAnsi="Times New Roman"/>
          <w:lang w:val="sk-SK" w:eastAsia="x-none"/>
        </w:rPr>
        <w:t xml:space="preserve">v júni vo Viedni </w:t>
      </w:r>
      <w:r w:rsidRPr="00756EB1">
        <w:rPr>
          <w:rFonts w:ascii="Times New Roman" w:hAnsi="Times New Roman"/>
        </w:rPr>
        <w:t>Ministerská konferencia MAAE o jadrovej bezpečnosti</w:t>
      </w:r>
      <w:r>
        <w:rPr>
          <w:rFonts w:ascii="Times New Roman" w:hAnsi="Times New Roman"/>
        </w:rPr>
        <w:t xml:space="preserve">. </w:t>
      </w:r>
      <w:r>
        <w:rPr>
          <w:rFonts w:ascii="Times New Roman" w:hAnsi="Times New Roman"/>
          <w:lang w:val="sk-SK" w:eastAsia="x-none"/>
        </w:rPr>
        <w:t>Konferencia odsúhlasila</w:t>
      </w:r>
      <w:r>
        <w:rPr>
          <w:rFonts w:ascii="Times New Roman" w:hAnsi="Times New Roman"/>
        </w:rPr>
        <w:t xml:space="preserve"> záverečnú deklaráciu, v ktorej sa </w:t>
      </w:r>
      <w:r>
        <w:rPr>
          <w:rFonts w:ascii="Times New Roman" w:hAnsi="Times New Roman"/>
          <w:lang w:val="sk-SK" w:eastAsia="x-none"/>
        </w:rPr>
        <w:t xml:space="preserve">konštatuje nevyhnutnosť </w:t>
      </w:r>
      <w:r>
        <w:rPr>
          <w:rFonts w:ascii="Times New Roman" w:hAnsi="Times New Roman"/>
        </w:rPr>
        <w:t xml:space="preserve">prijatia opatrení smerujúcich k zvýšeniu jadrovej bezpečnosti </w:t>
      </w:r>
      <w:r w:rsidR="00C060EA">
        <w:rPr>
          <w:rFonts w:ascii="Times New Roman" w:hAnsi="Times New Roman"/>
          <w:lang w:val="sk-SK" w:eastAsia="x-none"/>
        </w:rPr>
        <w:t xml:space="preserve">AE </w:t>
      </w:r>
      <w:r>
        <w:rPr>
          <w:rFonts w:ascii="Times New Roman" w:hAnsi="Times New Roman"/>
        </w:rPr>
        <w:t>vo svete</w:t>
      </w:r>
      <w:r>
        <w:rPr>
          <w:rFonts w:ascii="Times New Roman" w:hAnsi="Times New Roman"/>
          <w:lang w:val="sk-SK" w:eastAsia="x-none"/>
        </w:rPr>
        <w:t xml:space="preserve">. </w:t>
      </w:r>
      <w:r w:rsidR="00611575">
        <w:rPr>
          <w:rFonts w:ascii="Times New Roman" w:hAnsi="Times New Roman"/>
          <w:lang w:val="sk-SK" w:eastAsia="x-none"/>
        </w:rPr>
        <w:t xml:space="preserve">Delegácia SR tiež zdôraznila, že </w:t>
      </w:r>
      <w:r w:rsidR="00611575">
        <w:rPr>
          <w:rFonts w:ascii="Times New Roman" w:hAnsi="Times New Roman"/>
        </w:rPr>
        <w:t xml:space="preserve">vláda SR a ÚJD SR </w:t>
      </w:r>
      <w:r w:rsidR="00611575">
        <w:rPr>
          <w:rFonts w:ascii="Times New Roman" w:hAnsi="Times New Roman"/>
          <w:lang w:val="sk-SK" w:eastAsia="x-none"/>
        </w:rPr>
        <w:t xml:space="preserve">prisudzujú </w:t>
      </w:r>
      <w:r w:rsidR="00611575">
        <w:rPr>
          <w:rFonts w:ascii="Times New Roman" w:hAnsi="Times New Roman"/>
        </w:rPr>
        <w:t xml:space="preserve">jadrovej bezpečnosti </w:t>
      </w:r>
      <w:r w:rsidR="00611575">
        <w:rPr>
          <w:rFonts w:ascii="Times New Roman" w:hAnsi="Times New Roman"/>
          <w:lang w:val="sk-SK" w:eastAsia="x-none"/>
        </w:rPr>
        <w:t>JZ</w:t>
      </w:r>
      <w:r w:rsidR="00611575">
        <w:rPr>
          <w:rFonts w:ascii="Times New Roman" w:hAnsi="Times New Roman"/>
        </w:rPr>
        <w:t xml:space="preserve"> na území S</w:t>
      </w:r>
      <w:r w:rsidR="00611575">
        <w:rPr>
          <w:rFonts w:ascii="Times New Roman" w:hAnsi="Times New Roman"/>
          <w:lang w:val="sk-SK" w:eastAsia="x-none"/>
        </w:rPr>
        <w:t>R najvyššiu prioritu.</w:t>
      </w:r>
    </w:p>
    <w:p w:rsidR="00756EB1" w:rsidP="00691244">
      <w:pPr>
        <w:bidi w:val="0"/>
        <w:jc w:val="both"/>
        <w:rPr>
          <w:rFonts w:ascii="Times New Roman" w:hAnsi="Times New Roman"/>
          <w:color w:val="000000"/>
        </w:rPr>
      </w:pPr>
      <w:r>
        <w:rPr>
          <w:rFonts w:ascii="Times New Roman" w:hAnsi="Times New Roman"/>
          <w:lang w:eastAsia="ar-SA"/>
        </w:rPr>
        <w:t xml:space="preserve">V dňoch  19. – 23. </w:t>
      </w:r>
      <w:r w:rsidR="00C060EA">
        <w:rPr>
          <w:rFonts w:ascii="Times New Roman" w:hAnsi="Times New Roman"/>
          <w:lang w:eastAsia="ar-SA"/>
        </w:rPr>
        <w:t>septembra</w:t>
      </w:r>
      <w:r>
        <w:rPr>
          <w:rFonts w:ascii="Times New Roman" w:hAnsi="Times New Roman"/>
          <w:lang w:eastAsia="ar-SA"/>
        </w:rPr>
        <w:t xml:space="preserve"> 2011 sa konalo </w:t>
      </w:r>
      <w:r w:rsidRPr="009A4DFA">
        <w:rPr>
          <w:rFonts w:ascii="Times New Roman" w:hAnsi="Times New Roman"/>
          <w:lang w:eastAsia="ar-SA"/>
        </w:rPr>
        <w:t>55. zasadnutie generálnej konferencie MAAE</w:t>
      </w:r>
      <w:r>
        <w:rPr>
          <w:rFonts w:ascii="Times New Roman" w:hAnsi="Times New Roman"/>
          <w:lang w:eastAsia="ar-SA"/>
        </w:rPr>
        <w:t xml:space="preserve">. Slovenskú delegáciu na zasadnutí viedla predsedníčka ÚJD SR Marta Žiaková. </w:t>
      </w:r>
      <w:r w:rsidR="00E45958">
        <w:rPr>
          <w:rFonts w:ascii="Times New Roman" w:hAnsi="Times New Roman"/>
          <w:lang w:eastAsia="ar-SA"/>
        </w:rPr>
        <w:t>Konferencia prijala 16 rezolúcií.</w:t>
      </w:r>
      <w:r w:rsidR="00691244">
        <w:rPr>
          <w:rFonts w:ascii="Times New Roman" w:hAnsi="Times New Roman"/>
          <w:lang w:eastAsia="ar-SA"/>
        </w:rPr>
        <w:t xml:space="preserve"> </w:t>
      </w:r>
      <w:r>
        <w:rPr>
          <w:rFonts w:ascii="Times New Roman" w:hAnsi="Times New Roman"/>
        </w:rPr>
        <w:t xml:space="preserve">Počas konferencie sa uskutočnilo pravidelné štvorstranné rokovanie delegácií Českej republiky, Maďarska, Slovinska a Slovenska. </w:t>
      </w:r>
      <w:r w:rsidRPr="00F12E68">
        <w:rPr>
          <w:rFonts w:ascii="Times New Roman" w:hAnsi="Times New Roman"/>
          <w:color w:val="000000"/>
        </w:rPr>
        <w:t>Na stretnutí sa krajiny vzájomne informovali o aktuálnom stave záťažových testov a</w:t>
      </w:r>
      <w:r>
        <w:rPr>
          <w:rFonts w:ascii="Times New Roman" w:hAnsi="Times New Roman"/>
          <w:color w:val="000000"/>
        </w:rPr>
        <w:t xml:space="preserve"> o </w:t>
      </w:r>
      <w:r w:rsidRPr="00F12E68">
        <w:rPr>
          <w:rFonts w:ascii="Times New Roman" w:hAnsi="Times New Roman"/>
          <w:color w:val="000000"/>
        </w:rPr>
        <w:t>postupe ďalš</w:t>
      </w:r>
      <w:r>
        <w:rPr>
          <w:rFonts w:ascii="Times New Roman" w:hAnsi="Times New Roman"/>
          <w:color w:val="000000"/>
        </w:rPr>
        <w:t>ích prác</w:t>
      </w:r>
      <w:r w:rsidRPr="00F12E68">
        <w:rPr>
          <w:rFonts w:ascii="Times New Roman" w:hAnsi="Times New Roman"/>
          <w:color w:val="000000"/>
        </w:rPr>
        <w:t xml:space="preserve">. </w:t>
      </w:r>
      <w:r>
        <w:rPr>
          <w:rFonts w:ascii="Times New Roman" w:hAnsi="Times New Roman"/>
        </w:rPr>
        <w:t>Uskutočnili sa tiež viaceré bilaterálne rokovania slovenskej delegácie s </w:t>
      </w:r>
      <w:r w:rsidRPr="009A4DFA">
        <w:rPr>
          <w:rFonts w:ascii="Times New Roman" w:hAnsi="Times New Roman"/>
        </w:rPr>
        <w:t>delegáciami  </w:t>
      </w:r>
      <w:r w:rsidRPr="009A4DFA">
        <w:rPr>
          <w:rFonts w:ascii="Times New Roman" w:hAnsi="Times New Roman"/>
          <w:bCs/>
        </w:rPr>
        <w:t>Indonézie, Malajzie, a Vietnamu</w:t>
      </w:r>
      <w:r w:rsidRPr="009A4DFA">
        <w:rPr>
          <w:rFonts w:ascii="Times New Roman" w:hAnsi="Times New Roman"/>
        </w:rPr>
        <w:t>. Stretnutia</w:t>
      </w:r>
      <w:r>
        <w:rPr>
          <w:rFonts w:ascii="Times New Roman" w:hAnsi="Times New Roman"/>
        </w:rPr>
        <w:t xml:space="preserve"> boli zamerané na prehĺbenie spolupráce a odovzdávanie skúseností krajinám, ktoré plánujú výstavbu </w:t>
      </w:r>
      <w:r w:rsidR="00642E7B">
        <w:rPr>
          <w:rFonts w:ascii="Times New Roman" w:hAnsi="Times New Roman"/>
        </w:rPr>
        <w:t>AE</w:t>
      </w:r>
      <w:r>
        <w:rPr>
          <w:rFonts w:ascii="Times New Roman" w:hAnsi="Times New Roman"/>
        </w:rPr>
        <w:t xml:space="preserve">. </w:t>
      </w:r>
      <w:r w:rsidRPr="00F12E68">
        <w:rPr>
          <w:rFonts w:ascii="Times New Roman" w:hAnsi="Times New Roman"/>
          <w:color w:val="000000"/>
        </w:rPr>
        <w:t xml:space="preserve">Počas bilaterálneho stretnutia so zástupcami Národnej agentúry pre jadrovú energiu (NAEA) </w:t>
      </w:r>
      <w:r w:rsidRPr="009A4DFA">
        <w:rPr>
          <w:rFonts w:ascii="Times New Roman" w:hAnsi="Times New Roman"/>
          <w:bCs/>
          <w:color w:val="000000"/>
        </w:rPr>
        <w:t>Poľska</w:t>
      </w:r>
      <w:r w:rsidRPr="009A4DFA">
        <w:rPr>
          <w:rFonts w:ascii="Times New Roman" w:hAnsi="Times New Roman"/>
          <w:color w:val="000000"/>
        </w:rPr>
        <w:t xml:space="preserve"> </w:t>
      </w:r>
      <w:r w:rsidRPr="00F12E68">
        <w:rPr>
          <w:rFonts w:ascii="Times New Roman" w:hAnsi="Times New Roman"/>
          <w:color w:val="000000"/>
        </w:rPr>
        <w:t>odznela informácia o súčasných aktivitách ÚJD</w:t>
      </w:r>
      <w:r w:rsidR="00642E7B">
        <w:rPr>
          <w:rFonts w:ascii="Times New Roman" w:hAnsi="Times New Roman"/>
          <w:color w:val="000000"/>
        </w:rPr>
        <w:t xml:space="preserve"> SR</w:t>
      </w:r>
      <w:r w:rsidRPr="00F12E68">
        <w:rPr>
          <w:rFonts w:ascii="Times New Roman" w:hAnsi="Times New Roman"/>
          <w:color w:val="000000"/>
        </w:rPr>
        <w:t xml:space="preserve"> predovšetkým v súvislosti so záťažovými testami</w:t>
      </w:r>
      <w:r w:rsidR="00A4439A">
        <w:rPr>
          <w:rFonts w:ascii="Times New Roman" w:hAnsi="Times New Roman"/>
          <w:color w:val="000000"/>
        </w:rPr>
        <w:t>.</w:t>
      </w:r>
      <w:r w:rsidRPr="00F12E68">
        <w:rPr>
          <w:rFonts w:ascii="Times New Roman" w:hAnsi="Times New Roman"/>
          <w:color w:val="000000"/>
        </w:rPr>
        <w:t xml:space="preserve"> Poľská strana predstavila návrhy novej formy bilaterálnych </w:t>
      </w:r>
      <w:r>
        <w:rPr>
          <w:rFonts w:ascii="Times New Roman" w:hAnsi="Times New Roman"/>
          <w:color w:val="000000"/>
        </w:rPr>
        <w:t>slovensko-poľských</w:t>
      </w:r>
      <w:r w:rsidRPr="00F12E68">
        <w:rPr>
          <w:rFonts w:ascii="Times New Roman" w:hAnsi="Times New Roman"/>
          <w:color w:val="000000"/>
        </w:rPr>
        <w:t xml:space="preserve"> stretnutí, ktoré by mali byť viac zamerané na konkrétne potreby </w:t>
      </w:r>
      <w:r w:rsidR="00CA372E">
        <w:rPr>
          <w:rFonts w:ascii="Times New Roman" w:hAnsi="Times New Roman"/>
          <w:color w:val="000000"/>
        </w:rPr>
        <w:t xml:space="preserve">oboch </w:t>
      </w:r>
      <w:r>
        <w:rPr>
          <w:rFonts w:ascii="Times New Roman" w:hAnsi="Times New Roman"/>
          <w:color w:val="000000"/>
        </w:rPr>
        <w:t>úradov jadrových dozorov</w:t>
      </w:r>
      <w:r w:rsidRPr="00F12E68">
        <w:rPr>
          <w:rFonts w:ascii="Times New Roman" w:hAnsi="Times New Roman"/>
          <w:color w:val="000000"/>
        </w:rPr>
        <w:t xml:space="preserve">. </w:t>
      </w:r>
    </w:p>
    <w:p w:rsidR="009A4DFA" w:rsidP="00642E7B">
      <w:pPr>
        <w:pStyle w:val="BodyTextIndent"/>
        <w:bidi w:val="0"/>
        <w:ind w:left="0" w:firstLine="0"/>
        <w:jc w:val="both"/>
        <w:rPr>
          <w:rFonts w:ascii="Times New Roman" w:hAnsi="Times New Roman"/>
          <w:lang w:val="sk-SK" w:eastAsia="x-none"/>
        </w:rPr>
      </w:pPr>
      <w:r w:rsidR="00756EB1">
        <w:rPr>
          <w:rFonts w:ascii="Times New Roman" w:hAnsi="Times New Roman"/>
        </w:rPr>
        <w:t xml:space="preserve">Naďalej pokračovala úspešná spolupráca </w:t>
      </w:r>
      <w:r w:rsidR="00756EB1">
        <w:rPr>
          <w:rFonts w:ascii="Times New Roman" w:hAnsi="Times New Roman"/>
          <w:lang w:val="sk-SK" w:eastAsia="x-none"/>
        </w:rPr>
        <w:t>ÚJD</w:t>
      </w:r>
      <w:r w:rsidR="00642E7B">
        <w:rPr>
          <w:rFonts w:ascii="Times New Roman" w:hAnsi="Times New Roman"/>
          <w:lang w:val="sk-SK" w:eastAsia="x-none"/>
        </w:rPr>
        <w:t xml:space="preserve"> SR</w:t>
      </w:r>
      <w:r w:rsidR="00756EB1">
        <w:rPr>
          <w:rFonts w:ascii="Times New Roman" w:hAnsi="Times New Roman"/>
          <w:lang w:val="sk-SK" w:eastAsia="x-none"/>
        </w:rPr>
        <w:t xml:space="preserve"> </w:t>
      </w:r>
      <w:r w:rsidR="00756EB1">
        <w:rPr>
          <w:rFonts w:ascii="Times New Roman" w:hAnsi="Times New Roman"/>
        </w:rPr>
        <w:t xml:space="preserve">a MAAE v oblasti </w:t>
      </w:r>
      <w:r w:rsidRPr="009A4DFA" w:rsidR="00756EB1">
        <w:rPr>
          <w:rFonts w:ascii="Times New Roman" w:hAnsi="Times New Roman"/>
        </w:rPr>
        <w:t>technických projektov.</w:t>
      </w:r>
      <w:r w:rsidR="00756EB1">
        <w:rPr>
          <w:rFonts w:ascii="Times New Roman" w:hAnsi="Times New Roman"/>
        </w:rPr>
        <w:t xml:space="preserve"> V roku 2011 sa realizovali  3 národné a  27 regionálnych a interregionálnych projektov formou účasti na workshopoch, tréningových kurzoch a technických stretnutiach, zabezpečovaním odbornej pomoci expertov a dodávky zariadení, ako aj formou koordinovaných výskumných projektov. V roku 2011 </w:t>
      </w:r>
      <w:r w:rsidR="00756EB1">
        <w:rPr>
          <w:rFonts w:ascii="Times New Roman" w:hAnsi="Times New Roman"/>
          <w:lang w:val="sk-SK" w:eastAsia="x-none"/>
        </w:rPr>
        <w:t>ÚJD</w:t>
      </w:r>
      <w:r>
        <w:rPr>
          <w:rFonts w:ascii="Times New Roman" w:hAnsi="Times New Roman"/>
          <w:lang w:val="sk-SK" w:eastAsia="x-none"/>
        </w:rPr>
        <w:t xml:space="preserve"> SR</w:t>
      </w:r>
      <w:r w:rsidR="00756EB1">
        <w:rPr>
          <w:rFonts w:ascii="Times New Roman" w:hAnsi="Times New Roman"/>
          <w:lang w:val="sk-SK" w:eastAsia="x-none"/>
        </w:rPr>
        <w:t xml:space="preserve"> zabezpečil </w:t>
      </w:r>
      <w:r w:rsidR="00756EB1">
        <w:rPr>
          <w:rFonts w:ascii="Times New Roman" w:hAnsi="Times New Roman"/>
        </w:rPr>
        <w:t> </w:t>
      </w:r>
      <w:r w:rsidR="00756EB1">
        <w:rPr>
          <w:rFonts w:ascii="Times New Roman" w:hAnsi="Times New Roman"/>
          <w:lang w:val="sk-SK" w:eastAsia="x-none"/>
        </w:rPr>
        <w:t xml:space="preserve">školenie a pobyty </w:t>
      </w:r>
      <w:r w:rsidR="00756EB1">
        <w:rPr>
          <w:rFonts w:ascii="Times New Roman" w:hAnsi="Times New Roman"/>
        </w:rPr>
        <w:t xml:space="preserve"> 24 pracovníkov dozorov,  </w:t>
      </w:r>
      <w:r w:rsidR="00642E7B">
        <w:rPr>
          <w:rFonts w:ascii="Times New Roman" w:hAnsi="Times New Roman"/>
          <w:lang w:val="sk-SK" w:eastAsia="x-none"/>
        </w:rPr>
        <w:t xml:space="preserve">AE </w:t>
      </w:r>
      <w:r w:rsidR="00756EB1">
        <w:rPr>
          <w:rFonts w:ascii="Times New Roman" w:hAnsi="Times New Roman"/>
        </w:rPr>
        <w:t>a vedecko-výskumných pracovísk najmä z rozvojových krajín</w:t>
      </w:r>
      <w:r w:rsidR="00756EB1">
        <w:rPr>
          <w:rFonts w:ascii="Times New Roman" w:hAnsi="Times New Roman"/>
          <w:lang w:val="sk-SK" w:eastAsia="x-none"/>
        </w:rPr>
        <w:t xml:space="preserve"> v SR</w:t>
      </w:r>
      <w:r w:rsidR="00756EB1">
        <w:rPr>
          <w:rFonts w:ascii="Times New Roman" w:hAnsi="Times New Roman"/>
        </w:rPr>
        <w:t>.</w:t>
      </w:r>
    </w:p>
    <w:p w:rsidR="00756EB1" w:rsidRPr="00642E7B" w:rsidP="00642E7B">
      <w:pPr>
        <w:pStyle w:val="BodyTextIndent"/>
        <w:bidi w:val="0"/>
        <w:ind w:left="0" w:firstLine="0"/>
        <w:jc w:val="both"/>
        <w:rPr>
          <w:rFonts w:ascii="Times New Roman" w:hAnsi="Times New Roman"/>
          <w:lang w:val="sk-SK" w:eastAsia="x-none"/>
        </w:rPr>
      </w:pPr>
      <w:r>
        <w:rPr>
          <w:rFonts w:ascii="Times New Roman" w:hAnsi="Times New Roman"/>
        </w:rPr>
        <w:t xml:space="preserve">Zároveň </w:t>
      </w:r>
      <w:r w:rsidR="00A703C2">
        <w:rPr>
          <w:rFonts w:ascii="Times New Roman" w:hAnsi="Times New Roman"/>
          <w:lang w:val="sk-SK" w:eastAsia="x-none"/>
        </w:rPr>
        <w:t>sa</w:t>
      </w:r>
      <w:r>
        <w:rPr>
          <w:rFonts w:ascii="Times New Roman" w:hAnsi="Times New Roman"/>
        </w:rPr>
        <w:t xml:space="preserve"> pr</w:t>
      </w:r>
      <w:r w:rsidR="00A703C2">
        <w:rPr>
          <w:rFonts w:ascii="Times New Roman" w:hAnsi="Times New Roman"/>
          <w:lang w:val="sk-SK" w:eastAsia="x-none"/>
        </w:rPr>
        <w:t>i</w:t>
      </w:r>
      <w:r>
        <w:rPr>
          <w:rFonts w:ascii="Times New Roman" w:hAnsi="Times New Roman"/>
        </w:rPr>
        <w:t>prav</w:t>
      </w:r>
      <w:r w:rsidR="00A703C2">
        <w:rPr>
          <w:rFonts w:ascii="Times New Roman" w:hAnsi="Times New Roman"/>
          <w:lang w:val="sk-SK" w:eastAsia="x-none"/>
        </w:rPr>
        <w:t>ovali</w:t>
      </w:r>
      <w:r>
        <w:rPr>
          <w:rFonts w:ascii="Times New Roman" w:hAnsi="Times New Roman"/>
        </w:rPr>
        <w:t xml:space="preserve"> návrh</w:t>
      </w:r>
      <w:r w:rsidR="00A703C2">
        <w:rPr>
          <w:rFonts w:ascii="Times New Roman" w:hAnsi="Times New Roman"/>
          <w:lang w:val="sk-SK" w:eastAsia="x-none"/>
        </w:rPr>
        <w:t>y</w:t>
      </w:r>
      <w:r>
        <w:rPr>
          <w:rFonts w:ascii="Times New Roman" w:hAnsi="Times New Roman"/>
        </w:rPr>
        <w:t xml:space="preserve"> projektov technickej spolupráce na ďalšie dvojročné obdobie (2012-2013). Boli schválené štyri nové národné projekty technickej spolupráce s MAAE. Odborníci SR sa tiež zúčastňovali na príprave regionálnych projektov technickej spolupráce na ďalšie dva roky. SR v roku 2011 uhradila svoje finančné príspevky do MAAE v plnej výške: príspevok do Fondu technickej spolupráce vo výške 96</w:t>
      </w:r>
      <w:r w:rsidR="00642E7B">
        <w:rPr>
          <w:rFonts w:ascii="Times New Roman" w:hAnsi="Times New Roman"/>
          <w:lang w:val="sk-SK" w:eastAsia="x-none"/>
        </w:rPr>
        <w:t xml:space="preserve"> </w:t>
      </w:r>
      <w:r>
        <w:rPr>
          <w:rFonts w:ascii="Times New Roman" w:hAnsi="Times New Roman"/>
        </w:rPr>
        <w:t xml:space="preserve">494 </w:t>
      </w:r>
      <w:r w:rsidR="00691244">
        <w:rPr>
          <w:rFonts w:ascii="Times New Roman" w:hAnsi="Times New Roman"/>
          <w:lang w:val="sk-SK" w:eastAsia="x-none"/>
        </w:rPr>
        <w:t>eur</w:t>
      </w:r>
      <w:r>
        <w:rPr>
          <w:rFonts w:ascii="Times New Roman" w:hAnsi="Times New Roman"/>
        </w:rPr>
        <w:t xml:space="preserve">, ako aj členský príspevok do MAAE vo výške 309 793 </w:t>
      </w:r>
      <w:r w:rsidR="00691244">
        <w:rPr>
          <w:rFonts w:ascii="Times New Roman" w:hAnsi="Times New Roman"/>
          <w:lang w:val="sk-SK" w:eastAsia="x-none"/>
        </w:rPr>
        <w:t>eur</w:t>
      </w:r>
      <w:r>
        <w:rPr>
          <w:rFonts w:ascii="Times New Roman" w:hAnsi="Times New Roman"/>
        </w:rPr>
        <w:t xml:space="preserve"> a 71 189 USD a príspevok do operačného kapitálového fondu MAAE vo výške 11</w:t>
      </w:r>
      <w:r w:rsidR="00642E7B">
        <w:rPr>
          <w:rFonts w:ascii="Times New Roman" w:hAnsi="Times New Roman"/>
          <w:lang w:val="sk-SK" w:eastAsia="x-none"/>
        </w:rPr>
        <w:t xml:space="preserve"> </w:t>
      </w:r>
      <w:r>
        <w:rPr>
          <w:rFonts w:ascii="Times New Roman" w:hAnsi="Times New Roman"/>
        </w:rPr>
        <w:t xml:space="preserve">467 </w:t>
      </w:r>
      <w:r w:rsidR="00691244">
        <w:rPr>
          <w:rFonts w:ascii="Times New Roman" w:hAnsi="Times New Roman"/>
          <w:lang w:val="sk-SK" w:eastAsia="x-none"/>
        </w:rPr>
        <w:t>eur</w:t>
      </w:r>
      <w:r>
        <w:rPr>
          <w:rFonts w:ascii="Times New Roman" w:hAnsi="Times New Roman"/>
        </w:rPr>
        <w:t>. Všetky príspevky boli vyrátané podľa nového zvýšeného koeficientu pre SR (skoro trojnásobné zvýšenie uvedených príspevkov)</w:t>
      </w:r>
      <w:r w:rsidR="00642E7B">
        <w:rPr>
          <w:rFonts w:ascii="Times New Roman" w:hAnsi="Times New Roman"/>
          <w:lang w:val="sk-SK" w:eastAsia="x-none"/>
        </w:rPr>
        <w:t>.</w:t>
      </w:r>
    </w:p>
    <w:p w:rsidR="0039424A" w:rsidRPr="0039424A" w:rsidP="00E00EC8">
      <w:pPr>
        <w:pStyle w:val="BodyTextIndent"/>
        <w:bidi w:val="0"/>
        <w:ind w:left="0" w:firstLine="0"/>
        <w:jc w:val="both"/>
        <w:rPr>
          <w:rFonts w:ascii="Times New Roman" w:hAnsi="Times New Roman"/>
          <w:lang w:val="sk-SK" w:eastAsia="x-none"/>
        </w:rPr>
      </w:pPr>
    </w:p>
    <w:p w:rsidR="00E00EC8" w:rsidRPr="00E51585" w:rsidP="0077492E">
      <w:pPr>
        <w:pStyle w:val="BodyTextIndent"/>
        <w:numPr>
          <w:numId w:val="12"/>
        </w:numPr>
        <w:tabs>
          <w:tab w:val="left" w:pos="284"/>
          <w:tab w:val="left" w:pos="426"/>
        </w:tabs>
        <w:bidi w:val="0"/>
        <w:ind w:left="0" w:firstLine="0"/>
        <w:jc w:val="both"/>
        <w:rPr>
          <w:rFonts w:ascii="Times New Roman" w:hAnsi="Times New Roman"/>
          <w:b/>
          <w:bCs/>
          <w:i/>
        </w:rPr>
      </w:pPr>
      <w:r w:rsidRPr="00E51585">
        <w:rPr>
          <w:rFonts w:ascii="Times New Roman" w:hAnsi="Times New Roman"/>
          <w:b/>
          <w:bCs/>
          <w:i/>
        </w:rPr>
        <w:t>Organizácia Zmluvy o všeobecnom zákaze jadrových skúšok (CTBTO)</w:t>
      </w:r>
      <w:r w:rsidRPr="00E51585">
        <w:rPr>
          <w:rStyle w:val="Strong"/>
          <w:rFonts w:ascii="Times New Roman" w:hAnsi="Times New Roman"/>
          <w:bCs/>
          <w:i/>
        </w:rPr>
        <w:t xml:space="preserve"> </w:t>
      </w:r>
    </w:p>
    <w:p w:rsidR="009A4DFA" w:rsidRPr="00A4439A" w:rsidP="0077492E">
      <w:pPr>
        <w:pStyle w:val="Default"/>
        <w:bidi w:val="0"/>
        <w:contextualSpacing/>
        <w:jc w:val="both"/>
        <w:rPr>
          <w:rFonts w:ascii="Times New Roman" w:hAnsi="Times New Roman"/>
          <w:lang w:val="sk-SK"/>
        </w:rPr>
      </w:pPr>
      <w:r w:rsidRPr="00A4439A">
        <w:rPr>
          <w:rFonts w:ascii="Times New Roman" w:hAnsi="Times New Roman"/>
          <w:lang w:val="sk-SK"/>
        </w:rPr>
        <w:t>V</w:t>
      </w:r>
      <w:r w:rsidRPr="00A4439A" w:rsidR="00642E7B">
        <w:rPr>
          <w:rFonts w:ascii="Times New Roman" w:hAnsi="Times New Roman"/>
          <w:lang w:val="sk-SK"/>
        </w:rPr>
        <w:t xml:space="preserve"> roku </w:t>
      </w:r>
      <w:r w:rsidRPr="00A4439A">
        <w:rPr>
          <w:rFonts w:ascii="Times New Roman" w:hAnsi="Times New Roman"/>
          <w:lang w:val="sk-SK"/>
        </w:rPr>
        <w:t>2011 ÚJD SR zabezpečoval úlohy vyplývajúce zo zasadnutí Prípravnej komisie Organizácie zmluvy, z rokovaní jej pracovných skupín a hlavne sa aktívne zapájal do procesu prerokovávania operačného manuálu pre inšpekcie na mieste a do prípravy budúcich inšpektorov CTBTO (napr. účasťou zástupcu Ú</w:t>
      </w:r>
      <w:r w:rsidR="00CA372E">
        <w:rPr>
          <w:rFonts w:ascii="Times New Roman" w:hAnsi="Times New Roman"/>
          <w:lang w:val="sk-SK"/>
        </w:rPr>
        <w:t xml:space="preserve">JD SR na tréningovom cvičení). </w:t>
      </w:r>
      <w:r w:rsidRPr="00A4439A">
        <w:rPr>
          <w:rFonts w:ascii="Times New Roman" w:hAnsi="Times New Roman"/>
          <w:lang w:val="sk-SK"/>
        </w:rPr>
        <w:t>ÚJD</w:t>
      </w:r>
      <w:r w:rsidRPr="00A4439A" w:rsidR="00642E7B">
        <w:rPr>
          <w:rFonts w:ascii="Times New Roman" w:hAnsi="Times New Roman"/>
          <w:lang w:val="sk-SK"/>
        </w:rPr>
        <w:t xml:space="preserve"> </w:t>
      </w:r>
      <w:r w:rsidRPr="00A4439A">
        <w:rPr>
          <w:rFonts w:ascii="Times New Roman" w:hAnsi="Times New Roman"/>
          <w:lang w:val="sk-SK"/>
        </w:rPr>
        <w:t>SR v dňoch 10. až 14.</w:t>
      </w:r>
      <w:r w:rsidRPr="00A4439A" w:rsidR="00A703C2">
        <w:rPr>
          <w:rFonts w:ascii="Times New Roman" w:hAnsi="Times New Roman"/>
          <w:lang w:val="sk-SK"/>
        </w:rPr>
        <w:t xml:space="preserve"> </w:t>
      </w:r>
      <w:r w:rsidRPr="00A4439A" w:rsidR="002C4CB8">
        <w:rPr>
          <w:rFonts w:ascii="Times New Roman" w:hAnsi="Times New Roman"/>
          <w:lang w:val="sk-SK"/>
        </w:rPr>
        <w:t>októbra</w:t>
      </w:r>
      <w:r w:rsidRPr="00A4439A">
        <w:rPr>
          <w:rFonts w:ascii="Times New Roman" w:hAnsi="Times New Roman"/>
          <w:lang w:val="sk-SK"/>
        </w:rPr>
        <w:t xml:space="preserve"> </w:t>
      </w:r>
      <w:r w:rsidRPr="00A4439A" w:rsidR="002D0074">
        <w:rPr>
          <w:rFonts w:ascii="Times New Roman" w:hAnsi="Times New Roman"/>
          <w:lang w:val="sk-SK"/>
        </w:rPr>
        <w:t>2</w:t>
      </w:r>
      <w:r w:rsidRPr="00A4439A">
        <w:rPr>
          <w:rFonts w:ascii="Times New Roman" w:hAnsi="Times New Roman"/>
          <w:lang w:val="sk-SK"/>
        </w:rPr>
        <w:t xml:space="preserve">011 </w:t>
      </w:r>
      <w:r w:rsidRPr="00A4439A" w:rsidR="002D0074">
        <w:rPr>
          <w:rFonts w:ascii="Times New Roman" w:hAnsi="Times New Roman"/>
          <w:lang w:val="sk-SK"/>
        </w:rPr>
        <w:t>z</w:t>
      </w:r>
      <w:r w:rsidRPr="00A4439A">
        <w:rPr>
          <w:rFonts w:ascii="Times New Roman" w:hAnsi="Times New Roman"/>
          <w:lang w:val="sk-SK"/>
        </w:rPr>
        <w:t xml:space="preserve">abezpečil a spoluorganizoval s ďalšími zainteresovanými rezortmi </w:t>
      </w:r>
      <w:r w:rsidRPr="00A4439A" w:rsidR="002D0074">
        <w:rPr>
          <w:rFonts w:ascii="Times New Roman" w:hAnsi="Times New Roman"/>
          <w:lang w:val="sk-SK"/>
        </w:rPr>
        <w:t xml:space="preserve">v poradí už šiestu </w:t>
      </w:r>
      <w:r w:rsidRPr="00A4439A">
        <w:rPr>
          <w:rFonts w:ascii="Times New Roman" w:hAnsi="Times New Roman"/>
          <w:lang w:val="sk-SK"/>
        </w:rPr>
        <w:t>medzinárodnú akciu CTBTO v SR (na Tureckom vrchu), zameranú na poľné testovanie zariadení pre odber podpovrch</w:t>
      </w:r>
      <w:r w:rsidRPr="00A4439A" w:rsidR="0039424A">
        <w:rPr>
          <w:rFonts w:ascii="Times New Roman" w:hAnsi="Times New Roman"/>
          <w:lang w:val="sk-SK"/>
        </w:rPr>
        <w:t xml:space="preserve">ových vzoriek vzácnych plynov. </w:t>
      </w:r>
    </w:p>
    <w:p w:rsidR="009A4DFA" w:rsidRPr="00A16146" w:rsidP="00A16146">
      <w:pPr>
        <w:pStyle w:val="Default"/>
        <w:bidi w:val="0"/>
        <w:contextualSpacing/>
        <w:jc w:val="both"/>
        <w:rPr>
          <w:rFonts w:ascii="Times New Roman" w:hAnsi="Times New Roman"/>
          <w:lang w:val="sk-SK"/>
        </w:rPr>
      </w:pPr>
      <w:r w:rsidRPr="00A4439A">
        <w:rPr>
          <w:rFonts w:ascii="Times New Roman" w:hAnsi="Times New Roman"/>
          <w:lang w:val="sk-SK"/>
        </w:rPr>
        <w:t>Pre r</w:t>
      </w:r>
      <w:r w:rsidR="00A4439A">
        <w:rPr>
          <w:rFonts w:ascii="Times New Roman" w:hAnsi="Times New Roman"/>
          <w:lang w:val="sk-SK"/>
        </w:rPr>
        <w:t>ok</w:t>
      </w:r>
      <w:r w:rsidRPr="00A4439A">
        <w:rPr>
          <w:rFonts w:ascii="Times New Roman" w:hAnsi="Times New Roman"/>
          <w:lang w:val="sk-SK"/>
        </w:rPr>
        <w:t xml:space="preserve"> 2011 vzrástol koeficient OSN týkajúci sa platieb do medzinárodných organizácií pre SR až o 125 %, takže aj z toho dôvodu bol nárast členského príspevku do CTBTO v r. 2011 (v porovnaní s r. 2010) až o 136,8 % pre USD a o 128,03 % pre </w:t>
      </w:r>
      <w:r w:rsidR="00691244">
        <w:rPr>
          <w:rFonts w:ascii="Times New Roman" w:hAnsi="Times New Roman"/>
          <w:lang w:val="sk-SK"/>
        </w:rPr>
        <w:t>euro</w:t>
      </w:r>
      <w:r w:rsidRPr="00A4439A">
        <w:rPr>
          <w:rFonts w:ascii="Times New Roman" w:hAnsi="Times New Roman"/>
          <w:lang w:val="sk-SK"/>
        </w:rPr>
        <w:t xml:space="preserve"> (konkrétne to bolo 67 584 USD + 81 293 </w:t>
      </w:r>
      <w:r w:rsidR="00691244">
        <w:rPr>
          <w:rFonts w:ascii="Times New Roman" w:hAnsi="Times New Roman"/>
          <w:lang w:val="sk-SK"/>
        </w:rPr>
        <w:t>eur</w:t>
      </w:r>
      <w:r w:rsidRPr="00A4439A">
        <w:rPr>
          <w:rFonts w:ascii="Times New Roman" w:hAnsi="Times New Roman"/>
          <w:lang w:val="sk-SK"/>
        </w:rPr>
        <w:t>). Týmto SR prebrala vo významnejšej miere ako doteraz zodpovednosť</w:t>
      </w:r>
      <w:r w:rsidR="00A16146">
        <w:rPr>
          <w:rFonts w:ascii="Times New Roman" w:hAnsi="Times New Roman"/>
          <w:lang w:val="sk-SK"/>
        </w:rPr>
        <w:t xml:space="preserve"> za napĺňanie rozpočtu CTBTO. </w:t>
      </w:r>
    </w:p>
    <w:p w:rsidR="00E00EC8" w:rsidP="00E00EC8">
      <w:pPr>
        <w:pStyle w:val="BodyTextIndent"/>
        <w:bidi w:val="0"/>
        <w:ind w:left="0" w:firstLine="0"/>
        <w:jc w:val="both"/>
        <w:rPr>
          <w:rStyle w:val="Strong"/>
          <w:rFonts w:ascii="Times New Roman" w:hAnsi="Times New Roman"/>
          <w:bCs/>
        </w:rPr>
      </w:pPr>
    </w:p>
    <w:p w:rsidR="00E00EC8" w:rsidRPr="00E51585" w:rsidP="0077492E">
      <w:pPr>
        <w:pStyle w:val="BodyTextIndent"/>
        <w:numPr>
          <w:numId w:val="12"/>
        </w:numPr>
        <w:tabs>
          <w:tab w:val="left" w:pos="284"/>
        </w:tabs>
        <w:bidi w:val="0"/>
        <w:ind w:left="0" w:firstLine="0"/>
        <w:jc w:val="both"/>
        <w:rPr>
          <w:rStyle w:val="Strong"/>
          <w:rFonts w:ascii="Times New Roman" w:hAnsi="Times New Roman"/>
          <w:bCs/>
          <w:i/>
          <w:color w:val="FF0000"/>
        </w:rPr>
      </w:pPr>
      <w:r w:rsidRPr="00E51585">
        <w:rPr>
          <w:rStyle w:val="Strong"/>
          <w:rFonts w:ascii="Times New Roman" w:hAnsi="Times New Roman"/>
          <w:bCs/>
          <w:i/>
        </w:rPr>
        <w:t xml:space="preserve">Agentúra pre jadrovú energiu pri Organizácii pre hospodársku spoluprácu a rozvoj (OECD/NEA)  </w:t>
      </w:r>
    </w:p>
    <w:p w:rsidR="002D0074" w:rsidP="0077492E">
      <w:pPr>
        <w:pStyle w:val="BodyTextIndent"/>
        <w:bidi w:val="0"/>
        <w:ind w:left="0" w:firstLine="0"/>
        <w:jc w:val="both"/>
        <w:rPr>
          <w:rFonts w:ascii="Times New Roman" w:hAnsi="Times New Roman"/>
        </w:rPr>
      </w:pPr>
      <w:r>
        <w:rPr>
          <w:rFonts w:ascii="Times New Roman" w:hAnsi="Times New Roman"/>
        </w:rPr>
        <w:t xml:space="preserve">V roku 2011 sa zástupcovia SR zúčastnili na rokovaniach Riadiaceho výboru NEA (Steering Committee for Nuclear Energy), ktoré sa konali v apríli a v októbri. Ocenením prínosu SR pre prácu agentúry bolo zvolenie predsedníčky ÚJD </w:t>
      </w:r>
      <w:r>
        <w:rPr>
          <w:rFonts w:ascii="Times New Roman" w:hAnsi="Times New Roman"/>
          <w:lang w:val="sk-SK" w:eastAsia="x-none"/>
        </w:rPr>
        <w:t xml:space="preserve">SR </w:t>
      </w:r>
      <w:r>
        <w:rPr>
          <w:rFonts w:ascii="Times New Roman" w:hAnsi="Times New Roman"/>
        </w:rPr>
        <w:t>Marty Žiakovej,</w:t>
      </w:r>
      <w:r w:rsidR="00673352">
        <w:rPr>
          <w:rFonts w:ascii="Times New Roman" w:hAnsi="Times New Roman"/>
          <w:lang w:val="sk-SK" w:eastAsia="x-none"/>
        </w:rPr>
        <w:t xml:space="preserve"> </w:t>
      </w:r>
      <w:r>
        <w:rPr>
          <w:rFonts w:ascii="Times New Roman" w:hAnsi="Times New Roman"/>
        </w:rPr>
        <w:t xml:space="preserve">do funkcie podpredsedníčky byra Riadiaceho výboru. Obsadenie tejto pozície dáva možnosť lepšie vyjadrovať a zastávať priority SR, ako aj názory a potreby ostatných krajín s malým jadrovým programom a krajín stredoeurópskeho regiónu pri plánovaní a organizovaní aktivít v rámci NEA. </w:t>
      </w:r>
    </w:p>
    <w:p w:rsidR="002D0074" w:rsidP="00D82F61">
      <w:pPr>
        <w:pStyle w:val="BodyTextIndent"/>
        <w:bidi w:val="0"/>
        <w:ind w:left="0" w:firstLine="0"/>
        <w:jc w:val="both"/>
        <w:rPr>
          <w:rFonts w:ascii="Times New Roman" w:hAnsi="Times New Roman"/>
        </w:rPr>
      </w:pPr>
      <w:r>
        <w:rPr>
          <w:rFonts w:ascii="Times New Roman" w:hAnsi="Times New Roman"/>
        </w:rPr>
        <w:t>Experti SR sa aj v roku 2011 naďalej aktívne zapája</w:t>
      </w:r>
      <w:r>
        <w:rPr>
          <w:rFonts w:ascii="Times New Roman" w:hAnsi="Times New Roman"/>
          <w:lang w:val="sk-SK" w:eastAsia="x-none"/>
        </w:rPr>
        <w:t>li</w:t>
      </w:r>
      <w:r>
        <w:rPr>
          <w:rFonts w:ascii="Times New Roman" w:hAnsi="Times New Roman"/>
        </w:rPr>
        <w:t xml:space="preserve"> do činnosti jednotlivých výborov, pracovných a expertných skupín. Zástupcovia ÚJD</w:t>
      </w:r>
      <w:r>
        <w:rPr>
          <w:rFonts w:ascii="Times New Roman" w:hAnsi="Times New Roman"/>
          <w:lang w:val="sk-SK" w:eastAsia="x-none"/>
        </w:rPr>
        <w:t xml:space="preserve"> SR</w:t>
      </w:r>
      <w:r>
        <w:rPr>
          <w:rFonts w:ascii="Times New Roman" w:hAnsi="Times New Roman"/>
        </w:rPr>
        <w:t xml:space="preserve"> sa zúčastnili na zasadnutiach Výboru pre aktivity jadrových dozorov (CNRA), Výboru pre bezpečnosť jadrových zariadení CSNI (a </w:t>
      </w:r>
      <w:r>
        <w:rPr>
          <w:rFonts w:ascii="Times New Roman" w:hAnsi="Times New Roman"/>
          <w:lang w:val="sk-SK" w:eastAsia="x-none"/>
        </w:rPr>
        <w:t>ich</w:t>
      </w:r>
      <w:r>
        <w:rPr>
          <w:rFonts w:ascii="Times New Roman" w:hAnsi="Times New Roman"/>
        </w:rPr>
        <w:t xml:space="preserve"> pracovných skupín),  Výboru pre otázky manažmentu r</w:t>
      </w:r>
      <w:r w:rsidR="00A4439A">
        <w:rPr>
          <w:rFonts w:ascii="Times New Roman" w:hAnsi="Times New Roman"/>
          <w:lang w:val="sk-SK" w:eastAsia="x-none"/>
        </w:rPr>
        <w:t>á</w:t>
      </w:r>
      <w:r>
        <w:rPr>
          <w:rFonts w:ascii="Times New Roman" w:hAnsi="Times New Roman"/>
        </w:rPr>
        <w:t xml:space="preserve">dioaktívnych odpadov (RWMC) a Legislatívneho výboru (NLC) a zapojili sa aj do činnosti ďalších pracovných skupín, ktorých zameranie je v súlade s kompetenciami </w:t>
      </w:r>
      <w:r>
        <w:rPr>
          <w:rFonts w:ascii="Times New Roman" w:hAnsi="Times New Roman"/>
          <w:lang w:val="sk-SK" w:eastAsia="x-none"/>
        </w:rPr>
        <w:t>ÚJD SR</w:t>
      </w:r>
      <w:r>
        <w:rPr>
          <w:rFonts w:ascii="Times New Roman" w:hAnsi="Times New Roman"/>
        </w:rPr>
        <w:t>. Experti SR spracovali rad dokumentov, ktoré slúžia ako podkladové materiály pre vyhodnotenia a odborné publikácie OECD/NEA. ÚJD</w:t>
      </w:r>
      <w:r>
        <w:rPr>
          <w:rFonts w:ascii="Times New Roman" w:hAnsi="Times New Roman"/>
          <w:lang w:val="sk-SK" w:eastAsia="x-none"/>
        </w:rPr>
        <w:t xml:space="preserve"> SR </w:t>
      </w:r>
      <w:r>
        <w:rPr>
          <w:rFonts w:ascii="Times New Roman" w:hAnsi="Times New Roman"/>
        </w:rPr>
        <w:t>pokračuje v participácii aj na činnosti vedecko-výskumného projektu Halden Reactor. Pripravuje sa aj zapojenie S</w:t>
      </w:r>
      <w:r>
        <w:rPr>
          <w:rFonts w:ascii="Times New Roman" w:hAnsi="Times New Roman"/>
          <w:lang w:val="sk-SK" w:eastAsia="x-none"/>
        </w:rPr>
        <w:t>R</w:t>
      </w:r>
      <w:r>
        <w:rPr>
          <w:rFonts w:ascii="Times New Roman" w:hAnsi="Times New Roman"/>
        </w:rPr>
        <w:t xml:space="preserve"> do projektov CODAP (Component Operational Experience, Degradation and Agein Programme) a CADAK (Cable Ageing Data and Knowledge). Členské príspevky do OECD/NEA a do Databanky NEA (spolu 28</w:t>
      </w:r>
      <w:r w:rsidR="00691244">
        <w:rPr>
          <w:rFonts w:ascii="Times New Roman" w:hAnsi="Times New Roman"/>
        </w:rPr>
        <w:t> </w:t>
      </w:r>
      <w:r>
        <w:rPr>
          <w:rFonts w:ascii="Times New Roman" w:hAnsi="Times New Roman"/>
        </w:rPr>
        <w:t>460</w:t>
      </w:r>
      <w:r w:rsidR="00691244">
        <w:rPr>
          <w:rFonts w:ascii="Times New Roman" w:hAnsi="Times New Roman"/>
          <w:lang w:val="sk-SK" w:eastAsia="x-none"/>
        </w:rPr>
        <w:t> eur</w:t>
      </w:r>
      <w:r>
        <w:rPr>
          <w:rFonts w:ascii="Times New Roman" w:hAnsi="Times New Roman"/>
        </w:rPr>
        <w:t xml:space="preserve">), na projekt Halden Reactor ( 14743 </w:t>
      </w:r>
      <w:r w:rsidR="00691244">
        <w:rPr>
          <w:rFonts w:ascii="Times New Roman" w:hAnsi="Times New Roman"/>
          <w:lang w:val="sk-SK" w:eastAsia="x-none"/>
        </w:rPr>
        <w:t>eur</w:t>
      </w:r>
      <w:r>
        <w:rPr>
          <w:rFonts w:ascii="Times New Roman" w:hAnsi="Times New Roman"/>
        </w:rPr>
        <w:t>) boli uhradené včas a v plnom rozsahu.</w:t>
      </w:r>
    </w:p>
    <w:p w:rsidR="00A16146" w:rsidRPr="00DA4911" w:rsidP="00E00EC8">
      <w:pPr>
        <w:pStyle w:val="BodyTextIndent"/>
        <w:bidi w:val="0"/>
        <w:ind w:left="0" w:firstLine="0"/>
        <w:jc w:val="both"/>
        <w:rPr>
          <w:rFonts w:ascii="Times New Roman" w:hAnsi="Times New Roman"/>
          <w:lang w:val="sk-SK" w:eastAsia="x-none"/>
        </w:rPr>
      </w:pPr>
    </w:p>
    <w:p w:rsidR="00E00EC8" w:rsidRPr="00B21203" w:rsidP="0077492E">
      <w:pPr>
        <w:pStyle w:val="BodyTextIndent"/>
        <w:numPr>
          <w:numId w:val="12"/>
        </w:numPr>
        <w:tabs>
          <w:tab w:val="left" w:pos="284"/>
        </w:tabs>
        <w:bidi w:val="0"/>
        <w:ind w:left="0" w:firstLine="0"/>
        <w:jc w:val="both"/>
        <w:rPr>
          <w:rFonts w:ascii="Times New Roman" w:hAnsi="Times New Roman"/>
          <w:b/>
          <w:bCs/>
          <w:i/>
          <w:lang w:val="en-GB" w:eastAsia="x-none"/>
        </w:rPr>
      </w:pPr>
      <w:r w:rsidRPr="00B21203">
        <w:rPr>
          <w:rFonts w:ascii="Times New Roman" w:hAnsi="Times New Roman"/>
          <w:b/>
          <w:i/>
          <w:lang w:val="sk-SK" w:eastAsia="x-none"/>
        </w:rPr>
        <w:t>Asociácia západoeurópskych jadrových dozorov (</w:t>
      </w:r>
      <w:r w:rsidRPr="00B21203">
        <w:rPr>
          <w:rFonts w:ascii="Times New Roman" w:hAnsi="Times New Roman"/>
          <w:b/>
          <w:bCs/>
          <w:i/>
          <w:lang w:val="en-GB" w:eastAsia="x-none"/>
        </w:rPr>
        <w:t>Western European Nuclear Regulators -</w:t>
      </w:r>
      <w:r w:rsidR="002C3FB5">
        <w:rPr>
          <w:rFonts w:ascii="Times New Roman" w:hAnsi="Times New Roman"/>
          <w:b/>
          <w:bCs/>
          <w:i/>
          <w:lang w:val="en-GB" w:eastAsia="x-none"/>
        </w:rPr>
        <w:t xml:space="preserve"> </w:t>
      </w:r>
      <w:r w:rsidRPr="00B21203">
        <w:rPr>
          <w:rFonts w:ascii="Times New Roman" w:hAnsi="Times New Roman"/>
          <w:b/>
          <w:bCs/>
          <w:i/>
          <w:lang w:val="en-GB" w:eastAsia="x-none"/>
        </w:rPr>
        <w:t>WENRA)</w:t>
      </w:r>
    </w:p>
    <w:p w:rsidR="00E00EC8" w:rsidRPr="00BD7C09" w:rsidP="0077492E">
      <w:pPr>
        <w:pStyle w:val="BodyTextIndent"/>
        <w:bidi w:val="0"/>
        <w:ind w:left="0" w:firstLine="0"/>
        <w:jc w:val="both"/>
        <w:rPr>
          <w:rFonts w:ascii="Times New Roman" w:hAnsi="Times New Roman"/>
          <w:b/>
          <w:bCs/>
          <w:lang w:val="en-GB" w:eastAsia="x-none"/>
        </w:rPr>
      </w:pPr>
      <w:r w:rsidRPr="00BD7C09">
        <w:rPr>
          <w:rFonts w:ascii="Times New Roman" w:hAnsi="Times New Roman"/>
        </w:rPr>
        <w:t>WENRA bola založená v roku 1999 ako spoločenstvo dozorov západoeurópskych štátov, ktorého cieľom je rozvíjať spoločný prístup k jadrovej bezpečnosti a k dozoru predovšetkým v štátoch EÚ.</w:t>
      </w:r>
    </w:p>
    <w:p w:rsidR="00E00EC8" w:rsidRPr="00BD7C09" w:rsidP="00AA6FD7">
      <w:pPr>
        <w:pStyle w:val="BodyTextIndent"/>
        <w:bidi w:val="0"/>
        <w:ind w:left="0" w:firstLine="0"/>
        <w:jc w:val="both"/>
        <w:rPr>
          <w:rFonts w:ascii="Times New Roman" w:hAnsi="Times New Roman"/>
        </w:rPr>
      </w:pPr>
      <w:r w:rsidRPr="00BD7C09">
        <w:rPr>
          <w:rFonts w:ascii="Times New Roman" w:hAnsi="Times New Roman"/>
        </w:rPr>
        <w:t>ÚJD SR  aktívne pracuje v dvoch pracovných skupinách (PS) – PS pre harmonizáciu prístupu k bezpečnosti pre existujúce jadrové reaktory a PS pre harmonizáciu prístupu k bezpečnosti nakladania s </w:t>
      </w:r>
      <w:r w:rsidRPr="00BD7C09">
        <w:rPr>
          <w:rFonts w:ascii="Times New Roman" w:hAnsi="Times New Roman"/>
          <w:lang w:val="sk-SK" w:eastAsia="x-none"/>
        </w:rPr>
        <w:t>RAO</w:t>
      </w:r>
      <w:r w:rsidRPr="00BD7C09">
        <w:rPr>
          <w:rFonts w:ascii="Times New Roman" w:hAnsi="Times New Roman"/>
        </w:rPr>
        <w:t>. Cieľom PS pre harmonizáciu prístupu k bezpečnosti pre existujúce jadrové reaktory je stanovenie minimálnych referenčných úrovní pre päť oblastí posudzovania jadrovej bezpečnosti – riadenie bezpečnosti, projekt, prevádzka, overenie bezpečnosti a havarijné plánovanie.</w:t>
      </w:r>
    </w:p>
    <w:p w:rsidR="00E00EC8" w:rsidP="00E00EC8">
      <w:pPr>
        <w:pStyle w:val="BodyTextIndent"/>
        <w:bidi w:val="0"/>
        <w:ind w:left="0" w:firstLine="0"/>
        <w:jc w:val="both"/>
        <w:rPr>
          <w:rFonts w:ascii="Times New Roman" w:hAnsi="Times New Roman"/>
        </w:rPr>
      </w:pPr>
      <w:r w:rsidRPr="00BD7C09">
        <w:rPr>
          <w:rFonts w:ascii="Times New Roman" w:hAnsi="Times New Roman"/>
        </w:rPr>
        <w:t>V</w:t>
      </w:r>
      <w:r w:rsidR="00BD7C09">
        <w:rPr>
          <w:rFonts w:ascii="Times New Roman" w:hAnsi="Times New Roman"/>
        </w:rPr>
        <w:t> </w:t>
      </w:r>
      <w:r w:rsidR="00BD7C09">
        <w:rPr>
          <w:rFonts w:ascii="Times New Roman" w:hAnsi="Times New Roman"/>
          <w:lang w:val="sk-SK" w:eastAsia="x-none"/>
        </w:rPr>
        <w:t>roku</w:t>
      </w:r>
      <w:r w:rsidRPr="00BD7C09">
        <w:rPr>
          <w:rFonts w:ascii="Times New Roman" w:hAnsi="Times New Roman"/>
        </w:rPr>
        <w:t xml:space="preserve"> 201</w:t>
      </w:r>
      <w:r w:rsidR="00BD7C09">
        <w:rPr>
          <w:rFonts w:ascii="Times New Roman" w:hAnsi="Times New Roman"/>
          <w:lang w:val="sk-SK" w:eastAsia="x-none"/>
        </w:rPr>
        <w:t xml:space="preserve">1 sa zástupcovia ÚJD SR zúčastňovali na zasadnutiach </w:t>
      </w:r>
      <w:r w:rsidR="00691244">
        <w:rPr>
          <w:rFonts w:ascii="Times New Roman" w:hAnsi="Times New Roman"/>
          <w:lang w:val="sk-SK" w:eastAsia="x-none"/>
        </w:rPr>
        <w:t xml:space="preserve">skupiny </w:t>
      </w:r>
      <w:r w:rsidR="00BD7C09">
        <w:rPr>
          <w:rFonts w:ascii="Times New Roman" w:hAnsi="Times New Roman"/>
          <w:lang w:val="sk-SK" w:eastAsia="x-none"/>
        </w:rPr>
        <w:t>WENR</w:t>
      </w:r>
      <w:r w:rsidR="00691244">
        <w:rPr>
          <w:rFonts w:ascii="Times New Roman" w:hAnsi="Times New Roman"/>
          <w:lang w:val="sk-SK" w:eastAsia="x-none"/>
        </w:rPr>
        <w:t>A,</w:t>
      </w:r>
      <w:r w:rsidR="00BD7C09">
        <w:rPr>
          <w:rFonts w:ascii="Times New Roman" w:hAnsi="Times New Roman"/>
          <w:lang w:val="sk-SK" w:eastAsia="x-none"/>
        </w:rPr>
        <w:t xml:space="preserve"> ako</w:t>
      </w:r>
      <w:r w:rsidR="00DA5FA4">
        <w:rPr>
          <w:rFonts w:ascii="Times New Roman" w:hAnsi="Times New Roman"/>
          <w:lang w:val="sk-SK" w:eastAsia="x-none"/>
        </w:rPr>
        <w:t xml:space="preserve"> aj </w:t>
      </w:r>
      <w:r w:rsidR="00BD7C09">
        <w:rPr>
          <w:rFonts w:ascii="Times New Roman" w:hAnsi="Times New Roman"/>
          <w:lang w:val="sk-SK" w:eastAsia="x-none"/>
        </w:rPr>
        <w:t xml:space="preserve"> jej pracovných skupín predovšetkým zameraných na </w:t>
      </w:r>
      <w:r w:rsidR="00C04E8E">
        <w:rPr>
          <w:rFonts w:ascii="Times New Roman" w:hAnsi="Times New Roman"/>
          <w:lang w:val="sk-SK" w:eastAsia="x-none"/>
        </w:rPr>
        <w:t>technické definovanie záťažových testov aplikovateľné na A</w:t>
      </w:r>
      <w:r w:rsidR="00691244">
        <w:rPr>
          <w:rFonts w:ascii="Times New Roman" w:hAnsi="Times New Roman"/>
          <w:lang w:val="sk-SK" w:eastAsia="x-none"/>
        </w:rPr>
        <w:t>E</w:t>
      </w:r>
      <w:r w:rsidR="00C04E8E">
        <w:rPr>
          <w:rFonts w:ascii="Times New Roman" w:hAnsi="Times New Roman"/>
          <w:lang w:val="sk-SK" w:eastAsia="x-none"/>
        </w:rPr>
        <w:t xml:space="preserve"> v EÚ a možnosť zlepšenia jadrovej bezpečnosti JZ berúc do úvahy udalosti na AE Fuku</w:t>
      </w:r>
      <w:r w:rsidR="00517ABE">
        <w:rPr>
          <w:rFonts w:ascii="Times New Roman" w:hAnsi="Times New Roman"/>
          <w:lang w:val="sk-SK" w:eastAsia="x-none"/>
        </w:rPr>
        <w:t>š</w:t>
      </w:r>
      <w:r w:rsidR="00C04E8E">
        <w:rPr>
          <w:rFonts w:ascii="Times New Roman" w:hAnsi="Times New Roman"/>
          <w:lang w:val="sk-SK" w:eastAsia="x-none"/>
        </w:rPr>
        <w:t>ima.</w:t>
      </w:r>
    </w:p>
    <w:p w:rsidR="00E00EC8" w:rsidP="00E00EC8">
      <w:pPr>
        <w:pStyle w:val="BodyTextIndent"/>
        <w:bidi w:val="0"/>
        <w:ind w:left="0" w:firstLine="0"/>
        <w:jc w:val="both"/>
        <w:rPr>
          <w:rFonts w:ascii="Times New Roman" w:hAnsi="Times New Roman"/>
        </w:rPr>
      </w:pPr>
    </w:p>
    <w:p w:rsidR="00E00EC8" w:rsidRPr="00E51585" w:rsidP="0077492E">
      <w:pPr>
        <w:pStyle w:val="BodyTextIndent"/>
        <w:numPr>
          <w:numId w:val="12"/>
        </w:numPr>
        <w:tabs>
          <w:tab w:val="left" w:pos="284"/>
          <w:tab w:val="left" w:pos="1134"/>
        </w:tabs>
        <w:bidi w:val="0"/>
        <w:ind w:left="0" w:firstLine="0"/>
        <w:jc w:val="both"/>
        <w:rPr>
          <w:rFonts w:ascii="Times New Roman" w:hAnsi="Times New Roman"/>
          <w:b/>
          <w:bCs/>
          <w:i/>
        </w:rPr>
      </w:pPr>
      <w:r w:rsidRPr="00E51585">
        <w:rPr>
          <w:rFonts w:ascii="Times New Roman" w:hAnsi="Times New Roman"/>
          <w:b/>
          <w:bCs/>
          <w:i/>
        </w:rPr>
        <w:t>Fórum štátnych dozorov nad jadrovou bezpečnosťou krajín prevádzkujúcich jadrové elektrárne typu VVER</w:t>
      </w:r>
    </w:p>
    <w:p w:rsidR="002D0074" w:rsidP="0077492E">
      <w:pPr>
        <w:pStyle w:val="BodyTextIndent"/>
        <w:bidi w:val="0"/>
        <w:ind w:left="0" w:firstLine="0"/>
        <w:jc w:val="both"/>
        <w:rPr>
          <w:rFonts w:ascii="Times New Roman" w:hAnsi="Times New Roman"/>
        </w:rPr>
      </w:pPr>
      <w:r>
        <w:rPr>
          <w:rFonts w:ascii="Times New Roman" w:hAnsi="Times New Roman"/>
        </w:rPr>
        <w:t>ÚJD</w:t>
      </w:r>
      <w:r w:rsidR="00691244">
        <w:rPr>
          <w:rFonts w:ascii="Times New Roman" w:hAnsi="Times New Roman"/>
          <w:lang w:val="sk-SK" w:eastAsia="x-none"/>
        </w:rPr>
        <w:t xml:space="preserve"> SR</w:t>
      </w:r>
      <w:r>
        <w:rPr>
          <w:rFonts w:ascii="Times New Roman" w:hAnsi="Times New Roman"/>
        </w:rPr>
        <w:t xml:space="preserve"> je členom fóra od roku 1993 a pravidelne sa zúčastňuje na plenárnych zasadnutiach a činnosti pracovných skupín.</w:t>
      </w:r>
    </w:p>
    <w:p w:rsidR="002D0074" w:rsidP="00D82F61">
      <w:pPr>
        <w:pStyle w:val="BodyTextIndent"/>
        <w:bidi w:val="0"/>
        <w:ind w:left="0" w:firstLine="0"/>
        <w:jc w:val="both"/>
        <w:rPr>
          <w:rFonts w:ascii="Times New Roman" w:hAnsi="Times New Roman"/>
        </w:rPr>
      </w:pPr>
      <w:r>
        <w:rPr>
          <w:rFonts w:ascii="Times New Roman" w:hAnsi="Times New Roman"/>
        </w:rPr>
        <w:t>Účastníci Fóra sa vzájomne informujú o najdôležitejších udalostiach v oblasti jadrovej energetiky a o činnostiach dozorných orgánov v členských štátoch. Niektoré technické otázky sú diskutované  v pracovných skupinách pracujúcich v rámci fóra.</w:t>
      </w:r>
    </w:p>
    <w:p w:rsidR="002D0074" w:rsidRPr="0092028B" w:rsidP="00D82F61">
      <w:pPr>
        <w:pStyle w:val="BodyTextIndent"/>
        <w:bidi w:val="0"/>
        <w:ind w:left="0" w:firstLine="0"/>
        <w:jc w:val="both"/>
        <w:rPr>
          <w:rFonts w:ascii="Times New Roman" w:hAnsi="Times New Roman"/>
          <w:lang w:val="sk-SK" w:eastAsia="x-none"/>
        </w:rPr>
      </w:pPr>
      <w:r>
        <w:rPr>
          <w:rFonts w:ascii="Times New Roman" w:hAnsi="Times New Roman"/>
        </w:rPr>
        <w:t>Pravidelné zasadnutie VVER Fóra v roku 2011 bolo organizované Ú</w:t>
      </w:r>
      <w:r w:rsidR="00D82F61">
        <w:rPr>
          <w:rFonts w:ascii="Times New Roman" w:hAnsi="Times New Roman"/>
          <w:lang w:val="sk-SK" w:eastAsia="x-none"/>
        </w:rPr>
        <w:t>JD</w:t>
      </w:r>
      <w:r>
        <w:rPr>
          <w:rFonts w:ascii="Times New Roman" w:hAnsi="Times New Roman"/>
        </w:rPr>
        <w:t xml:space="preserve"> SR v Bratislave</w:t>
      </w:r>
      <w:r>
        <w:rPr>
          <w:rFonts w:ascii="Times New Roman" w:hAnsi="Times New Roman"/>
        </w:rPr>
        <w:t>. Zasadnutia sa zúčastnili zástupcovia 10 krajín a tiež pozorovatelia z</w:t>
      </w:r>
      <w:r w:rsidR="0077492E">
        <w:rPr>
          <w:rFonts w:ascii="Times New Roman" w:hAnsi="Times New Roman"/>
        </w:rPr>
        <w:t> </w:t>
      </w:r>
      <w:r w:rsidR="0077492E">
        <w:rPr>
          <w:rFonts w:ascii="Times New Roman" w:hAnsi="Times New Roman"/>
          <w:lang w:val="sk-SK" w:eastAsia="x-none"/>
        </w:rPr>
        <w:t xml:space="preserve">nemeckej organizácie </w:t>
      </w:r>
      <w:r w:rsidRPr="0077492E">
        <w:rPr>
          <w:rFonts w:ascii="Times New Roman" w:hAnsi="Times New Roman"/>
        </w:rPr>
        <w:t>GRS</w:t>
      </w:r>
      <w:r>
        <w:rPr>
          <w:rFonts w:ascii="Times New Roman" w:hAnsi="Times New Roman"/>
        </w:rPr>
        <w:t xml:space="preserve"> a MAAE. V priebehu stretnutia každá krajina prezentovala informácie o zmenách v legislatíve v jadrovej oblasti a informovala o udalostiach na elektrárňach VVER dôležitých z pohľadu jadrovej bezpečnosti</w:t>
      </w:r>
      <w:r w:rsidR="00691244">
        <w:rPr>
          <w:rFonts w:ascii="Times New Roman" w:hAnsi="Times New Roman"/>
          <w:lang w:val="sk-SK" w:eastAsia="x-none"/>
        </w:rPr>
        <w:t>,</w:t>
      </w:r>
      <w:r>
        <w:rPr>
          <w:rFonts w:ascii="Times New Roman" w:hAnsi="Times New Roman"/>
        </w:rPr>
        <w:t xml:space="preserve"> ako aj o najdôležitejších aktivitách z oblasti dozorných činností.</w:t>
      </w:r>
      <w:r>
        <w:rPr>
          <w:rFonts w:ascii="Times New Roman" w:hAnsi="Times New Roman"/>
        </w:rPr>
        <w:t xml:space="preserve"> Jednotlivé pracovné skupiny fóra predniesli správu o svojej činnosti.  </w:t>
      </w:r>
    </w:p>
    <w:p w:rsidR="00E00EC8" w:rsidP="00E00EC8">
      <w:pPr>
        <w:pStyle w:val="BodyTextIndent"/>
        <w:bidi w:val="0"/>
        <w:ind w:left="0" w:firstLine="0"/>
        <w:jc w:val="both"/>
        <w:rPr>
          <w:rFonts w:ascii="Times New Roman" w:hAnsi="Times New Roman"/>
          <w:lang w:val="en-GB" w:eastAsia="x-none"/>
        </w:rPr>
      </w:pPr>
    </w:p>
    <w:p w:rsidR="002D0074" w:rsidRPr="00A16146" w:rsidP="00F43A62">
      <w:pPr>
        <w:pStyle w:val="Heading2"/>
        <w:tabs>
          <w:tab w:val="clear" w:pos="414"/>
          <w:tab w:val="num" w:pos="426"/>
        </w:tabs>
        <w:bidi w:val="0"/>
        <w:ind w:left="0" w:firstLine="0"/>
        <w:rPr>
          <w:rFonts w:ascii="Times New Roman" w:hAnsi="Times New Roman"/>
          <w:bCs/>
          <w:szCs w:val="24"/>
        </w:rPr>
      </w:pPr>
      <w:bookmarkStart w:id="89" w:name="_Toc320719740"/>
      <w:r w:rsidRPr="00E51585" w:rsidR="00E00EC8">
        <w:rPr>
          <w:rStyle w:val="Strong"/>
          <w:rFonts w:ascii="Times New Roman" w:hAnsi="Times New Roman"/>
          <w:bCs/>
          <w:szCs w:val="24"/>
        </w:rPr>
        <w:t>Plnenie záväzkov vyplývajúcich z medzinárodných zmluvných dokumentov</w:t>
      </w:r>
      <w:bookmarkStart w:id="90" w:name="_Toc158112605"/>
      <w:bookmarkStart w:id="91" w:name="_Toc162317372"/>
      <w:bookmarkEnd w:id="89"/>
    </w:p>
    <w:p w:rsidR="002D0074" w:rsidP="002D0074">
      <w:pPr>
        <w:bidi w:val="0"/>
        <w:jc w:val="both"/>
        <w:rPr>
          <w:rFonts w:ascii="Times New Roman" w:hAnsi="Times New Roman"/>
          <w:color w:val="FF0000"/>
        </w:rPr>
      </w:pPr>
      <w:r>
        <w:rPr>
          <w:rFonts w:ascii="Times New Roman" w:hAnsi="Times New Roman"/>
        </w:rPr>
        <w:t xml:space="preserve">Na základe </w:t>
      </w:r>
      <w:r>
        <w:rPr>
          <w:rFonts w:ascii="Times New Roman" w:hAnsi="Times New Roman"/>
          <w:noProof/>
          <w:color w:val="000000"/>
        </w:rPr>
        <w:t xml:space="preserve">Dohody medzi Belgickým kráľovstvom, Dánskym kráľovstvom, Spolkovou republikou Nemecko, Írskou republikou, Talianskou republikou, Luxemburským veľkovojvodstvom, Holandským kráľovstvom, Európskym spoločenstvom pre atómovú energiu o implementácii článku III ods. 1 a 4 </w:t>
      </w:r>
      <w:r w:rsidRPr="002D0074">
        <w:rPr>
          <w:rFonts w:ascii="Times New Roman" w:hAnsi="Times New Roman"/>
          <w:noProof/>
          <w:color w:val="000000"/>
        </w:rPr>
        <w:t>Zmluvy o nešírení jadrových zbraní a jeho</w:t>
      </w:r>
      <w:r>
        <w:rPr>
          <w:rFonts w:ascii="Times New Roman" w:hAnsi="Times New Roman"/>
          <w:noProof/>
          <w:color w:val="000000"/>
        </w:rPr>
        <w:t xml:space="preserve"> Dodatkového protokolu, </w:t>
      </w:r>
      <w:r>
        <w:rPr>
          <w:rFonts w:ascii="Times New Roman" w:hAnsi="Times New Roman"/>
        </w:rPr>
        <w:t>vykonávali  inšpektori E</w:t>
      </w:r>
      <w:r w:rsidR="00D82F61">
        <w:rPr>
          <w:rFonts w:ascii="Times New Roman" w:hAnsi="Times New Roman"/>
        </w:rPr>
        <w:t>uratomu</w:t>
      </w:r>
      <w:r>
        <w:rPr>
          <w:rFonts w:ascii="Times New Roman" w:hAnsi="Times New Roman"/>
        </w:rPr>
        <w:t xml:space="preserve"> a MAAE inšpekcie. Ani v jednom  prípade inšpektori nepoukázali na porušovanie záväzkov SR v oblasti nešírenia </w:t>
      </w:r>
      <w:r w:rsidR="00D82F61">
        <w:rPr>
          <w:rFonts w:ascii="Times New Roman" w:hAnsi="Times New Roman"/>
        </w:rPr>
        <w:t>j</w:t>
      </w:r>
      <w:r>
        <w:rPr>
          <w:rFonts w:ascii="Times New Roman" w:hAnsi="Times New Roman"/>
        </w:rPr>
        <w:t xml:space="preserve">adrových zbraní a zárukového systému. </w:t>
      </w:r>
    </w:p>
    <w:p w:rsidR="002D0074" w:rsidP="0077492E">
      <w:pPr>
        <w:pStyle w:val="BodyTextIndent"/>
        <w:bidi w:val="0"/>
        <w:ind w:left="0" w:firstLine="0"/>
        <w:jc w:val="both"/>
        <w:rPr>
          <w:rFonts w:ascii="Times New Roman" w:hAnsi="Times New Roman"/>
          <w:lang w:val="sk-SK" w:eastAsia="x-none"/>
        </w:rPr>
      </w:pPr>
      <w:r w:rsidRPr="004017B4">
        <w:rPr>
          <w:rFonts w:ascii="Times New Roman" w:hAnsi="Times New Roman"/>
        </w:rPr>
        <w:t>Na 5. posudzovacom zasadnutí</w:t>
      </w:r>
      <w:r>
        <w:rPr>
          <w:rFonts w:ascii="Times New Roman" w:hAnsi="Times New Roman"/>
        </w:rPr>
        <w:t xml:space="preserve"> </w:t>
      </w:r>
      <w:r w:rsidRPr="00691244">
        <w:rPr>
          <w:rFonts w:ascii="Times New Roman" w:hAnsi="Times New Roman"/>
        </w:rPr>
        <w:t xml:space="preserve">k </w:t>
      </w:r>
      <w:r w:rsidRPr="00691244">
        <w:rPr>
          <w:rFonts w:ascii="Times New Roman" w:hAnsi="Times New Roman"/>
          <w:i/>
          <w:lang w:val="sk-SK" w:eastAsia="x-none"/>
        </w:rPr>
        <w:t>D</w:t>
      </w:r>
      <w:r w:rsidRPr="00691244">
        <w:rPr>
          <w:rFonts w:ascii="Times New Roman" w:hAnsi="Times New Roman"/>
          <w:i/>
        </w:rPr>
        <w:t>ohovoru</w:t>
      </w:r>
      <w:r w:rsidRPr="00691244">
        <w:rPr>
          <w:rFonts w:ascii="Times New Roman" w:hAnsi="Times New Roman"/>
          <w:i/>
          <w:lang w:val="sk-SK" w:eastAsia="x-none"/>
        </w:rPr>
        <w:t xml:space="preserve"> </w:t>
      </w:r>
      <w:r w:rsidRPr="00691244">
        <w:rPr>
          <w:rFonts w:ascii="Times New Roman" w:hAnsi="Times New Roman"/>
          <w:bCs/>
          <w:i/>
        </w:rPr>
        <w:t>o jadrovej bezpečnosti</w:t>
      </w:r>
      <w:r>
        <w:rPr>
          <w:rFonts w:ascii="Times New Roman" w:hAnsi="Times New Roman"/>
        </w:rPr>
        <w:t xml:space="preserve">, ktoré sa uskutočnilo na pôde MAAE vo Viedni v dňoch 4. - 14. </w:t>
      </w:r>
      <w:r w:rsidR="00D82F61">
        <w:rPr>
          <w:rFonts w:ascii="Times New Roman" w:hAnsi="Times New Roman"/>
          <w:lang w:val="sk-SK" w:eastAsia="x-none"/>
        </w:rPr>
        <w:t>apríla</w:t>
      </w:r>
      <w:r>
        <w:rPr>
          <w:rFonts w:ascii="Times New Roman" w:hAnsi="Times New Roman"/>
        </w:rPr>
        <w:t xml:space="preserve"> 2011 za účasti  61 zmluvných strán, boli podľa vopred dohodnutých pravidiel vytvorené skupiny zmluvných strán, v </w:t>
      </w:r>
      <w:r w:rsidR="00DA5FA4">
        <w:rPr>
          <w:rFonts w:ascii="Times New Roman" w:hAnsi="Times New Roman"/>
        </w:rPr>
        <w:t xml:space="preserve">rámci </w:t>
      </w:r>
      <w:r>
        <w:rPr>
          <w:rFonts w:ascii="Times New Roman" w:hAnsi="Times New Roman"/>
        </w:rPr>
        <w:t xml:space="preserve">ktorých sa detailne posudzovali a diskutovali predložené národné správy. </w:t>
      </w:r>
      <w:r w:rsidR="00C066BB">
        <w:rPr>
          <w:rFonts w:ascii="Times New Roman" w:hAnsi="Times New Roman"/>
          <w:lang w:val="sk-SK" w:eastAsia="x-none"/>
        </w:rPr>
        <w:t>Z</w:t>
      </w:r>
      <w:r>
        <w:rPr>
          <w:rFonts w:ascii="Times New Roman" w:hAnsi="Times New Roman"/>
        </w:rPr>
        <w:t xml:space="preserve">a účasti zástupcov </w:t>
      </w:r>
      <w:r w:rsidR="00DA5FA4">
        <w:rPr>
          <w:rFonts w:ascii="Times New Roman" w:hAnsi="Times New Roman"/>
          <w:lang w:val="sk-SK" w:eastAsia="x-none"/>
        </w:rPr>
        <w:t>Ú</w:t>
      </w:r>
      <w:r>
        <w:rPr>
          <w:rFonts w:ascii="Times New Roman" w:hAnsi="Times New Roman"/>
        </w:rPr>
        <w:t>JD</w:t>
      </w:r>
      <w:r>
        <w:rPr>
          <w:rFonts w:ascii="Times New Roman" w:hAnsi="Times New Roman"/>
          <w:lang w:val="sk-SK" w:eastAsia="x-none"/>
        </w:rPr>
        <w:t xml:space="preserve"> SR</w:t>
      </w:r>
      <w:r>
        <w:rPr>
          <w:rFonts w:ascii="Times New Roman" w:hAnsi="Times New Roman"/>
        </w:rPr>
        <w:t>, Ministerstva zahraničných vecí S</w:t>
      </w:r>
      <w:r w:rsidR="00A4439A">
        <w:rPr>
          <w:rFonts w:ascii="Times New Roman" w:hAnsi="Times New Roman"/>
          <w:lang w:val="sk-SK" w:eastAsia="x-none"/>
        </w:rPr>
        <w:t>R</w:t>
      </w:r>
      <w:r>
        <w:rPr>
          <w:rFonts w:ascii="Times New Roman" w:hAnsi="Times New Roman"/>
        </w:rPr>
        <w:t>, Ministerstva zdravotníctva S</w:t>
      </w:r>
      <w:r w:rsidR="00A4439A">
        <w:rPr>
          <w:rFonts w:ascii="Times New Roman" w:hAnsi="Times New Roman"/>
          <w:lang w:val="sk-SK" w:eastAsia="x-none"/>
        </w:rPr>
        <w:t>R</w:t>
      </w:r>
      <w:r>
        <w:rPr>
          <w:rFonts w:ascii="Times New Roman" w:hAnsi="Times New Roman"/>
        </w:rPr>
        <w:t>, S</w:t>
      </w:r>
      <w:r>
        <w:rPr>
          <w:rFonts w:ascii="Times New Roman" w:hAnsi="Times New Roman"/>
          <w:lang w:val="sk-SK" w:eastAsia="x-none"/>
        </w:rPr>
        <w:t>E,</w:t>
      </w:r>
      <w:r>
        <w:rPr>
          <w:rFonts w:ascii="Times New Roman" w:hAnsi="Times New Roman"/>
        </w:rPr>
        <w:t xml:space="preserve"> a.</w:t>
      </w:r>
      <w:r w:rsidR="00C066BB">
        <w:rPr>
          <w:rFonts w:ascii="Times New Roman" w:hAnsi="Times New Roman"/>
          <w:lang w:val="sk-SK" w:eastAsia="x-none"/>
        </w:rPr>
        <w:t> </w:t>
      </w:r>
      <w:r>
        <w:rPr>
          <w:rFonts w:ascii="Times New Roman" w:hAnsi="Times New Roman"/>
        </w:rPr>
        <w:t>s. a J</w:t>
      </w:r>
      <w:r>
        <w:rPr>
          <w:rFonts w:ascii="Times New Roman" w:hAnsi="Times New Roman"/>
          <w:lang w:val="sk-SK" w:eastAsia="x-none"/>
        </w:rPr>
        <w:t>AVYS</w:t>
      </w:r>
      <w:r>
        <w:rPr>
          <w:rFonts w:ascii="Times New Roman" w:hAnsi="Times New Roman"/>
        </w:rPr>
        <w:t>, a.</w:t>
      </w:r>
      <w:r w:rsidR="00C066BB">
        <w:rPr>
          <w:rFonts w:ascii="Times New Roman" w:hAnsi="Times New Roman"/>
          <w:lang w:val="sk-SK" w:eastAsia="x-none"/>
        </w:rPr>
        <w:t> </w:t>
      </w:r>
      <w:r>
        <w:rPr>
          <w:rFonts w:ascii="Times New Roman" w:hAnsi="Times New Roman"/>
        </w:rPr>
        <w:t xml:space="preserve">s., </w:t>
      </w:r>
      <w:r w:rsidR="00C066BB">
        <w:rPr>
          <w:rFonts w:ascii="Times New Roman" w:hAnsi="Times New Roman"/>
          <w:lang w:val="sk-SK" w:eastAsia="x-none"/>
        </w:rPr>
        <w:t xml:space="preserve">správu za SR prezentovala a </w:t>
      </w:r>
      <w:r w:rsidR="00C066BB">
        <w:rPr>
          <w:rFonts w:ascii="Times New Roman" w:hAnsi="Times New Roman"/>
        </w:rPr>
        <w:t xml:space="preserve">podrobne a otvorene odpovedala aj na doplňujúce otázky </w:t>
      </w:r>
      <w:r>
        <w:rPr>
          <w:rFonts w:ascii="Times New Roman" w:hAnsi="Times New Roman"/>
        </w:rPr>
        <w:t>predsedníčka Ú</w:t>
      </w:r>
      <w:r>
        <w:rPr>
          <w:rFonts w:ascii="Times New Roman" w:hAnsi="Times New Roman"/>
          <w:lang w:val="sk-SK" w:eastAsia="x-none"/>
        </w:rPr>
        <w:t>JD SR</w:t>
      </w:r>
      <w:r>
        <w:rPr>
          <w:rFonts w:ascii="Times New Roman" w:hAnsi="Times New Roman"/>
        </w:rPr>
        <w:t xml:space="preserve">. Zástupcovia krajín v skupine ocenili vysokú kvalitu Národnej správy SR, jej transparentnosť a množstvo poskytnutých technických informácií. </w:t>
      </w:r>
      <w:r w:rsidRPr="005F1A5A">
        <w:rPr>
          <w:rFonts w:ascii="Times New Roman" w:hAnsi="Times New Roman"/>
        </w:rPr>
        <w:t xml:space="preserve">Závery </w:t>
      </w:r>
      <w:r>
        <w:rPr>
          <w:rFonts w:ascii="Times New Roman" w:hAnsi="Times New Roman"/>
        </w:rPr>
        <w:t>posudzovacieho zasadnutia potvrdili súlad legislatívy a ostatných aktivít v oblasti jadrovej bezpečnosti v S</w:t>
      </w:r>
      <w:r>
        <w:rPr>
          <w:rFonts w:ascii="Times New Roman" w:hAnsi="Times New Roman"/>
          <w:lang w:val="sk-SK" w:eastAsia="x-none"/>
        </w:rPr>
        <w:t>R</w:t>
      </w:r>
      <w:r>
        <w:rPr>
          <w:rFonts w:ascii="Times New Roman" w:hAnsi="Times New Roman"/>
        </w:rPr>
        <w:t xml:space="preserve"> s článkami dohovoru. Neobsahovali žiadnu negatívnu konštatáciu. V porovnaní s ostatnými krajinami prevádzkujúcimi </w:t>
      </w:r>
      <w:r w:rsidR="001F29FE">
        <w:rPr>
          <w:rFonts w:ascii="Times New Roman" w:hAnsi="Times New Roman"/>
          <w:lang w:val="sk-SK" w:eastAsia="x-none"/>
        </w:rPr>
        <w:t>JZ</w:t>
      </w:r>
      <w:r>
        <w:rPr>
          <w:rFonts w:ascii="Times New Roman" w:hAnsi="Times New Roman"/>
        </w:rPr>
        <w:t xml:space="preserve"> je S</w:t>
      </w:r>
      <w:r>
        <w:rPr>
          <w:rFonts w:ascii="Times New Roman" w:hAnsi="Times New Roman"/>
          <w:lang w:val="sk-SK" w:eastAsia="x-none"/>
        </w:rPr>
        <w:t>R</w:t>
      </w:r>
      <w:r>
        <w:rPr>
          <w:rFonts w:ascii="Times New Roman" w:hAnsi="Times New Roman"/>
        </w:rPr>
        <w:t xml:space="preserve"> na poprednom mieste</w:t>
      </w:r>
      <w:r w:rsidR="00C52983">
        <w:rPr>
          <w:rFonts w:ascii="Times New Roman" w:hAnsi="Times New Roman"/>
          <w:lang w:val="sk-SK" w:eastAsia="x-none"/>
        </w:rPr>
        <w:t>,</w:t>
      </w:r>
      <w:r>
        <w:rPr>
          <w:rFonts w:ascii="Times New Roman" w:hAnsi="Times New Roman"/>
        </w:rPr>
        <w:t xml:space="preserve"> čo sa týka bezpečnostných a prevádzkových ukazovateľov.</w:t>
      </w:r>
      <w:r w:rsidR="00BA2329">
        <w:rPr>
          <w:rFonts w:ascii="Times New Roman" w:hAnsi="Times New Roman"/>
          <w:lang w:val="sk-SK" w:eastAsia="x-none"/>
        </w:rPr>
        <w:t xml:space="preserve"> Správa </w:t>
      </w:r>
      <w:r w:rsidR="00BA2329">
        <w:rPr>
          <w:rFonts w:ascii="Times New Roman" w:hAnsi="Times New Roman"/>
        </w:rPr>
        <w:t xml:space="preserve">je prístupná na internetovej adrese </w:t>
      </w:r>
      <w:r w:rsidR="00BA2329">
        <w:rPr>
          <w:rFonts w:ascii="Times New Roman" w:hAnsi="Times New Roman"/>
          <w:u w:val="single"/>
        </w:rPr>
        <w:t>www.ujd.gov.sk.</w:t>
      </w:r>
      <w:r w:rsidR="00BA2329">
        <w:rPr>
          <w:rFonts w:ascii="Times New Roman" w:hAnsi="Times New Roman"/>
          <w:color w:val="FF0000"/>
        </w:rPr>
        <w:t xml:space="preserve"> </w:t>
      </w:r>
      <w:r w:rsidR="00BA2329">
        <w:rPr>
          <w:rFonts w:ascii="Times New Roman" w:hAnsi="Times New Roman"/>
        </w:rPr>
        <w:t> </w:t>
      </w:r>
      <w:r w:rsidRPr="008C4D22">
        <w:rPr>
          <w:rFonts w:ascii="Times New Roman" w:hAnsi="Times New Roman"/>
        </w:rPr>
        <w:t>Zmluvné strany na 5. posudzovacom zasadnutí prijali spoločnú deklaráciu týkajúcu sa udalosti v</w:t>
      </w:r>
      <w:r w:rsidR="00BA2329">
        <w:rPr>
          <w:rFonts w:ascii="Times New Roman" w:hAnsi="Times New Roman"/>
        </w:rPr>
        <w:t> </w:t>
      </w:r>
      <w:r w:rsidR="00BA2329">
        <w:rPr>
          <w:rFonts w:ascii="Times New Roman" w:hAnsi="Times New Roman"/>
          <w:lang w:val="sk-SK" w:eastAsia="x-none"/>
        </w:rPr>
        <w:t>AE Fuku</w:t>
      </w:r>
      <w:r w:rsidR="00517ABE">
        <w:rPr>
          <w:rFonts w:ascii="Times New Roman" w:hAnsi="Times New Roman"/>
          <w:lang w:val="sk-SK" w:eastAsia="x-none"/>
        </w:rPr>
        <w:t>š</w:t>
      </w:r>
      <w:r w:rsidR="00BA2329">
        <w:rPr>
          <w:rFonts w:ascii="Times New Roman" w:hAnsi="Times New Roman"/>
          <w:lang w:val="sk-SK" w:eastAsia="x-none"/>
        </w:rPr>
        <w:t>ima</w:t>
      </w:r>
      <w:r w:rsidR="00A4439A">
        <w:rPr>
          <w:rFonts w:ascii="Times New Roman" w:hAnsi="Times New Roman"/>
          <w:lang w:val="sk-SK" w:eastAsia="x-none"/>
        </w:rPr>
        <w:t>.</w:t>
      </w:r>
      <w:r w:rsidR="00747CFE">
        <w:rPr>
          <w:rFonts w:ascii="Times New Roman" w:hAnsi="Times New Roman"/>
          <w:lang w:val="sk-SK" w:eastAsia="x-none"/>
        </w:rPr>
        <w:t xml:space="preserve"> </w:t>
      </w:r>
      <w:r w:rsidRPr="008C4D22">
        <w:rPr>
          <w:rFonts w:ascii="Times New Roman" w:hAnsi="Times New Roman"/>
        </w:rPr>
        <w:t>Súčasne sa zmluvné strany dohodli zvolať mimoriadne posudzovacie zasadnutie zmluvných strán Dohovoru o jadrovej bezpečnosti v roku 2012, počas ktorého sa na základe osobitnej národnej správy posúdia prijaté opatrenia a poučenia, ktoré sa vyvodili v súvislosti s udalosťami v Japonsku.</w:t>
      </w:r>
      <w:r>
        <w:rPr>
          <w:rFonts w:ascii="Times New Roman" w:hAnsi="Times New Roman"/>
        </w:rPr>
        <w:t xml:space="preserve"> Mimoriadn</w:t>
      </w:r>
      <w:r w:rsidR="00BA2329">
        <w:rPr>
          <w:rFonts w:ascii="Times New Roman" w:hAnsi="Times New Roman"/>
          <w:lang w:val="sk-SK" w:eastAsia="x-none"/>
        </w:rPr>
        <w:t>a</w:t>
      </w:r>
      <w:r>
        <w:rPr>
          <w:rFonts w:ascii="Times New Roman" w:hAnsi="Times New Roman"/>
        </w:rPr>
        <w:t xml:space="preserve"> národn</w:t>
      </w:r>
      <w:r w:rsidR="00BA2329">
        <w:rPr>
          <w:rFonts w:ascii="Times New Roman" w:hAnsi="Times New Roman"/>
          <w:lang w:val="sk-SK" w:eastAsia="x-none"/>
        </w:rPr>
        <w:t>á</w:t>
      </w:r>
      <w:r>
        <w:rPr>
          <w:rFonts w:ascii="Times New Roman" w:hAnsi="Times New Roman"/>
        </w:rPr>
        <w:t xml:space="preserve"> správ</w:t>
      </w:r>
      <w:r w:rsidR="00BA2329">
        <w:rPr>
          <w:rFonts w:ascii="Times New Roman" w:hAnsi="Times New Roman"/>
          <w:lang w:val="sk-SK" w:eastAsia="x-none"/>
        </w:rPr>
        <w:t>a</w:t>
      </w:r>
      <w:r>
        <w:rPr>
          <w:rFonts w:ascii="Times New Roman" w:hAnsi="Times New Roman"/>
        </w:rPr>
        <w:t xml:space="preserve"> spracovan</w:t>
      </w:r>
      <w:r w:rsidR="00BA2329">
        <w:rPr>
          <w:rFonts w:ascii="Times New Roman" w:hAnsi="Times New Roman"/>
          <w:lang w:val="sk-SK" w:eastAsia="x-none"/>
        </w:rPr>
        <w:t>á</w:t>
      </w:r>
      <w:r>
        <w:rPr>
          <w:rFonts w:ascii="Times New Roman" w:hAnsi="Times New Roman"/>
        </w:rPr>
        <w:t xml:space="preserve"> v zmysle dohovoru,  bude predložená </w:t>
      </w:r>
      <w:r w:rsidR="00BA2329">
        <w:rPr>
          <w:rFonts w:ascii="Times New Roman" w:hAnsi="Times New Roman"/>
          <w:lang w:val="sk-SK" w:eastAsia="x-none"/>
        </w:rPr>
        <w:t>do</w:t>
      </w:r>
      <w:r>
        <w:rPr>
          <w:rFonts w:ascii="Times New Roman" w:hAnsi="Times New Roman"/>
        </w:rPr>
        <w:t xml:space="preserve"> MAAE do 13. </w:t>
      </w:r>
      <w:r w:rsidR="00BA2329">
        <w:rPr>
          <w:rFonts w:ascii="Times New Roman" w:hAnsi="Times New Roman"/>
          <w:lang w:val="sk-SK" w:eastAsia="x-none"/>
        </w:rPr>
        <w:t>mája</w:t>
      </w:r>
      <w:r>
        <w:rPr>
          <w:rFonts w:ascii="Times New Roman" w:hAnsi="Times New Roman"/>
        </w:rPr>
        <w:t xml:space="preserve"> 2012.</w:t>
      </w:r>
      <w:r>
        <w:rPr>
          <w:rFonts w:ascii="Times New Roman" w:hAnsi="Times New Roman"/>
        </w:rPr>
        <w:t xml:space="preserve"> </w:t>
      </w:r>
    </w:p>
    <w:p w:rsidR="002D0074" w:rsidRPr="005F1A5A" w:rsidP="0077492E">
      <w:pPr>
        <w:pStyle w:val="BodyTextIndent"/>
        <w:bidi w:val="0"/>
        <w:ind w:left="0" w:firstLine="0"/>
        <w:rPr>
          <w:rFonts w:ascii="Times New Roman" w:hAnsi="Times New Roman"/>
          <w:lang w:val="sk-SK" w:eastAsia="x-none"/>
        </w:rPr>
      </w:pPr>
    </w:p>
    <w:p w:rsidR="002D0074" w:rsidP="0077492E">
      <w:pPr>
        <w:bidi w:val="0"/>
        <w:jc w:val="both"/>
        <w:rPr>
          <w:rFonts w:ascii="Times New Roman" w:hAnsi="Times New Roman"/>
        </w:rPr>
      </w:pPr>
      <w:r w:rsidRPr="00747CFE" w:rsidR="00747CFE">
        <w:rPr>
          <w:rFonts w:ascii="Times New Roman" w:hAnsi="Times New Roman"/>
        </w:rPr>
        <w:t>V zmysle</w:t>
      </w:r>
      <w:r w:rsidR="00747CFE">
        <w:rPr>
          <w:rFonts w:ascii="Times New Roman" w:hAnsi="Times New Roman"/>
          <w:b/>
        </w:rPr>
        <w:t xml:space="preserve"> </w:t>
      </w:r>
      <w:r w:rsidRPr="00C066BB">
        <w:rPr>
          <w:rFonts w:ascii="Times New Roman" w:hAnsi="Times New Roman"/>
          <w:i/>
        </w:rPr>
        <w:t>Spoločn</w:t>
      </w:r>
      <w:r w:rsidRPr="00C066BB" w:rsidR="00747CFE">
        <w:rPr>
          <w:rFonts w:ascii="Times New Roman" w:hAnsi="Times New Roman"/>
          <w:i/>
        </w:rPr>
        <w:t>ého</w:t>
      </w:r>
      <w:r w:rsidRPr="00C066BB">
        <w:rPr>
          <w:rFonts w:ascii="Times New Roman" w:hAnsi="Times New Roman"/>
          <w:i/>
        </w:rPr>
        <w:t xml:space="preserve"> dohovor</w:t>
      </w:r>
      <w:r w:rsidRPr="00C066BB" w:rsidR="00747CFE">
        <w:rPr>
          <w:rFonts w:ascii="Times New Roman" w:hAnsi="Times New Roman"/>
          <w:i/>
        </w:rPr>
        <w:t>u</w:t>
      </w:r>
      <w:r w:rsidRPr="00C066BB">
        <w:rPr>
          <w:rFonts w:ascii="Times New Roman" w:hAnsi="Times New Roman"/>
          <w:i/>
        </w:rPr>
        <w:t xml:space="preserve"> o bezpečnosti nakladania s vyhoretým palivom a o bezpečnosti nakladania s rádioaktívnym odpadom </w:t>
      </w:r>
      <w:r w:rsidR="00C066BB">
        <w:rPr>
          <w:rFonts w:ascii="Times New Roman" w:hAnsi="Times New Roman"/>
        </w:rPr>
        <w:t xml:space="preserve">odovzdala </w:t>
      </w:r>
      <w:r>
        <w:rPr>
          <w:rFonts w:ascii="Times New Roman" w:hAnsi="Times New Roman"/>
        </w:rPr>
        <w:t xml:space="preserve">SR </w:t>
      </w:r>
      <w:r w:rsidR="00747CFE">
        <w:rPr>
          <w:rFonts w:ascii="Times New Roman" w:hAnsi="Times New Roman"/>
        </w:rPr>
        <w:t xml:space="preserve">v roku 2011 </w:t>
      </w:r>
      <w:r>
        <w:rPr>
          <w:rFonts w:ascii="Times New Roman" w:hAnsi="Times New Roman"/>
        </w:rPr>
        <w:t xml:space="preserve">v poradí štvrtú Národnú správu, ktorá bude prerokovaná na Posudzovacom zasadnutí v máji 2012. Národná správa SR je prístupná na internetovej adrese </w:t>
      </w:r>
      <w:r>
        <w:rPr>
          <w:rFonts w:ascii="Times New Roman" w:hAnsi="Times New Roman"/>
          <w:u w:val="single"/>
        </w:rPr>
        <w:t>www.ujd.gov.sk.</w:t>
      </w:r>
      <w:r>
        <w:rPr>
          <w:rFonts w:ascii="Times New Roman" w:hAnsi="Times New Roman"/>
          <w:color w:val="FF0000"/>
        </w:rPr>
        <w:t xml:space="preserve"> </w:t>
      </w:r>
    </w:p>
    <w:p w:rsidR="002D0074" w:rsidP="00AA6FD7">
      <w:pPr>
        <w:pStyle w:val="BodyTextIndent"/>
        <w:bidi w:val="0"/>
        <w:rPr>
          <w:rFonts w:ascii="Times New Roman" w:hAnsi="Times New Roman"/>
          <w:lang w:val="en-GB" w:eastAsia="x-none"/>
        </w:rPr>
      </w:pPr>
    </w:p>
    <w:p w:rsidR="002D0074" w:rsidRPr="0086433D" w:rsidP="00747CFE">
      <w:pPr>
        <w:autoSpaceDE w:val="0"/>
        <w:autoSpaceDN w:val="0"/>
        <w:bidi w:val="0"/>
        <w:adjustRightInd w:val="0"/>
        <w:jc w:val="both"/>
        <w:rPr>
          <w:rFonts w:ascii="Times New Roman" w:hAnsi="Times New Roman"/>
        </w:rPr>
      </w:pPr>
      <w:r w:rsidRPr="0086433D">
        <w:rPr>
          <w:rFonts w:ascii="Times New Roman" w:hAnsi="Times New Roman"/>
        </w:rPr>
        <w:t xml:space="preserve">Záväzky SR v oblasti fyzickej ochrany JM vyplývajú z </w:t>
      </w:r>
      <w:r w:rsidRPr="00CA372E">
        <w:rPr>
          <w:rFonts w:ascii="Times New Roman" w:hAnsi="Times New Roman"/>
          <w:i/>
        </w:rPr>
        <w:t>Dohovoru o fyzickej ochrane jadrových materiálov,</w:t>
      </w:r>
      <w:r w:rsidRPr="0086433D">
        <w:rPr>
          <w:rFonts w:ascii="Times New Roman" w:hAnsi="Times New Roman"/>
        </w:rPr>
        <w:t xml:space="preserve"> ku ktorému SR sukcesiou pristúpila v roku 1993. Uznesením vlády SR č. 394/2007 bol schválený </w:t>
      </w:r>
      <w:r w:rsidRPr="00CA372E">
        <w:rPr>
          <w:rFonts w:ascii="Times New Roman" w:hAnsi="Times New Roman"/>
          <w:i/>
        </w:rPr>
        <w:t>Dodatok k Dohovoru o fyzickej ochrane jadrových materiálov</w:t>
      </w:r>
      <w:r w:rsidRPr="0086433D">
        <w:rPr>
          <w:rFonts w:ascii="Times New Roman" w:hAnsi="Times New Roman"/>
        </w:rPr>
        <w:t xml:space="preserve">. </w:t>
      </w:r>
      <w:r w:rsidRPr="00517ABE">
        <w:rPr>
          <w:rFonts w:ascii="Times New Roman" w:hAnsi="Times New Roman"/>
        </w:rPr>
        <w:t>V zmysle čl</w:t>
      </w:r>
      <w:r w:rsidRPr="00517ABE" w:rsidR="0086433D">
        <w:rPr>
          <w:rFonts w:ascii="Times New Roman" w:hAnsi="Times New Roman"/>
        </w:rPr>
        <w:t>.</w:t>
      </w:r>
      <w:r w:rsidRPr="00517ABE">
        <w:rPr>
          <w:rFonts w:ascii="Times New Roman" w:hAnsi="Times New Roman"/>
        </w:rPr>
        <w:t xml:space="preserve"> 102 Zmluvy o Euratome SR notifikovala E</w:t>
      </w:r>
      <w:r w:rsidRPr="00517ABE" w:rsidR="0086433D">
        <w:rPr>
          <w:rFonts w:ascii="Times New Roman" w:hAnsi="Times New Roman"/>
        </w:rPr>
        <w:t>K</w:t>
      </w:r>
      <w:r w:rsidRPr="00517ABE">
        <w:rPr>
          <w:rFonts w:ascii="Times New Roman" w:hAnsi="Times New Roman"/>
        </w:rPr>
        <w:t xml:space="preserve"> o pripravenosti implementovať ustanovenia Dodatku.</w:t>
      </w:r>
    </w:p>
    <w:p w:rsidR="002D0074" w:rsidRPr="00747CFE" w:rsidP="00747CFE">
      <w:pPr>
        <w:pStyle w:val="BodyTextIndent"/>
        <w:bidi w:val="0"/>
        <w:ind w:left="0" w:firstLine="0"/>
        <w:rPr>
          <w:rFonts w:ascii="Times New Roman" w:hAnsi="Times New Roman"/>
          <w:b/>
          <w:bCs/>
          <w:highlight w:val="red"/>
          <w:lang w:val="sk-SK" w:eastAsia="x-none"/>
        </w:rPr>
      </w:pPr>
    </w:p>
    <w:p w:rsidR="00E00EC8" w:rsidRPr="00A16146" w:rsidP="00E00EC8">
      <w:pPr>
        <w:pStyle w:val="Heading2"/>
        <w:tabs>
          <w:tab w:val="num" w:pos="284"/>
          <w:tab w:val="clear" w:pos="414"/>
          <w:tab w:val="left" w:pos="426"/>
        </w:tabs>
        <w:bidi w:val="0"/>
        <w:ind w:left="0" w:firstLine="11"/>
        <w:rPr>
          <w:rFonts w:ascii="Times New Roman" w:hAnsi="Times New Roman"/>
        </w:rPr>
      </w:pPr>
      <w:bookmarkStart w:id="92" w:name="_Toc320719741"/>
      <w:r>
        <w:rPr>
          <w:rFonts w:ascii="Times New Roman" w:hAnsi="Times New Roman"/>
        </w:rPr>
        <w:t>Bilaterálna spolupráca</w:t>
      </w:r>
      <w:bookmarkEnd w:id="90"/>
      <w:bookmarkEnd w:id="91"/>
      <w:bookmarkEnd w:id="92"/>
    </w:p>
    <w:p w:rsidR="00E00EC8" w:rsidP="00AA6FD7">
      <w:pPr>
        <w:bidi w:val="0"/>
        <w:jc w:val="both"/>
        <w:rPr>
          <w:rFonts w:ascii="Times New Roman" w:hAnsi="Times New Roman"/>
        </w:rPr>
      </w:pPr>
      <w:r>
        <w:rPr>
          <w:rFonts w:ascii="Times New Roman" w:hAnsi="Times New Roman"/>
        </w:rPr>
        <w:t>Bilaterálna spolupráca sa realizuje na úrovni vládnej, predovšetkým so susednými štátmi, a na úrovni dozorných orgánov nad jadrovou a radiačnou bezpečnosťou. ÚJD SR pravidelne organizuje stretnutia s predstaviteľmi vládnych a iných partnerských organizácií susedných štátov. V roku 201</w:t>
      </w:r>
      <w:r w:rsidR="004017B4">
        <w:rPr>
          <w:rFonts w:ascii="Times New Roman" w:hAnsi="Times New Roman"/>
        </w:rPr>
        <w:t>1</w:t>
      </w:r>
      <w:r>
        <w:rPr>
          <w:rFonts w:ascii="Times New Roman" w:hAnsi="Times New Roman"/>
        </w:rPr>
        <w:t xml:space="preserve"> sa </w:t>
      </w:r>
      <w:r>
        <w:rPr>
          <w:rFonts w:ascii="Times New Roman" w:hAnsi="Times New Roman"/>
          <w:bCs/>
          <w:szCs w:val="24"/>
        </w:rPr>
        <w:t>uskutočnili bilaterálne rokovania</w:t>
      </w:r>
      <w:r>
        <w:rPr>
          <w:rFonts w:ascii="Times New Roman" w:hAnsi="Times New Roman"/>
        </w:rPr>
        <w:t xml:space="preserve"> vedúcich predstaviteľov ÚJD SR s delegáciami Maďarskej republiky, Českej republiky, Poľskej republiky, Rakúskej republiky, a Slovinskej republiky. </w:t>
      </w:r>
    </w:p>
    <w:p w:rsidR="004017B4" w:rsidP="00AA6FD7">
      <w:pPr>
        <w:bidi w:val="0"/>
        <w:jc w:val="both"/>
        <w:rPr>
          <w:rFonts w:ascii="Times New Roman" w:hAnsi="Times New Roman"/>
        </w:rPr>
      </w:pPr>
      <w:r>
        <w:rPr>
          <w:rFonts w:ascii="Times New Roman" w:hAnsi="Times New Roman"/>
        </w:rPr>
        <w:t xml:space="preserve">Na základe oficiálnej žiadosti Rakúskej vlády predloženej predsedníčke ÚJD SR bola v dňoch 6. a 7. </w:t>
      </w:r>
      <w:r w:rsidR="00747CFE">
        <w:rPr>
          <w:rFonts w:ascii="Times New Roman" w:hAnsi="Times New Roman"/>
        </w:rPr>
        <w:t>júna</w:t>
      </w:r>
      <w:r>
        <w:rPr>
          <w:rFonts w:ascii="Times New Roman" w:hAnsi="Times New Roman"/>
        </w:rPr>
        <w:t xml:space="preserve"> 2011 </w:t>
      </w:r>
      <w:r w:rsidR="0086433D">
        <w:rPr>
          <w:rFonts w:ascii="Times New Roman" w:hAnsi="Times New Roman"/>
        </w:rPr>
        <w:t xml:space="preserve">sprístupnená </w:t>
      </w:r>
      <w:r>
        <w:rPr>
          <w:rFonts w:ascii="Times New Roman" w:hAnsi="Times New Roman"/>
        </w:rPr>
        <w:t>rakúskym expertom Predbežná bezpečnostná správa (PRESAR) k projektu 3. a 4. bloku AE Mochovce. Skupina expertov vedená zástupcom Federálneho ministerstva pôdohospodárstva, lesného a vodného hospodárstva a životného prostredia Rakúska študovala sprístupnenú dokumentáciu s možnosťou konzultovať s prítomnými zástupcami ÚJD SR a</w:t>
      </w:r>
      <w:r w:rsidR="00A703C2">
        <w:rPr>
          <w:rFonts w:ascii="Times New Roman" w:hAnsi="Times New Roman"/>
        </w:rPr>
        <w:t> </w:t>
      </w:r>
      <w:r>
        <w:rPr>
          <w:rFonts w:ascii="Times New Roman" w:hAnsi="Times New Roman"/>
        </w:rPr>
        <w:t>SE</w:t>
      </w:r>
      <w:r w:rsidR="00A703C2">
        <w:rPr>
          <w:rFonts w:ascii="Times New Roman" w:hAnsi="Times New Roman"/>
        </w:rPr>
        <w:t>,</w:t>
      </w:r>
      <w:r>
        <w:rPr>
          <w:rFonts w:ascii="Times New Roman" w:hAnsi="Times New Roman"/>
        </w:rPr>
        <w:t xml:space="preserve"> a.</w:t>
      </w:r>
      <w:r w:rsidR="00A703C2">
        <w:rPr>
          <w:rFonts w:ascii="Times New Roman" w:hAnsi="Times New Roman"/>
        </w:rPr>
        <w:t> </w:t>
      </w:r>
      <w:r>
        <w:rPr>
          <w:rFonts w:ascii="Times New Roman" w:hAnsi="Times New Roman"/>
        </w:rPr>
        <w:t>s.</w:t>
      </w:r>
    </w:p>
    <w:p w:rsidR="004017B4" w:rsidP="004017B4">
      <w:pPr>
        <w:bidi w:val="0"/>
        <w:jc w:val="both"/>
        <w:rPr>
          <w:rFonts w:ascii="Times New Roman" w:hAnsi="Times New Roman"/>
        </w:rPr>
      </w:pPr>
      <w:r>
        <w:rPr>
          <w:rFonts w:ascii="Times New Roman" w:hAnsi="Times New Roman"/>
          <w:iCs/>
        </w:rPr>
        <w:t>V júli 2011 sa v Bratislave uskutočnilo bilaterálne stretnutie na základe Dohody medzi Ministerstvom hospodárstva SR a Federálnym dozorom Ruska pre jadrovú a radiačnú bezpečnosť (ROSTECHNADZOR) o spolupráci v oblasti štátneho dozoru nad bezpečnosťou pri využívaní jadrovej energie. B</w:t>
      </w:r>
      <w:r w:rsidRPr="00E9631B">
        <w:rPr>
          <w:rFonts w:ascii="Times New Roman" w:hAnsi="Times New Roman"/>
          <w:iCs/>
        </w:rPr>
        <w:t xml:space="preserve">ilaterálne stretnutie </w:t>
      </w:r>
      <w:r>
        <w:rPr>
          <w:rFonts w:ascii="Times New Roman" w:hAnsi="Times New Roman"/>
          <w:iCs/>
        </w:rPr>
        <w:t>ÚJD</w:t>
      </w:r>
      <w:r w:rsidR="00747CFE">
        <w:rPr>
          <w:rFonts w:ascii="Times New Roman" w:hAnsi="Times New Roman"/>
          <w:iCs/>
        </w:rPr>
        <w:t xml:space="preserve"> SR</w:t>
      </w:r>
      <w:r>
        <w:rPr>
          <w:rFonts w:ascii="Times New Roman" w:hAnsi="Times New Roman"/>
          <w:iCs/>
        </w:rPr>
        <w:t xml:space="preserve"> </w:t>
      </w:r>
      <w:r w:rsidRPr="00E9631B">
        <w:rPr>
          <w:rFonts w:ascii="Times New Roman" w:hAnsi="Times New Roman"/>
          <w:iCs/>
        </w:rPr>
        <w:t>a  R</w:t>
      </w:r>
      <w:r>
        <w:rPr>
          <w:rFonts w:ascii="Times New Roman" w:hAnsi="Times New Roman"/>
          <w:iCs/>
        </w:rPr>
        <w:t>OSTECHNADZOR-u</w:t>
      </w:r>
      <w:r w:rsidRPr="00E9631B">
        <w:rPr>
          <w:rFonts w:ascii="Times New Roman" w:hAnsi="Times New Roman"/>
          <w:iCs/>
        </w:rPr>
        <w:t xml:space="preserve"> bolo zameran</w:t>
      </w:r>
      <w:r>
        <w:rPr>
          <w:rFonts w:ascii="Times New Roman" w:hAnsi="Times New Roman"/>
          <w:iCs/>
        </w:rPr>
        <w:t>é</w:t>
      </w:r>
      <w:r w:rsidRPr="00E9631B">
        <w:rPr>
          <w:rFonts w:ascii="Times New Roman" w:hAnsi="Times New Roman"/>
          <w:iCs/>
        </w:rPr>
        <w:t xml:space="preserve"> na </w:t>
      </w:r>
      <w:r>
        <w:rPr>
          <w:rFonts w:ascii="Times New Roman" w:hAnsi="Times New Roman"/>
          <w:iCs/>
        </w:rPr>
        <w:t xml:space="preserve">aktivity </w:t>
      </w:r>
      <w:r w:rsidRPr="00E9631B">
        <w:rPr>
          <w:rFonts w:ascii="Times New Roman" w:hAnsi="Times New Roman"/>
          <w:iCs/>
        </w:rPr>
        <w:t>dozorných orgánov vyplývajúce</w:t>
      </w:r>
      <w:r>
        <w:rPr>
          <w:rFonts w:ascii="Times New Roman" w:hAnsi="Times New Roman"/>
          <w:iCs/>
        </w:rPr>
        <w:t xml:space="preserve"> zo situácie po udalostiach v Japonsku a tiež na </w:t>
      </w:r>
      <w:r w:rsidRPr="00E9631B">
        <w:rPr>
          <w:rFonts w:ascii="Times New Roman" w:hAnsi="Times New Roman"/>
          <w:iCs/>
        </w:rPr>
        <w:t>aktuálne otázky činnosti dozorných orgánov</w:t>
      </w:r>
      <w:r>
        <w:rPr>
          <w:rFonts w:ascii="Times New Roman" w:hAnsi="Times New Roman"/>
          <w:iCs/>
        </w:rPr>
        <w:t>.</w:t>
      </w:r>
    </w:p>
    <w:p w:rsidR="004017B4" w:rsidP="004017B4">
      <w:pPr>
        <w:bidi w:val="0"/>
        <w:jc w:val="both"/>
        <w:rPr>
          <w:rFonts w:ascii="Times New Roman" w:hAnsi="Times New Roman"/>
        </w:rPr>
      </w:pPr>
      <w:r w:rsidR="00A703C2">
        <w:rPr>
          <w:rFonts w:ascii="Times New Roman" w:hAnsi="Times New Roman"/>
        </w:rPr>
        <w:t>P</w:t>
      </w:r>
      <w:r>
        <w:rPr>
          <w:rFonts w:ascii="Times New Roman" w:hAnsi="Times New Roman"/>
        </w:rPr>
        <w:t>redsedníčka ÚJD</w:t>
      </w:r>
      <w:r w:rsidR="00747CFE">
        <w:rPr>
          <w:rFonts w:ascii="Times New Roman" w:hAnsi="Times New Roman"/>
        </w:rPr>
        <w:t xml:space="preserve"> SR </w:t>
      </w:r>
      <w:r>
        <w:rPr>
          <w:rFonts w:ascii="Times New Roman" w:hAnsi="Times New Roman"/>
        </w:rPr>
        <w:t xml:space="preserve">v dňoch 8.-14. </w:t>
      </w:r>
      <w:r w:rsidR="00747CFE">
        <w:rPr>
          <w:rFonts w:ascii="Times New Roman" w:hAnsi="Times New Roman"/>
        </w:rPr>
        <w:t>októbra</w:t>
      </w:r>
      <w:r>
        <w:rPr>
          <w:rFonts w:ascii="Times New Roman" w:hAnsi="Times New Roman"/>
        </w:rPr>
        <w:t xml:space="preserve"> 2011 </w:t>
      </w:r>
      <w:r w:rsidR="00A703C2">
        <w:rPr>
          <w:rFonts w:ascii="Times New Roman" w:hAnsi="Times New Roman"/>
        </w:rPr>
        <w:t xml:space="preserve">navštívila </w:t>
      </w:r>
      <w:r>
        <w:rPr>
          <w:rFonts w:ascii="Times New Roman" w:hAnsi="Times New Roman"/>
        </w:rPr>
        <w:t>Indonéziu, kde sa stretla s vrcholovými predstaviteľmi Agentúry pre jadrový dozor Indonézie (BAPETEN). Počas stretnutia bolo podpísané Memorandum o porozumení medzi ÚJD</w:t>
      </w:r>
      <w:r w:rsidR="00747CFE">
        <w:rPr>
          <w:rFonts w:ascii="Times New Roman" w:hAnsi="Times New Roman"/>
        </w:rPr>
        <w:t xml:space="preserve"> SR</w:t>
      </w:r>
      <w:r>
        <w:rPr>
          <w:rFonts w:ascii="Times New Roman" w:hAnsi="Times New Roman"/>
        </w:rPr>
        <w:t xml:space="preserve"> a BAPETEN o výmene technických informácií a spolupráci v oblasti jadrovej bezpečnosti. Na pozvanie predsedníčky ÚJD </w:t>
      </w:r>
      <w:r w:rsidR="0086433D">
        <w:rPr>
          <w:rFonts w:ascii="Times New Roman" w:hAnsi="Times New Roman"/>
        </w:rPr>
        <w:t xml:space="preserve">SR </w:t>
      </w:r>
      <w:r>
        <w:rPr>
          <w:rFonts w:ascii="Times New Roman" w:hAnsi="Times New Roman"/>
        </w:rPr>
        <w:t>sa následne v dec</w:t>
      </w:r>
      <w:r w:rsidR="00747CFE">
        <w:rPr>
          <w:rFonts w:ascii="Times New Roman" w:hAnsi="Times New Roman"/>
        </w:rPr>
        <w:t>e</w:t>
      </w:r>
      <w:r>
        <w:rPr>
          <w:rFonts w:ascii="Times New Roman" w:hAnsi="Times New Roman"/>
        </w:rPr>
        <w:t>mbri uskutočnilo v</w:t>
      </w:r>
      <w:r w:rsidR="00C52983">
        <w:rPr>
          <w:rFonts w:ascii="Times New Roman" w:hAnsi="Times New Roman"/>
        </w:rPr>
        <w:t> </w:t>
      </w:r>
      <w:r>
        <w:rPr>
          <w:rFonts w:ascii="Times New Roman" w:hAnsi="Times New Roman"/>
        </w:rPr>
        <w:t>Bratislave</w:t>
      </w:r>
      <w:r w:rsidR="00C52983">
        <w:rPr>
          <w:rFonts w:ascii="Times New Roman" w:hAnsi="Times New Roman"/>
        </w:rPr>
        <w:t>,</w:t>
      </w:r>
      <w:r>
        <w:rPr>
          <w:rFonts w:ascii="Times New Roman" w:hAnsi="Times New Roman"/>
        </w:rPr>
        <w:t xml:space="preserve"> aj za účasti veľvyslanca Indonézie v</w:t>
      </w:r>
      <w:r w:rsidR="00C52983">
        <w:rPr>
          <w:rFonts w:ascii="Times New Roman" w:hAnsi="Times New Roman"/>
        </w:rPr>
        <w:t> </w:t>
      </w:r>
      <w:r>
        <w:rPr>
          <w:rFonts w:ascii="Times New Roman" w:hAnsi="Times New Roman"/>
        </w:rPr>
        <w:t>SR</w:t>
      </w:r>
      <w:r w:rsidR="00C52983">
        <w:rPr>
          <w:rFonts w:ascii="Times New Roman" w:hAnsi="Times New Roman"/>
        </w:rPr>
        <w:t>,</w:t>
      </w:r>
      <w:r>
        <w:rPr>
          <w:rFonts w:ascii="Times New Roman" w:hAnsi="Times New Roman"/>
        </w:rPr>
        <w:t xml:space="preserve"> bilaterálne stretnutie ÚJD SR a BAPETEN, kde sa diskutovalo predovšetkým o možnostiach budúcej spolupráce medzi jadrovými dozormi oboch krajín.  </w:t>
      </w:r>
    </w:p>
    <w:p w:rsidR="00FE5974" w:rsidRPr="004017B4" w:rsidP="00747CFE">
      <w:pPr>
        <w:pStyle w:val="BodyTextIndent"/>
        <w:bidi w:val="0"/>
        <w:ind w:left="0" w:firstLine="0"/>
        <w:jc w:val="both"/>
        <w:rPr>
          <w:rFonts w:ascii="Times New Roman" w:hAnsi="Times New Roman"/>
          <w:lang w:val="sk-SK" w:eastAsia="x-none"/>
        </w:rPr>
      </w:pPr>
      <w:r w:rsidR="004017B4">
        <w:rPr>
          <w:rFonts w:ascii="Times New Roman" w:hAnsi="Times New Roman"/>
        </w:rPr>
        <w:t>V spolupráci s </w:t>
      </w:r>
      <w:r w:rsidR="00C066BB">
        <w:rPr>
          <w:rFonts w:ascii="Times New Roman" w:hAnsi="Times New Roman"/>
          <w:lang w:val="sk-SK" w:eastAsia="x-none"/>
        </w:rPr>
        <w:t>v</w:t>
      </w:r>
      <w:r w:rsidR="004017B4">
        <w:rPr>
          <w:rFonts w:ascii="Times New Roman" w:hAnsi="Times New Roman"/>
        </w:rPr>
        <w:t>eľvyslanectvom SR v Kuala Lumpur zorganizoval ÚJD</w:t>
      </w:r>
      <w:r w:rsidR="00747CFE">
        <w:rPr>
          <w:rFonts w:ascii="Times New Roman" w:hAnsi="Times New Roman"/>
          <w:lang w:val="sk-SK" w:eastAsia="x-none"/>
        </w:rPr>
        <w:t xml:space="preserve"> SR</w:t>
      </w:r>
      <w:r w:rsidR="004017B4">
        <w:rPr>
          <w:rFonts w:ascii="Times New Roman" w:hAnsi="Times New Roman"/>
        </w:rPr>
        <w:t xml:space="preserve"> v septembr</w:t>
      </w:r>
      <w:r w:rsidR="004017B4">
        <w:rPr>
          <w:rFonts w:ascii="Times New Roman" w:hAnsi="Times New Roman"/>
          <w:lang w:val="sk-SK" w:eastAsia="x-none"/>
        </w:rPr>
        <w:t>i</w:t>
      </w:r>
      <w:r w:rsidR="004017B4">
        <w:rPr>
          <w:rFonts w:ascii="Times New Roman" w:hAnsi="Times New Roman"/>
        </w:rPr>
        <w:t xml:space="preserve"> 2011 bilaterálne stretnutie slovenských organizácií (ÚJD</w:t>
      </w:r>
      <w:r w:rsidR="004017B4">
        <w:rPr>
          <w:rFonts w:ascii="Times New Roman" w:hAnsi="Times New Roman"/>
          <w:lang w:val="sk-SK" w:eastAsia="x-none"/>
        </w:rPr>
        <w:t xml:space="preserve"> SR</w:t>
      </w:r>
      <w:r w:rsidR="004017B4">
        <w:rPr>
          <w:rFonts w:ascii="Times New Roman" w:hAnsi="Times New Roman"/>
        </w:rPr>
        <w:t>, VUJE</w:t>
      </w:r>
      <w:r w:rsidR="004017B4">
        <w:rPr>
          <w:rFonts w:ascii="Times New Roman" w:hAnsi="Times New Roman"/>
          <w:lang w:val="sk-SK" w:eastAsia="x-none"/>
        </w:rPr>
        <w:t>, a.</w:t>
      </w:r>
      <w:r w:rsidR="00C066BB">
        <w:rPr>
          <w:rFonts w:ascii="Times New Roman" w:hAnsi="Times New Roman"/>
          <w:lang w:val="sk-SK" w:eastAsia="x-none"/>
        </w:rPr>
        <w:t> </w:t>
      </w:r>
      <w:r w:rsidR="004017B4">
        <w:rPr>
          <w:rFonts w:ascii="Times New Roman" w:hAnsi="Times New Roman"/>
          <w:lang w:val="sk-SK" w:eastAsia="x-none"/>
        </w:rPr>
        <w:t>s.</w:t>
      </w:r>
      <w:r w:rsidR="004017B4">
        <w:rPr>
          <w:rFonts w:ascii="Times New Roman" w:hAnsi="Times New Roman"/>
        </w:rPr>
        <w:t>, JAVYS</w:t>
      </w:r>
      <w:r w:rsidR="004017B4">
        <w:rPr>
          <w:rFonts w:ascii="Times New Roman" w:hAnsi="Times New Roman"/>
          <w:lang w:val="sk-SK" w:eastAsia="x-none"/>
        </w:rPr>
        <w:t>, a.</w:t>
      </w:r>
      <w:r w:rsidR="00C066BB">
        <w:rPr>
          <w:rFonts w:ascii="Times New Roman" w:hAnsi="Times New Roman"/>
          <w:lang w:val="sk-SK" w:eastAsia="x-none"/>
        </w:rPr>
        <w:t> </w:t>
      </w:r>
      <w:r w:rsidR="004017B4">
        <w:rPr>
          <w:rFonts w:ascii="Times New Roman" w:hAnsi="Times New Roman"/>
          <w:lang w:val="sk-SK" w:eastAsia="x-none"/>
        </w:rPr>
        <w:t>s.</w:t>
      </w:r>
      <w:r w:rsidR="004017B4">
        <w:rPr>
          <w:rFonts w:ascii="Times New Roman" w:hAnsi="Times New Roman"/>
        </w:rPr>
        <w:t>, SE,</w:t>
      </w:r>
      <w:r w:rsidR="00DA5FA4">
        <w:rPr>
          <w:rFonts w:ascii="Times New Roman" w:hAnsi="Times New Roman"/>
          <w:lang w:val="sk-SK" w:eastAsia="x-none"/>
        </w:rPr>
        <w:t xml:space="preserve"> </w:t>
      </w:r>
      <w:r w:rsidR="004017B4">
        <w:rPr>
          <w:rFonts w:ascii="Times New Roman" w:hAnsi="Times New Roman"/>
          <w:lang w:val="sk-SK" w:eastAsia="x-none"/>
        </w:rPr>
        <w:t>a.</w:t>
      </w:r>
      <w:r w:rsidR="00C066BB">
        <w:rPr>
          <w:rFonts w:ascii="Times New Roman" w:hAnsi="Times New Roman"/>
          <w:lang w:val="sk-SK" w:eastAsia="x-none"/>
        </w:rPr>
        <w:t> </w:t>
      </w:r>
      <w:r w:rsidR="004017B4">
        <w:rPr>
          <w:rFonts w:ascii="Times New Roman" w:hAnsi="Times New Roman"/>
          <w:lang w:val="sk-SK" w:eastAsia="x-none"/>
        </w:rPr>
        <w:t xml:space="preserve">s. </w:t>
      </w:r>
      <w:r w:rsidR="004017B4">
        <w:rPr>
          <w:rFonts w:ascii="Times New Roman" w:hAnsi="Times New Roman"/>
        </w:rPr>
        <w:t>JESS</w:t>
      </w:r>
      <w:r w:rsidR="004017B4">
        <w:rPr>
          <w:rFonts w:ascii="Times New Roman" w:hAnsi="Times New Roman"/>
          <w:lang w:val="sk-SK" w:eastAsia="x-none"/>
        </w:rPr>
        <w:t>, a.</w:t>
      </w:r>
      <w:r w:rsidR="00C066BB">
        <w:rPr>
          <w:rFonts w:ascii="Times New Roman" w:hAnsi="Times New Roman"/>
          <w:lang w:val="sk-SK" w:eastAsia="x-none"/>
        </w:rPr>
        <w:t> </w:t>
      </w:r>
      <w:r w:rsidR="004017B4">
        <w:rPr>
          <w:rFonts w:ascii="Times New Roman" w:hAnsi="Times New Roman"/>
          <w:lang w:val="sk-SK" w:eastAsia="x-none"/>
        </w:rPr>
        <w:t>s.</w:t>
      </w:r>
      <w:r w:rsidR="004017B4">
        <w:rPr>
          <w:rFonts w:ascii="Times New Roman" w:hAnsi="Times New Roman"/>
        </w:rPr>
        <w:t>, OIK) so zástupcami Malajzijskej jadrovej agentúry za účelom prediskutovania potenciálnych okruhov spolupráce medzi krajinami v oblasti jadrovej energetiky</w:t>
      </w:r>
      <w:r w:rsidR="0086433D">
        <w:rPr>
          <w:rFonts w:ascii="Times New Roman" w:hAnsi="Times New Roman"/>
          <w:lang w:val="sk-SK" w:eastAsia="x-none"/>
        </w:rPr>
        <w:t xml:space="preserve"> a jadrovej bezpečnosti</w:t>
      </w:r>
      <w:r w:rsidR="004017B4">
        <w:rPr>
          <w:rFonts w:ascii="Times New Roman" w:hAnsi="Times New Roman"/>
        </w:rPr>
        <w:t xml:space="preserve">. Malajzijskej strane boli prezentované skúsenosti s odborným vzdelávaním jadrových expertov v SR, s bezpečnosťou </w:t>
      </w:r>
      <w:r w:rsidR="004017B4">
        <w:rPr>
          <w:rFonts w:ascii="Times New Roman" w:hAnsi="Times New Roman"/>
          <w:lang w:val="sk-SK" w:eastAsia="x-none"/>
        </w:rPr>
        <w:t>A</w:t>
      </w:r>
      <w:r w:rsidR="004017B4">
        <w:rPr>
          <w:rFonts w:ascii="Times New Roman" w:hAnsi="Times New Roman"/>
        </w:rPr>
        <w:t>E, s nakladaním s RAO a v oblasti práce s verejnosťou.</w:t>
      </w:r>
    </w:p>
    <w:p w:rsidR="00FE5974" w:rsidP="00747CFE">
      <w:pPr>
        <w:bidi w:val="0"/>
        <w:jc w:val="both"/>
        <w:rPr>
          <w:rFonts w:ascii="Times New Roman" w:hAnsi="Times New Roman"/>
        </w:rPr>
      </w:pPr>
      <w:r w:rsidR="004017B4">
        <w:rPr>
          <w:rFonts w:ascii="Times New Roman" w:hAnsi="Times New Roman"/>
        </w:rPr>
        <w:t xml:space="preserve">V októbri navštívila ÚJD SR delegácia japonskej Komisie pre jadrovú bezpečnosť, ktorá prezentovala </w:t>
      </w:r>
      <w:r w:rsidR="00CB3AA9">
        <w:rPr>
          <w:rFonts w:ascii="Times New Roman" w:hAnsi="Times New Roman"/>
        </w:rPr>
        <w:t>informácie o</w:t>
      </w:r>
      <w:r w:rsidR="004017B4">
        <w:rPr>
          <w:rFonts w:ascii="Times New Roman" w:hAnsi="Times New Roman"/>
        </w:rPr>
        <w:t xml:space="preserve"> udalost</w:t>
      </w:r>
      <w:r w:rsidR="00CB3AA9">
        <w:rPr>
          <w:rFonts w:ascii="Times New Roman" w:hAnsi="Times New Roman"/>
        </w:rPr>
        <w:t>iach</w:t>
      </w:r>
      <w:r w:rsidR="004017B4">
        <w:rPr>
          <w:rFonts w:ascii="Times New Roman" w:hAnsi="Times New Roman"/>
        </w:rPr>
        <w:t xml:space="preserve"> na AE Fuku</w:t>
      </w:r>
      <w:r w:rsidR="00517ABE">
        <w:rPr>
          <w:rFonts w:ascii="Times New Roman" w:hAnsi="Times New Roman"/>
        </w:rPr>
        <w:t>š</w:t>
      </w:r>
      <w:r w:rsidR="004017B4">
        <w:rPr>
          <w:rFonts w:ascii="Times New Roman" w:hAnsi="Times New Roman"/>
        </w:rPr>
        <w:t xml:space="preserve">ima, ako aj prehľad priebehu záťažových testov na japonských </w:t>
      </w:r>
      <w:r w:rsidR="00747CFE">
        <w:rPr>
          <w:rFonts w:ascii="Times New Roman" w:hAnsi="Times New Roman"/>
        </w:rPr>
        <w:t>AE</w:t>
      </w:r>
      <w:r w:rsidR="004017B4">
        <w:rPr>
          <w:rFonts w:ascii="Times New Roman" w:hAnsi="Times New Roman"/>
        </w:rPr>
        <w:t>. Slovenská strana informovala o prístupe k hodnoteniu bezpečnosti AE, o prístupe k bezpečnostným analýzam ťažkých havárií a tiež o opatreniach, ktoré boli prijaté ako reakcia na udalosti v Japonsku.</w:t>
      </w:r>
    </w:p>
    <w:p w:rsidR="00FE5974" w:rsidP="00747CFE">
      <w:pPr>
        <w:bidi w:val="0"/>
        <w:jc w:val="both"/>
        <w:rPr>
          <w:rFonts w:ascii="Times New Roman" w:hAnsi="Times New Roman"/>
        </w:rPr>
      </w:pPr>
    </w:p>
    <w:p w:rsidR="00A16146" w:rsidP="00747CFE">
      <w:pPr>
        <w:bidi w:val="0"/>
        <w:jc w:val="both"/>
        <w:rPr>
          <w:rFonts w:ascii="Times New Roman" w:hAnsi="Times New Roman"/>
        </w:rPr>
      </w:pPr>
    </w:p>
    <w:p w:rsidR="00E00EC8" w:rsidRPr="0039424A" w:rsidP="0039424A">
      <w:pPr>
        <w:pStyle w:val="Heading1"/>
        <w:tabs>
          <w:tab w:val="num" w:pos="709"/>
          <w:tab w:val="clear" w:pos="5747"/>
        </w:tabs>
        <w:bidi w:val="0"/>
        <w:ind w:left="357" w:hanging="357"/>
        <w:rPr>
          <w:rFonts w:ascii="Times New Roman" w:hAnsi="Times New Roman"/>
        </w:rPr>
      </w:pPr>
      <w:bookmarkStart w:id="93" w:name="_Toc158112606"/>
      <w:bookmarkStart w:id="94" w:name="_Toc162317373"/>
      <w:bookmarkStart w:id="95" w:name="_Toc320719742"/>
      <w:r w:rsidRPr="0039424A">
        <w:rPr>
          <w:rFonts w:ascii="Times New Roman" w:hAnsi="Times New Roman"/>
        </w:rPr>
        <w:t>Komunikácia s</w:t>
      </w:r>
      <w:r w:rsidRPr="0039424A" w:rsidR="00C566FA">
        <w:rPr>
          <w:rFonts w:ascii="Times New Roman" w:hAnsi="Times New Roman"/>
        </w:rPr>
        <w:t> </w:t>
      </w:r>
      <w:r w:rsidRPr="0039424A">
        <w:rPr>
          <w:rFonts w:ascii="Times New Roman" w:hAnsi="Times New Roman"/>
        </w:rPr>
        <w:t>verejnosťou</w:t>
      </w:r>
      <w:bookmarkEnd w:id="93"/>
      <w:bookmarkEnd w:id="94"/>
      <w:bookmarkEnd w:id="95"/>
    </w:p>
    <w:p w:rsidR="00C566FA" w:rsidRPr="00C566FA" w:rsidP="00C566FA">
      <w:pPr>
        <w:bidi w:val="0"/>
        <w:rPr>
          <w:rFonts w:ascii="Times New Roman" w:hAnsi="Times New Roman"/>
          <w:lang w:eastAsia="cs-CZ"/>
        </w:rPr>
      </w:pPr>
    </w:p>
    <w:p w:rsidR="00E00EC8" w:rsidRPr="008F06B7" w:rsidP="00950787">
      <w:pPr>
        <w:bidi w:val="0"/>
        <w:jc w:val="both"/>
        <w:rPr>
          <w:rFonts w:ascii="Times New Roman" w:hAnsi="Times New Roman"/>
        </w:rPr>
      </w:pPr>
      <w:bookmarkStart w:id="96" w:name="_Toc158112607"/>
      <w:bookmarkStart w:id="97" w:name="_Toc162317374"/>
      <w:r w:rsidRPr="008F06B7">
        <w:rPr>
          <w:rFonts w:ascii="Times New Roman" w:hAnsi="Times New Roman"/>
        </w:rPr>
        <w:t xml:space="preserve">Vytváranie podmienok pre budovanie dôvery širokej verejnosti prostredníctvom otvoreného prístupu a komunikácie je pre ÚJD SR jednou z priorít práce. </w:t>
      </w:r>
    </w:p>
    <w:p w:rsidR="00950787" w:rsidRPr="00CB3AA9" w:rsidP="00AA6FD7">
      <w:pPr>
        <w:pStyle w:val="BodyText"/>
        <w:bidi w:val="0"/>
        <w:rPr>
          <w:rFonts w:ascii="Times New Roman" w:hAnsi="Times New Roman"/>
          <w:lang w:val="sk-SK"/>
        </w:rPr>
      </w:pPr>
      <w:r w:rsidRPr="008F06B7" w:rsidR="00E00EC8">
        <w:rPr>
          <w:rFonts w:ascii="Times New Roman" w:hAnsi="Times New Roman"/>
        </w:rPr>
        <w:t>ÚJD SR ako ústredný orgán štátnej správy v rámci svojej kompetencie napĺňa požiadavky vyplývajúce zo zákona č. 211/2000 Z. z. o slobodnom prístupe k informáciám</w:t>
      </w:r>
      <w:r w:rsidR="00CB3AA9">
        <w:rPr>
          <w:rFonts w:ascii="Times New Roman" w:hAnsi="Times New Roman"/>
          <w:lang w:val="sk-SK"/>
        </w:rPr>
        <w:t xml:space="preserve"> a o zmene a doplnení niektorých zákonov (zákon o slobode informácií)</w:t>
      </w:r>
      <w:r w:rsidRPr="008F06B7" w:rsidR="00E00EC8">
        <w:rPr>
          <w:rFonts w:ascii="Times New Roman" w:hAnsi="Times New Roman"/>
        </w:rPr>
        <w:t xml:space="preserve">. </w:t>
      </w:r>
      <w:r w:rsidRPr="00B86F11">
        <w:rPr>
          <w:rFonts w:ascii="Times New Roman" w:hAnsi="Times New Roman"/>
        </w:rPr>
        <w:t xml:space="preserve">Právo verejnosti na informácie podľa </w:t>
      </w:r>
      <w:r w:rsidR="00CB3AA9">
        <w:rPr>
          <w:rFonts w:ascii="Times New Roman" w:hAnsi="Times New Roman"/>
          <w:lang w:val="sk-SK"/>
        </w:rPr>
        <w:t xml:space="preserve">uvedeného </w:t>
      </w:r>
      <w:r w:rsidRPr="00B86F11">
        <w:rPr>
          <w:rFonts w:ascii="Times New Roman" w:hAnsi="Times New Roman"/>
        </w:rPr>
        <w:t xml:space="preserve">zákona </w:t>
      </w:r>
      <w:r w:rsidRPr="00B86F11" w:rsidR="00CB3AA9">
        <w:rPr>
          <w:rFonts w:ascii="Times New Roman" w:hAnsi="Times New Roman"/>
        </w:rPr>
        <w:t xml:space="preserve">využilo </w:t>
      </w:r>
      <w:r w:rsidRPr="00B86F11">
        <w:rPr>
          <w:rFonts w:ascii="Times New Roman" w:hAnsi="Times New Roman"/>
        </w:rPr>
        <w:t xml:space="preserve">v roku </w:t>
      </w:r>
      <w:r w:rsidR="00CB3AA9">
        <w:rPr>
          <w:rFonts w:ascii="Times New Roman" w:hAnsi="Times New Roman"/>
          <w:lang w:val="sk-SK"/>
        </w:rPr>
        <w:t xml:space="preserve">2011 </w:t>
      </w:r>
      <w:r w:rsidRPr="00B86F11">
        <w:rPr>
          <w:rFonts w:ascii="Times New Roman" w:hAnsi="Times New Roman"/>
        </w:rPr>
        <w:t xml:space="preserve">spolu 20 právnických a fyzických osôb, ktoré podali 34 žiadostí o informácie. </w:t>
      </w:r>
      <w:r w:rsidR="00CB3AA9">
        <w:rPr>
          <w:rFonts w:ascii="Times New Roman" w:hAnsi="Times New Roman"/>
          <w:lang w:val="sk-SK"/>
        </w:rPr>
        <w:t>Z</w:t>
      </w:r>
      <w:r w:rsidRPr="00B86F11">
        <w:rPr>
          <w:rFonts w:ascii="Times New Roman" w:hAnsi="Times New Roman"/>
        </w:rPr>
        <w:t xml:space="preserve">o zaevidovaných žiadosti </w:t>
      </w:r>
      <w:r>
        <w:rPr>
          <w:rFonts w:ascii="Times New Roman" w:hAnsi="Times New Roman"/>
        </w:rPr>
        <w:t>ÚJD SR</w:t>
      </w:r>
      <w:r w:rsidRPr="00B86F11">
        <w:rPr>
          <w:rFonts w:ascii="Times New Roman" w:hAnsi="Times New Roman"/>
        </w:rPr>
        <w:t xml:space="preserve"> v 25 prípadoch požadované informácie sprístupnil, v 4 prípadoch žiadateľovi nevyhovel a 5 žiadostí postúpil inej kompetentnej organizácii. </w:t>
      </w:r>
      <w:r w:rsidRPr="00B86F11" w:rsidR="00CB3AA9">
        <w:rPr>
          <w:rFonts w:ascii="Times New Roman" w:hAnsi="Times New Roman"/>
        </w:rPr>
        <w:t xml:space="preserve">Jednému žiadateľovi bolo vydané rozhodnutie o nesprístupnení informácií a 3 žiadateľom sa vydalo rozhodnutie o odmietnutí informácií, nakoľko nimi </w:t>
      </w:r>
      <w:r w:rsidR="00CB3AA9">
        <w:rPr>
          <w:rFonts w:ascii="Times New Roman" w:hAnsi="Times New Roman"/>
        </w:rPr>
        <w:t>ÚJD SR</w:t>
      </w:r>
      <w:r w:rsidRPr="00B86F11" w:rsidR="00CB3AA9">
        <w:rPr>
          <w:rFonts w:ascii="Times New Roman" w:hAnsi="Times New Roman"/>
        </w:rPr>
        <w:t xml:space="preserve"> nedisponoval a nemal vedomosť o inej povinnej osobe, ktorá by takéto informácie mala</w:t>
      </w:r>
      <w:r w:rsidR="00CB3AA9">
        <w:rPr>
          <w:rFonts w:ascii="Times New Roman" w:hAnsi="Times New Roman"/>
          <w:lang w:val="sk-SK"/>
        </w:rPr>
        <w:t>.</w:t>
      </w:r>
    </w:p>
    <w:p w:rsidR="00950787" w:rsidRPr="0086433D" w:rsidP="00950787">
      <w:pPr>
        <w:pStyle w:val="BodyText"/>
        <w:bidi w:val="0"/>
        <w:rPr>
          <w:rFonts w:ascii="Times New Roman" w:hAnsi="Times New Roman"/>
          <w:lang w:val="sk-SK"/>
        </w:rPr>
      </w:pPr>
      <w:r>
        <w:rPr>
          <w:rFonts w:ascii="Times New Roman" w:hAnsi="Times New Roman"/>
          <w:lang w:val="sk-SK"/>
        </w:rPr>
        <w:t>Ž</w:t>
      </w:r>
      <w:r w:rsidRPr="00B86F11">
        <w:rPr>
          <w:rFonts w:ascii="Times New Roman" w:hAnsi="Times New Roman"/>
        </w:rPr>
        <w:t>iadost</w:t>
      </w:r>
      <w:r>
        <w:rPr>
          <w:rFonts w:ascii="Times New Roman" w:hAnsi="Times New Roman"/>
          <w:lang w:val="sk-SK"/>
        </w:rPr>
        <w:t>i</w:t>
      </w:r>
      <w:r w:rsidRPr="00B86F11">
        <w:rPr>
          <w:rFonts w:ascii="Times New Roman" w:hAnsi="Times New Roman"/>
        </w:rPr>
        <w:t xml:space="preserve"> možno tematicky rozdeliť  do</w:t>
      </w:r>
      <w:r>
        <w:rPr>
          <w:rFonts w:ascii="Times New Roman" w:hAnsi="Times New Roman"/>
          <w:lang w:val="sk-SK"/>
        </w:rPr>
        <w:t xml:space="preserve"> nasledovných</w:t>
      </w:r>
      <w:r w:rsidR="0086433D">
        <w:rPr>
          <w:rFonts w:ascii="Times New Roman" w:hAnsi="Times New Roman"/>
        </w:rPr>
        <w:t xml:space="preserve"> oblastí:</w:t>
      </w:r>
    </w:p>
    <w:p w:rsidR="00950787" w:rsidRPr="00B86F11" w:rsidP="00E700F5">
      <w:pPr>
        <w:pStyle w:val="ListParagraph"/>
        <w:numPr>
          <w:numId w:val="13"/>
        </w:numPr>
        <w:autoSpaceDE w:val="0"/>
        <w:autoSpaceDN w:val="0"/>
        <w:bidi w:val="0"/>
        <w:adjustRightInd w:val="0"/>
        <w:ind w:left="360"/>
        <w:contextualSpacing/>
        <w:jc w:val="both"/>
        <w:rPr>
          <w:rFonts w:ascii="Times New Roman" w:hAnsi="Times New Roman"/>
        </w:rPr>
      </w:pPr>
      <w:r>
        <w:rPr>
          <w:rFonts w:ascii="Times New Roman" w:hAnsi="Times New Roman"/>
        </w:rPr>
        <w:t>u</w:t>
      </w:r>
      <w:r w:rsidRPr="00B86F11">
        <w:rPr>
          <w:rFonts w:ascii="Times New Roman" w:hAnsi="Times New Roman"/>
        </w:rPr>
        <w:t>dalosti a poruchy počas prevádzky AE,</w:t>
      </w:r>
    </w:p>
    <w:p w:rsidR="00950787" w:rsidRPr="00B86F11" w:rsidP="00E700F5">
      <w:pPr>
        <w:pStyle w:val="ListParagraph"/>
        <w:numPr>
          <w:numId w:val="13"/>
        </w:numPr>
        <w:autoSpaceDE w:val="0"/>
        <w:autoSpaceDN w:val="0"/>
        <w:bidi w:val="0"/>
        <w:adjustRightInd w:val="0"/>
        <w:ind w:left="360"/>
        <w:contextualSpacing/>
        <w:jc w:val="both"/>
        <w:rPr>
          <w:rFonts w:ascii="Times New Roman" w:hAnsi="Times New Roman"/>
        </w:rPr>
      </w:pPr>
      <w:r w:rsidRPr="00B86F11">
        <w:rPr>
          <w:rFonts w:ascii="Times New Roman" w:hAnsi="Times New Roman"/>
        </w:rPr>
        <w:t xml:space="preserve">informácie týkajúce sa procesu záťažových testov AE </w:t>
      </w:r>
      <w:r>
        <w:rPr>
          <w:rFonts w:ascii="Times New Roman" w:hAnsi="Times New Roman"/>
        </w:rPr>
        <w:t>v</w:t>
      </w:r>
      <w:r w:rsidRPr="00B86F11">
        <w:rPr>
          <w:rFonts w:ascii="Times New Roman" w:hAnsi="Times New Roman"/>
        </w:rPr>
        <w:t xml:space="preserve"> S</w:t>
      </w:r>
      <w:r>
        <w:rPr>
          <w:rFonts w:ascii="Times New Roman" w:hAnsi="Times New Roman"/>
        </w:rPr>
        <w:t>R</w:t>
      </w:r>
      <w:r w:rsidRPr="00B86F11">
        <w:rPr>
          <w:rFonts w:ascii="Times New Roman" w:hAnsi="Times New Roman"/>
        </w:rPr>
        <w:t xml:space="preserve">, </w:t>
      </w:r>
    </w:p>
    <w:p w:rsidR="00950787" w:rsidRPr="00B86F11" w:rsidP="00E700F5">
      <w:pPr>
        <w:pStyle w:val="ListParagraph"/>
        <w:numPr>
          <w:numId w:val="13"/>
        </w:numPr>
        <w:autoSpaceDE w:val="0"/>
        <w:autoSpaceDN w:val="0"/>
        <w:bidi w:val="0"/>
        <w:adjustRightInd w:val="0"/>
        <w:ind w:left="360"/>
        <w:contextualSpacing/>
        <w:jc w:val="both"/>
        <w:rPr>
          <w:rFonts w:ascii="Times New Roman" w:hAnsi="Times New Roman"/>
        </w:rPr>
      </w:pPr>
      <w:r w:rsidRPr="00B86F11">
        <w:rPr>
          <w:rFonts w:ascii="Times New Roman" w:hAnsi="Times New Roman"/>
        </w:rPr>
        <w:t>finančné záležitosti ÚJD SR,</w:t>
      </w:r>
    </w:p>
    <w:p w:rsidR="00950787" w:rsidRPr="00B86F11" w:rsidP="00AA6FD7">
      <w:pPr>
        <w:pStyle w:val="ListParagraph"/>
        <w:numPr>
          <w:numId w:val="13"/>
        </w:numPr>
        <w:autoSpaceDE w:val="0"/>
        <w:autoSpaceDN w:val="0"/>
        <w:bidi w:val="0"/>
        <w:adjustRightInd w:val="0"/>
        <w:ind w:left="360"/>
        <w:contextualSpacing/>
        <w:jc w:val="both"/>
        <w:rPr>
          <w:rFonts w:ascii="Times New Roman" w:hAnsi="Times New Roman"/>
        </w:rPr>
      </w:pPr>
      <w:r w:rsidRPr="00B86F11">
        <w:rPr>
          <w:rFonts w:ascii="Times New Roman" w:hAnsi="Times New Roman"/>
        </w:rPr>
        <w:t>verejné obstarávanie.</w:t>
      </w:r>
    </w:p>
    <w:p w:rsidR="00950787" w:rsidP="00950787">
      <w:pPr>
        <w:pStyle w:val="ListParagraph"/>
        <w:autoSpaceDE w:val="0"/>
        <w:autoSpaceDN w:val="0"/>
        <w:bidi w:val="0"/>
        <w:adjustRightInd w:val="0"/>
        <w:ind w:left="0"/>
        <w:jc w:val="both"/>
        <w:rPr>
          <w:rFonts w:ascii="Times New Roman" w:hAnsi="Times New Roman"/>
        </w:rPr>
      </w:pPr>
    </w:p>
    <w:p w:rsidR="00CB3AA9" w:rsidRPr="0077492E" w:rsidP="0077492E">
      <w:pPr>
        <w:autoSpaceDE w:val="0"/>
        <w:autoSpaceDN w:val="0"/>
        <w:bidi w:val="0"/>
        <w:adjustRightInd w:val="0"/>
        <w:jc w:val="both"/>
        <w:rPr>
          <w:rFonts w:ascii="Times New Roman" w:hAnsi="Times New Roman"/>
          <w:szCs w:val="24"/>
        </w:rPr>
      </w:pPr>
      <w:r w:rsidRPr="0039424A" w:rsidR="00491607">
        <w:rPr>
          <w:rFonts w:ascii="Times New Roman" w:hAnsi="Times New Roman"/>
          <w:szCs w:val="24"/>
        </w:rPr>
        <w:t xml:space="preserve">Dňa 25. </w:t>
      </w:r>
      <w:r w:rsidR="0039424A">
        <w:rPr>
          <w:rFonts w:ascii="Times New Roman" w:hAnsi="Times New Roman"/>
          <w:szCs w:val="24"/>
        </w:rPr>
        <w:t>októbra</w:t>
      </w:r>
      <w:r w:rsidRPr="0039424A" w:rsidR="00491607">
        <w:rPr>
          <w:rFonts w:ascii="Times New Roman" w:hAnsi="Times New Roman"/>
          <w:szCs w:val="24"/>
        </w:rPr>
        <w:t xml:space="preserve"> 2011 Krajský súd Bratislava II na svojom pojednávaní zamietol žalobu občianskeho združenia Greenpeace, ktorú podal</w:t>
      </w:r>
      <w:r w:rsidR="00335FEA">
        <w:rPr>
          <w:rFonts w:ascii="Times New Roman" w:hAnsi="Times New Roman"/>
          <w:szCs w:val="24"/>
        </w:rPr>
        <w:t>o</w:t>
      </w:r>
      <w:r w:rsidRPr="0039424A" w:rsidR="00491607">
        <w:rPr>
          <w:rFonts w:ascii="Times New Roman" w:hAnsi="Times New Roman"/>
          <w:szCs w:val="24"/>
        </w:rPr>
        <w:t xml:space="preserve"> v</w:t>
      </w:r>
      <w:r w:rsidR="0039424A">
        <w:rPr>
          <w:rFonts w:ascii="Times New Roman" w:hAnsi="Times New Roman"/>
          <w:szCs w:val="24"/>
        </w:rPr>
        <w:t>oči Ú</w:t>
      </w:r>
      <w:r>
        <w:rPr>
          <w:rFonts w:ascii="Times New Roman" w:hAnsi="Times New Roman"/>
          <w:szCs w:val="24"/>
        </w:rPr>
        <w:t>JD</w:t>
      </w:r>
      <w:r w:rsidR="0039424A">
        <w:rPr>
          <w:rFonts w:ascii="Times New Roman" w:hAnsi="Times New Roman"/>
          <w:szCs w:val="24"/>
        </w:rPr>
        <w:t xml:space="preserve"> SR. </w:t>
      </w:r>
      <w:r w:rsidRPr="0039424A" w:rsidR="00491607">
        <w:rPr>
          <w:rFonts w:ascii="Times New Roman" w:hAnsi="Times New Roman"/>
          <w:szCs w:val="24"/>
        </w:rPr>
        <w:t>Podnetom k žalobe bolo rozhodnutie ÚJD SR, nesprístupniť dokument – Predbežná bezpečnostná správa AE Mochovce 3.a 4. blok, ktorú si žiadalo združenie Greenpeace</w:t>
      </w:r>
      <w:r w:rsidRPr="00335FEA" w:rsidR="00335FEA">
        <w:rPr>
          <w:rFonts w:ascii="Times New Roman" w:hAnsi="Times New Roman"/>
          <w:szCs w:val="24"/>
        </w:rPr>
        <w:t xml:space="preserve"> </w:t>
      </w:r>
      <w:r w:rsidRPr="0039424A" w:rsidR="00335FEA">
        <w:rPr>
          <w:rFonts w:ascii="Times New Roman" w:hAnsi="Times New Roman"/>
          <w:szCs w:val="24"/>
        </w:rPr>
        <w:t xml:space="preserve">podľa zákona </w:t>
      </w:r>
      <w:r w:rsidR="00335FEA">
        <w:rPr>
          <w:rFonts w:ascii="Times New Roman" w:hAnsi="Times New Roman"/>
          <w:szCs w:val="24"/>
        </w:rPr>
        <w:t>o slobode informácií</w:t>
      </w:r>
      <w:r w:rsidRPr="0039424A" w:rsidR="00491607">
        <w:rPr>
          <w:rFonts w:ascii="Times New Roman" w:hAnsi="Times New Roman"/>
          <w:szCs w:val="24"/>
        </w:rPr>
        <w:t>.</w:t>
      </w:r>
      <w:r w:rsidR="0086433D">
        <w:rPr>
          <w:rFonts w:ascii="Times New Roman" w:hAnsi="Times New Roman"/>
          <w:szCs w:val="24"/>
        </w:rPr>
        <w:t xml:space="preserve"> </w:t>
      </w:r>
      <w:r w:rsidRPr="00491607" w:rsidR="00491607">
        <w:rPr>
          <w:rFonts w:ascii="Times New Roman" w:hAnsi="Times New Roman"/>
          <w:szCs w:val="24"/>
        </w:rPr>
        <w:t>Súd posúdil predložené argumenty oboch strán a vyriekol rozhodnutie, že ÚJD SR postupoval správn</w:t>
      </w:r>
      <w:r w:rsidR="00AA6FD7">
        <w:rPr>
          <w:rFonts w:ascii="Times New Roman" w:hAnsi="Times New Roman"/>
          <w:szCs w:val="24"/>
        </w:rPr>
        <w:t>e a v súlade s legislatívou SR.</w:t>
      </w:r>
    </w:p>
    <w:p w:rsidR="00950787" w:rsidRPr="00B86F11" w:rsidP="00950787">
      <w:pPr>
        <w:pStyle w:val="ListParagraph"/>
        <w:autoSpaceDE w:val="0"/>
        <w:autoSpaceDN w:val="0"/>
        <w:bidi w:val="0"/>
        <w:adjustRightInd w:val="0"/>
        <w:ind w:left="0"/>
        <w:jc w:val="both"/>
        <w:rPr>
          <w:rFonts w:ascii="Times New Roman" w:hAnsi="Times New Roman"/>
        </w:rPr>
      </w:pPr>
      <w:r>
        <w:rPr>
          <w:rFonts w:ascii="Times New Roman" w:hAnsi="Times New Roman"/>
        </w:rPr>
        <w:t>ÚJD SR navyše umožňuje verejnosti a médiám komunikovať prostredníctvom špeciálnej adresy na webovej stránke (</w:t>
      </w:r>
      <w:hyperlink r:id="rId6" w:history="1">
        <w:r w:rsidRPr="00000B13">
          <w:rPr>
            <w:rStyle w:val="Hyperlink"/>
            <w:rFonts w:ascii="Times New Roman" w:hAnsi="Times New Roman"/>
          </w:rPr>
          <w:t>info@ujd.gov.sk</w:t>
        </w:r>
      </w:hyperlink>
      <w:r>
        <w:rPr>
          <w:rFonts w:ascii="Times New Roman" w:hAnsi="Times New Roman"/>
        </w:rPr>
        <w:t xml:space="preserve">). Všetky otázky verejnosti zaslané týmto spôsobom boli zodpovedané. </w:t>
      </w:r>
    </w:p>
    <w:p w:rsidR="00950787" w:rsidP="00E00EC8">
      <w:pPr>
        <w:pStyle w:val="BodyText"/>
        <w:bidi w:val="0"/>
        <w:rPr>
          <w:rFonts w:ascii="Times New Roman" w:hAnsi="Times New Roman"/>
          <w:lang w:val="sk-SK"/>
        </w:rPr>
      </w:pPr>
    </w:p>
    <w:p w:rsidR="00495265" w:rsidRPr="00B86F11" w:rsidP="00495265">
      <w:pPr>
        <w:pStyle w:val="BodyText"/>
        <w:bidi w:val="0"/>
        <w:rPr>
          <w:rFonts w:ascii="Times New Roman" w:hAnsi="Times New Roman"/>
        </w:rPr>
      </w:pPr>
      <w:r w:rsidRPr="00B86F11">
        <w:rPr>
          <w:rFonts w:ascii="Times New Roman" w:hAnsi="Times New Roman"/>
        </w:rPr>
        <w:t>Rok 2011 bol rokom</w:t>
      </w:r>
      <w:r w:rsidR="00CB3AA9">
        <w:rPr>
          <w:rFonts w:ascii="Times New Roman" w:hAnsi="Times New Roman"/>
          <w:lang w:val="sk-SK"/>
        </w:rPr>
        <w:t>,</w:t>
      </w:r>
      <w:r w:rsidRPr="00B86F11">
        <w:rPr>
          <w:rFonts w:ascii="Times New Roman" w:hAnsi="Times New Roman"/>
        </w:rPr>
        <w:t xml:space="preserve"> kedy sa verejnosť, ale aj vládn</w:t>
      </w:r>
      <w:r>
        <w:rPr>
          <w:rFonts w:ascii="Times New Roman" w:hAnsi="Times New Roman"/>
          <w:lang w:val="sk-SK"/>
        </w:rPr>
        <w:t>i</w:t>
      </w:r>
      <w:r w:rsidRPr="00B86F11">
        <w:rPr>
          <w:rFonts w:ascii="Times New Roman" w:hAnsi="Times New Roman"/>
        </w:rPr>
        <w:t xml:space="preserve"> predstavitelia intenzívne dožadovali zrozumiteľných, presných a včasných informácií o stave slovenských AE a AE v zahraničí. </w:t>
      </w:r>
    </w:p>
    <w:p w:rsidR="00495265" w:rsidRPr="00AA6FD7" w:rsidP="00AA6FD7">
      <w:pPr>
        <w:pStyle w:val="BodyText"/>
        <w:bidi w:val="0"/>
        <w:rPr>
          <w:rFonts w:ascii="Times New Roman" w:hAnsi="Times New Roman"/>
          <w:lang w:val="sk-SK"/>
        </w:rPr>
      </w:pPr>
      <w:r w:rsidRPr="00B86F11">
        <w:rPr>
          <w:rFonts w:ascii="Times New Roman" w:hAnsi="Times New Roman"/>
        </w:rPr>
        <w:t>Prírodná katastrofa v Japonsku a následn</w:t>
      </w:r>
      <w:r>
        <w:rPr>
          <w:rFonts w:ascii="Times New Roman" w:hAnsi="Times New Roman"/>
          <w:lang w:val="sk-SK"/>
        </w:rPr>
        <w:t>á</w:t>
      </w:r>
      <w:r w:rsidRPr="00B86F11">
        <w:rPr>
          <w:rFonts w:ascii="Times New Roman" w:hAnsi="Times New Roman"/>
        </w:rPr>
        <w:t xml:space="preserve"> </w:t>
      </w:r>
      <w:r w:rsidR="0086433D">
        <w:rPr>
          <w:rFonts w:ascii="Times New Roman" w:hAnsi="Times New Roman"/>
          <w:lang w:val="sk-SK"/>
        </w:rPr>
        <w:t>havária</w:t>
      </w:r>
      <w:r>
        <w:rPr>
          <w:rFonts w:ascii="Times New Roman" w:hAnsi="Times New Roman"/>
          <w:lang w:val="sk-SK"/>
        </w:rPr>
        <w:t xml:space="preserve"> v</w:t>
      </w:r>
      <w:r w:rsidRPr="00B86F11">
        <w:rPr>
          <w:rFonts w:ascii="Times New Roman" w:hAnsi="Times New Roman"/>
        </w:rPr>
        <w:t xml:space="preserve"> AE Fuku</w:t>
      </w:r>
      <w:r w:rsidR="00517ABE">
        <w:rPr>
          <w:rFonts w:ascii="Times New Roman" w:hAnsi="Times New Roman"/>
          <w:lang w:val="sk-SK"/>
        </w:rPr>
        <w:t>š</w:t>
      </w:r>
      <w:r w:rsidRPr="00B86F11">
        <w:rPr>
          <w:rFonts w:ascii="Times New Roman" w:hAnsi="Times New Roman"/>
        </w:rPr>
        <w:t>im</w:t>
      </w:r>
      <w:r>
        <w:rPr>
          <w:rFonts w:ascii="Times New Roman" w:hAnsi="Times New Roman"/>
          <w:lang w:val="sk-SK"/>
        </w:rPr>
        <w:t>a</w:t>
      </w:r>
      <w:r w:rsidRPr="00B86F11">
        <w:rPr>
          <w:rFonts w:ascii="Times New Roman" w:hAnsi="Times New Roman"/>
        </w:rPr>
        <w:t xml:space="preserve"> vyvolali </w:t>
      </w:r>
      <w:r>
        <w:rPr>
          <w:rFonts w:ascii="Times New Roman" w:hAnsi="Times New Roman"/>
          <w:lang w:val="sk-SK"/>
        </w:rPr>
        <w:t>mimoriadnu</w:t>
      </w:r>
      <w:r w:rsidRPr="00B86F11">
        <w:rPr>
          <w:rFonts w:ascii="Times New Roman" w:hAnsi="Times New Roman"/>
        </w:rPr>
        <w:t xml:space="preserve"> reakciu v celom svete</w:t>
      </w:r>
      <w:r>
        <w:rPr>
          <w:rFonts w:ascii="Times New Roman" w:hAnsi="Times New Roman"/>
          <w:lang w:val="sk-SK"/>
        </w:rPr>
        <w:t xml:space="preserve"> a nápor na dozorné úrady zabezpečiť aktuálne a včasné informovanie verejnosti</w:t>
      </w:r>
      <w:r w:rsidRPr="00B86F11">
        <w:rPr>
          <w:rFonts w:ascii="Times New Roman" w:hAnsi="Times New Roman"/>
        </w:rPr>
        <w:t xml:space="preserve">. </w:t>
      </w:r>
      <w:r>
        <w:rPr>
          <w:rFonts w:ascii="Times New Roman" w:hAnsi="Times New Roman"/>
          <w:lang w:val="sk-SK"/>
        </w:rPr>
        <w:t>ÚJD SR</w:t>
      </w:r>
      <w:r w:rsidRPr="00B86F11">
        <w:rPr>
          <w:rFonts w:ascii="Times New Roman" w:hAnsi="Times New Roman"/>
        </w:rPr>
        <w:t xml:space="preserve"> každý deň zverejňoval potvrdené správy o vývoji situácie v </w:t>
      </w:r>
      <w:r>
        <w:rPr>
          <w:rFonts w:ascii="Times New Roman" w:hAnsi="Times New Roman"/>
          <w:lang w:val="sk-SK"/>
        </w:rPr>
        <w:t xml:space="preserve">AE </w:t>
      </w:r>
      <w:r w:rsidRPr="00B86F11">
        <w:rPr>
          <w:rFonts w:ascii="Times New Roman" w:hAnsi="Times New Roman"/>
        </w:rPr>
        <w:t>Fuku</w:t>
      </w:r>
      <w:r w:rsidR="00517ABE">
        <w:rPr>
          <w:rFonts w:ascii="Times New Roman" w:hAnsi="Times New Roman"/>
          <w:lang w:val="sk-SK"/>
        </w:rPr>
        <w:t>š</w:t>
      </w:r>
      <w:r w:rsidRPr="00B86F11">
        <w:rPr>
          <w:rFonts w:ascii="Times New Roman" w:hAnsi="Times New Roman"/>
        </w:rPr>
        <w:t>im</w:t>
      </w:r>
      <w:r w:rsidR="0086433D">
        <w:rPr>
          <w:rFonts w:ascii="Times New Roman" w:hAnsi="Times New Roman"/>
          <w:lang w:val="sk-SK"/>
        </w:rPr>
        <w:t>a</w:t>
      </w:r>
      <w:r>
        <w:rPr>
          <w:rFonts w:ascii="Times New Roman" w:hAnsi="Times New Roman"/>
          <w:lang w:val="sk-SK"/>
        </w:rPr>
        <w:t xml:space="preserve"> prostredníctvom svojej webovej stránky.</w:t>
      </w:r>
      <w:r w:rsidR="00FF5B20">
        <w:rPr>
          <w:rFonts w:ascii="Times New Roman" w:hAnsi="Times New Roman"/>
          <w:lang w:val="sk-SK"/>
        </w:rPr>
        <w:t xml:space="preserve"> </w:t>
      </w:r>
      <w:r w:rsidRPr="00B86F11">
        <w:rPr>
          <w:rFonts w:ascii="Times New Roman" w:hAnsi="Times New Roman"/>
        </w:rPr>
        <w:t xml:space="preserve">Na </w:t>
      </w:r>
      <w:r>
        <w:rPr>
          <w:rFonts w:ascii="Times New Roman" w:hAnsi="Times New Roman"/>
          <w:lang w:val="sk-SK"/>
        </w:rPr>
        <w:t>ÚJD SR</w:t>
      </w:r>
      <w:r w:rsidRPr="00B86F11">
        <w:rPr>
          <w:rFonts w:ascii="Times New Roman" w:hAnsi="Times New Roman"/>
        </w:rPr>
        <w:t xml:space="preserve"> smerovali mnohé otázky novinárov a verejnosti, na ktoré </w:t>
      </w:r>
      <w:r>
        <w:rPr>
          <w:rFonts w:ascii="Times New Roman" w:hAnsi="Times New Roman"/>
          <w:lang w:val="sk-SK"/>
        </w:rPr>
        <w:t>ÚJD SR</w:t>
      </w:r>
      <w:r w:rsidRPr="00B86F11">
        <w:rPr>
          <w:rFonts w:ascii="Times New Roman" w:hAnsi="Times New Roman"/>
        </w:rPr>
        <w:t xml:space="preserve"> o</w:t>
      </w:r>
      <w:r w:rsidR="00AA6FD7">
        <w:rPr>
          <w:rFonts w:ascii="Times New Roman" w:hAnsi="Times New Roman"/>
        </w:rPr>
        <w:t xml:space="preserve">dpovedal a vydával stanoviská. </w:t>
      </w:r>
    </w:p>
    <w:p w:rsidR="00495265" w:rsidP="00E00EC8">
      <w:pPr>
        <w:pStyle w:val="BodyTextIndent"/>
        <w:bidi w:val="0"/>
        <w:ind w:left="0" w:firstLine="0"/>
        <w:jc w:val="both"/>
        <w:rPr>
          <w:rFonts w:ascii="Times New Roman" w:hAnsi="Times New Roman"/>
          <w:lang w:val="sk-SK" w:eastAsia="x-none"/>
        </w:rPr>
      </w:pPr>
      <w:r w:rsidR="00FF5B20">
        <w:rPr>
          <w:rFonts w:ascii="Times New Roman" w:hAnsi="Times New Roman"/>
          <w:lang w:val="sk-SK" w:eastAsia="x-none"/>
        </w:rPr>
        <w:t xml:space="preserve">Na základe deklarácie ENSREG </w:t>
      </w:r>
      <w:r w:rsidR="0039424A">
        <w:rPr>
          <w:rFonts w:ascii="Times New Roman" w:hAnsi="Times New Roman"/>
          <w:lang w:val="sk-SK" w:eastAsia="x-none"/>
        </w:rPr>
        <w:t>a</w:t>
      </w:r>
      <w:r>
        <w:rPr>
          <w:rFonts w:ascii="Times New Roman" w:hAnsi="Times New Roman"/>
          <w:lang w:val="sk-SK" w:eastAsia="x-none"/>
        </w:rPr>
        <w:t xml:space="preserve"> rozhodnutia ÚJD SR zabezpečiť otvorenosť a transparentnosť </w:t>
      </w:r>
      <w:r w:rsidR="00FF5B20">
        <w:rPr>
          <w:rFonts w:ascii="Times New Roman" w:hAnsi="Times New Roman"/>
          <w:lang w:val="sk-SK" w:eastAsia="x-none"/>
        </w:rPr>
        <w:t>záťažových testov</w:t>
      </w:r>
      <w:r>
        <w:rPr>
          <w:rFonts w:ascii="Times New Roman" w:hAnsi="Times New Roman"/>
          <w:lang w:val="sk-SK" w:eastAsia="x-none"/>
        </w:rPr>
        <w:t xml:space="preserve"> boli na webovej stránke ÚJD SR zverejnené ako priebežné, tak i finálne správy prevádzkovateľov a národné správy spracované ÚJD SR. Zverejnenie správ bolo komunikovan</w:t>
      </w:r>
      <w:r w:rsidR="00FF5B20">
        <w:rPr>
          <w:rFonts w:ascii="Times New Roman" w:hAnsi="Times New Roman"/>
          <w:lang w:val="sk-SK" w:eastAsia="x-none"/>
        </w:rPr>
        <w:t>é</w:t>
      </w:r>
      <w:r>
        <w:rPr>
          <w:rFonts w:ascii="Times New Roman" w:hAnsi="Times New Roman"/>
          <w:lang w:val="sk-SK" w:eastAsia="x-none"/>
        </w:rPr>
        <w:t xml:space="preserve"> prostredníctvom médií, pre ktoré bola v tejto súvislosti zor</w:t>
      </w:r>
      <w:r w:rsidR="00AA6FD7">
        <w:rPr>
          <w:rFonts w:ascii="Times New Roman" w:hAnsi="Times New Roman"/>
          <w:lang w:val="sk-SK" w:eastAsia="x-none"/>
        </w:rPr>
        <w:t>ganizovaní tlačová konferencia.</w:t>
      </w:r>
    </w:p>
    <w:p w:rsidR="00950787" w:rsidRPr="00BD7C09" w:rsidP="00AA6FD7">
      <w:pPr>
        <w:bidi w:val="0"/>
        <w:jc w:val="both"/>
        <w:rPr>
          <w:rFonts w:ascii="Times New Roman" w:hAnsi="Times New Roman"/>
        </w:rPr>
      </w:pPr>
      <w:r w:rsidR="00FF5B20">
        <w:rPr>
          <w:rFonts w:ascii="Times New Roman" w:hAnsi="Times New Roman"/>
        </w:rPr>
        <w:t>Ú</w:t>
      </w:r>
      <w:r w:rsidR="00495265">
        <w:rPr>
          <w:rFonts w:ascii="Times New Roman" w:hAnsi="Times New Roman"/>
        </w:rPr>
        <w:t xml:space="preserve">JD SR zintenzívnil svoju komunikáciu smerom na obyvateľstvo v okolí AE. </w:t>
      </w:r>
      <w:r w:rsidRPr="00471CF1" w:rsidR="00E00EC8">
        <w:rPr>
          <w:rFonts w:ascii="Times New Roman" w:hAnsi="Times New Roman"/>
        </w:rPr>
        <w:t xml:space="preserve">ÚJD SR sa </w:t>
      </w:r>
      <w:r w:rsidR="00BD7C09">
        <w:rPr>
          <w:rFonts w:ascii="Times New Roman" w:hAnsi="Times New Roman"/>
        </w:rPr>
        <w:t xml:space="preserve">aktívne </w:t>
      </w:r>
      <w:r w:rsidRPr="00471CF1" w:rsidR="00E00EC8">
        <w:rPr>
          <w:rFonts w:ascii="Times New Roman" w:hAnsi="Times New Roman"/>
        </w:rPr>
        <w:t xml:space="preserve">zúčastňoval na rokovaniach Občianskych informačných komisií </w:t>
      </w:r>
      <w:r w:rsidR="00B17CAA">
        <w:rPr>
          <w:rFonts w:ascii="Times New Roman" w:hAnsi="Times New Roman"/>
        </w:rPr>
        <w:t>(</w:t>
      </w:r>
      <w:r w:rsidRPr="00471CF1" w:rsidR="00E00EC8">
        <w:rPr>
          <w:rFonts w:ascii="Times New Roman" w:hAnsi="Times New Roman"/>
        </w:rPr>
        <w:t xml:space="preserve">OIK) pri </w:t>
      </w:r>
      <w:r w:rsidR="00FF5B20">
        <w:rPr>
          <w:rFonts w:ascii="Times New Roman" w:hAnsi="Times New Roman"/>
        </w:rPr>
        <w:t>AE v </w:t>
      </w:r>
      <w:r w:rsidRPr="00471CF1" w:rsidR="00E00EC8">
        <w:rPr>
          <w:rFonts w:ascii="Times New Roman" w:hAnsi="Times New Roman"/>
        </w:rPr>
        <w:t>Bohuniciach a</w:t>
      </w:r>
      <w:r w:rsidR="00FF5B20">
        <w:rPr>
          <w:rFonts w:ascii="Times New Roman" w:hAnsi="Times New Roman"/>
        </w:rPr>
        <w:t xml:space="preserve"> v</w:t>
      </w:r>
      <w:r w:rsidRPr="00471CF1" w:rsidR="00E00EC8">
        <w:rPr>
          <w:rFonts w:ascii="Times New Roman" w:hAnsi="Times New Roman"/>
        </w:rPr>
        <w:t xml:space="preserve"> Mochovciach, ktoré </w:t>
      </w:r>
      <w:r w:rsidRPr="00471CF1" w:rsidR="00E00EC8">
        <w:rPr>
          <w:rFonts w:ascii="Times New Roman" w:hAnsi="Times New Roman"/>
          <w:szCs w:val="18"/>
        </w:rPr>
        <w:t>boli vytvorené za účelom zlepšenia informovanosti verejnosti regiónu tvoreného oblasťou ohrozenia JZ</w:t>
      </w:r>
      <w:r w:rsidR="00E00EC8">
        <w:rPr>
          <w:rFonts w:ascii="Times New Roman" w:hAnsi="Times New Roman"/>
          <w:szCs w:val="18"/>
        </w:rPr>
        <w:t xml:space="preserve"> a členov ktorých pravidelne informuje o jadrovej bezpečnosti JZ v ich blízkosti</w:t>
      </w:r>
      <w:r w:rsidRPr="00471CF1" w:rsidR="00E00EC8">
        <w:rPr>
          <w:rFonts w:ascii="Times New Roman" w:hAnsi="Times New Roman"/>
        </w:rPr>
        <w:t xml:space="preserve">. </w:t>
      </w:r>
      <w:r w:rsidR="00BD7C09">
        <w:rPr>
          <w:rFonts w:ascii="Times New Roman" w:hAnsi="Times New Roman"/>
        </w:rPr>
        <w:t>V súvislosti so záťažovými testami OIK zorganizovali pre verejnosť seminár, na ktorom predniesli svoje prezentácie aj zástupcovia ÚJD SR.</w:t>
      </w:r>
    </w:p>
    <w:p w:rsidR="00950787" w:rsidRPr="00B86F11" w:rsidP="00950787">
      <w:pPr>
        <w:pStyle w:val="BodyText"/>
        <w:bidi w:val="0"/>
        <w:rPr>
          <w:rFonts w:ascii="Times New Roman" w:hAnsi="Times New Roman"/>
        </w:rPr>
      </w:pPr>
      <w:r w:rsidRPr="00B86F11">
        <w:rPr>
          <w:rFonts w:ascii="Times New Roman" w:hAnsi="Times New Roman"/>
        </w:rPr>
        <w:t>Napriek tomu že jadrov</w:t>
      </w:r>
      <w:r>
        <w:rPr>
          <w:rFonts w:ascii="Times New Roman" w:hAnsi="Times New Roman"/>
        </w:rPr>
        <w:t>ý</w:t>
      </w:r>
      <w:r w:rsidRPr="00B86F11">
        <w:rPr>
          <w:rFonts w:ascii="Times New Roman" w:hAnsi="Times New Roman"/>
        </w:rPr>
        <w:t xml:space="preserve"> priemysel je vysoko technickou oblasťou, zostáva snahou </w:t>
      </w:r>
      <w:r w:rsidR="00BD7C09">
        <w:rPr>
          <w:rFonts w:ascii="Times New Roman" w:hAnsi="Times New Roman"/>
          <w:lang w:val="sk-SK"/>
        </w:rPr>
        <w:t>ÚJD SR</w:t>
      </w:r>
      <w:r w:rsidRPr="00B86F11">
        <w:rPr>
          <w:rFonts w:ascii="Times New Roman" w:hAnsi="Times New Roman"/>
        </w:rPr>
        <w:t xml:space="preserve"> v maximálne možnej miere pravdivo a </w:t>
      </w:r>
      <w:r w:rsidR="007007AC">
        <w:rPr>
          <w:rFonts w:ascii="Times New Roman" w:hAnsi="Times New Roman"/>
          <w:lang w:val="sk-SK"/>
        </w:rPr>
        <w:t>zrozumiteľne</w:t>
      </w:r>
      <w:r w:rsidRPr="00B86F11">
        <w:rPr>
          <w:rFonts w:ascii="Times New Roman" w:hAnsi="Times New Roman"/>
        </w:rPr>
        <w:t xml:space="preserve"> informovať verejnosť o dôležitých udalostiach. ÚJD SR si zachováva dlhodobý cieľ vystupovať voči verejnosti otvorene a transparentne. Vysoký dôraz kladie na prehlbovanie intenzívneho informovania a budovanie dôvery v kompetentný a nestranný jadrový dozor.  </w:t>
      </w:r>
    </w:p>
    <w:p w:rsidR="00950787" w:rsidP="00950787">
      <w:pPr>
        <w:pStyle w:val="BodyText"/>
        <w:bidi w:val="0"/>
        <w:rPr>
          <w:rFonts w:ascii="Times New Roman" w:hAnsi="Times New Roman"/>
          <w:lang w:val="sk-SK"/>
        </w:rPr>
      </w:pPr>
    </w:p>
    <w:p w:rsidR="00A16146" w:rsidRPr="00A16146" w:rsidP="00950787">
      <w:pPr>
        <w:pStyle w:val="BodyText"/>
        <w:bidi w:val="0"/>
        <w:rPr>
          <w:rFonts w:ascii="Times New Roman" w:hAnsi="Times New Roman"/>
          <w:lang w:val="sk-SK"/>
        </w:rPr>
      </w:pPr>
    </w:p>
    <w:p w:rsidR="00E00EC8" w:rsidRPr="0039424A" w:rsidP="0039424A">
      <w:pPr>
        <w:pStyle w:val="Heading1"/>
        <w:tabs>
          <w:tab w:val="num" w:pos="851"/>
          <w:tab w:val="clear" w:pos="5747"/>
        </w:tabs>
        <w:bidi w:val="0"/>
        <w:ind w:left="357" w:hanging="357"/>
        <w:rPr>
          <w:rFonts w:ascii="Times New Roman" w:hAnsi="Times New Roman"/>
        </w:rPr>
      </w:pPr>
      <w:bookmarkStart w:id="98" w:name="_Toc320719743"/>
      <w:r w:rsidRPr="0039424A">
        <w:rPr>
          <w:rFonts w:ascii="Times New Roman" w:hAnsi="Times New Roman"/>
        </w:rPr>
        <w:t>Ekonomické údaje</w:t>
      </w:r>
      <w:bookmarkEnd w:id="96"/>
      <w:bookmarkEnd w:id="97"/>
      <w:bookmarkEnd w:id="98"/>
      <w:r w:rsidRPr="0039424A">
        <w:rPr>
          <w:rFonts w:ascii="Times New Roman" w:hAnsi="Times New Roman"/>
        </w:rPr>
        <w:t xml:space="preserve"> </w:t>
      </w:r>
    </w:p>
    <w:p w:rsidR="00C566FA" w:rsidRPr="00C566FA" w:rsidP="00C566FA">
      <w:pPr>
        <w:bidi w:val="0"/>
        <w:rPr>
          <w:rFonts w:ascii="Times New Roman" w:hAnsi="Times New Roman"/>
          <w:lang w:eastAsia="cs-CZ"/>
        </w:rPr>
      </w:pPr>
    </w:p>
    <w:p w:rsidR="00AA6FD7" w:rsidP="00AA6FD7">
      <w:pPr>
        <w:bidi w:val="0"/>
        <w:jc w:val="both"/>
        <w:rPr>
          <w:rFonts w:ascii="Times New Roman" w:hAnsi="Times New Roman"/>
          <w:szCs w:val="18"/>
        </w:rPr>
      </w:pPr>
      <w:bookmarkStart w:id="99" w:name="_Toc158112611"/>
      <w:bookmarkStart w:id="100" w:name="_Toc162317375"/>
      <w:r>
        <w:rPr>
          <w:rFonts w:ascii="Times New Roman" w:hAnsi="Times New Roman"/>
          <w:szCs w:val="18"/>
        </w:rPr>
        <w:t>ÚJD SR ako rozpočtová kapitola je svojimi príjmami a výdavkami napojená na štátny rozpočet. Od 1. januára 2008 boli atómovým zákonom zavedené</w:t>
      </w:r>
      <w:r w:rsidRPr="001F16C6">
        <w:rPr>
          <w:rFonts w:ascii="Times New Roman" w:hAnsi="Times New Roman"/>
          <w:szCs w:val="18"/>
        </w:rPr>
        <w:t xml:space="preserve"> ročné</w:t>
      </w:r>
      <w:r>
        <w:rPr>
          <w:rFonts w:ascii="Times New Roman" w:hAnsi="Times New Roman"/>
          <w:szCs w:val="18"/>
        </w:rPr>
        <w:t xml:space="preserve"> príspevky na výkon štátneho dozoru nad jadrovou bezpečnosťou, ktorý uložil povinnosť držiteľom povolenia platiť ročné príspevky na výkon štátneho dozoru nad jadrovou bezpečnosťou.</w:t>
      </w:r>
      <w:r>
        <w:rPr>
          <w:rFonts w:ascii="Times New Roman" w:hAnsi="Times New Roman"/>
        </w:rPr>
        <w:t xml:space="preserve"> </w:t>
      </w:r>
      <w:r>
        <w:rPr>
          <w:rFonts w:ascii="Times New Roman" w:hAnsi="Times New Roman"/>
          <w:szCs w:val="18"/>
        </w:rPr>
        <w:t>Príjmy na rok 2011 boli pre ÚJD SR rozpočtované vo výške 5 168 267 eur, po rozpočtových opatreniach bol limit príjmov upravený na 4 794 324 eur. V skutočnosti dosiahli príjmy výšku 4 826 942 eur, z toho nedaňové príjmy 4 794 945 eur a príjmy zo zahraničných grantov 31 997 eur. Limit výdavkov na rok 2011 bol pre ÚJD SR schválený vo výške 5 167 601 eur. Po rozpočtových opatreniach bol limit výdavkov upravený na 4 793 658 eur. Celkový objem výdavkov na činnosť ÚJD SR k 31.</w:t>
      </w:r>
      <w:r w:rsidR="00CB3AA9">
        <w:rPr>
          <w:rFonts w:ascii="Times New Roman" w:hAnsi="Times New Roman"/>
          <w:szCs w:val="18"/>
        </w:rPr>
        <w:t xml:space="preserve">decmbru </w:t>
      </w:r>
      <w:r>
        <w:rPr>
          <w:rFonts w:ascii="Times New Roman" w:hAnsi="Times New Roman"/>
          <w:szCs w:val="18"/>
        </w:rPr>
        <w:t xml:space="preserve">2011 dosiahol výšku 4 734 668 eur. Z toho na financovanie bežnej činnosti sa vynaložili výdavky vo výške 4 675 869 eur a na obstaranie kapitálových aktív výdavky vo výške 58 799 eur. </w:t>
      </w:r>
    </w:p>
    <w:p w:rsidR="00AA6FD7" w:rsidP="00AA6FD7">
      <w:pPr>
        <w:bidi w:val="0"/>
        <w:jc w:val="both"/>
        <w:rPr>
          <w:rFonts w:ascii="Times New Roman" w:hAnsi="Times New Roman"/>
          <w:szCs w:val="18"/>
        </w:rPr>
      </w:pPr>
    </w:p>
    <w:p w:rsidR="00AA6FD7" w:rsidRPr="00CB3AA9" w:rsidP="00AA6FD7">
      <w:pPr>
        <w:bidi w:val="0"/>
        <w:jc w:val="both"/>
        <w:rPr>
          <w:rFonts w:ascii="Times New Roman" w:hAnsi="Times New Roman"/>
          <w:szCs w:val="24"/>
        </w:rPr>
      </w:pPr>
      <w:r w:rsidRPr="00CB3AA9">
        <w:rPr>
          <w:rFonts w:ascii="Times New Roman" w:hAnsi="Times New Roman"/>
          <w:szCs w:val="24"/>
        </w:rPr>
        <w:t xml:space="preserve">Tab.č.7 </w:t>
      </w:r>
      <w:r w:rsidRPr="00CB3AA9">
        <w:rPr>
          <w:rFonts w:ascii="Times New Roman" w:hAnsi="Times New Roman"/>
          <w:bCs/>
          <w:szCs w:val="24"/>
        </w:rPr>
        <w:t>Hospodárske výsledky za rok 2011</w:t>
      </w:r>
    </w:p>
    <w:tbl>
      <w:tblPr>
        <w:tblStyle w:val="TableNormal"/>
        <w:tblW w:w="9085" w:type="dxa"/>
        <w:tblInd w:w="57"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CellMar>
          <w:left w:w="70" w:type="dxa"/>
          <w:right w:w="70" w:type="dxa"/>
        </w:tblCellMar>
      </w:tblPr>
      <w:tblGrid>
        <w:gridCol w:w="4124"/>
        <w:gridCol w:w="4961"/>
      </w:tblGrid>
      <w:tr>
        <w:tblPrEx>
          <w:tblW w:w="9085" w:type="dxa"/>
          <w:tblInd w:w="57"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CellMar>
            <w:left w:w="70" w:type="dxa"/>
            <w:right w:w="70" w:type="dxa"/>
          </w:tblCellMar>
        </w:tblPrEx>
        <w:trPr>
          <w:trHeight w:val="454"/>
        </w:trPr>
        <w:tc>
          <w:tcPr>
            <w:tcW w:w="4124" w:type="dxa"/>
            <w:tcBorders>
              <w:top w:val="single" w:sz="4" w:space="0" w:color="auto"/>
              <w:left w:val="single" w:sz="4" w:space="0" w:color="auto"/>
              <w:bottom w:val="single" w:sz="12" w:space="0" w:color="auto"/>
              <w:right w:val="single" w:sz="6" w:space="0" w:color="auto"/>
            </w:tcBorders>
            <w:shd w:val="pct20" w:color="auto" w:fill="FFFFFF"/>
            <w:noWrap/>
            <w:textDirection w:val="lrTb"/>
            <w:vAlign w:val="center"/>
          </w:tcPr>
          <w:p w:rsidR="00AA6FD7" w:rsidRPr="007969C2" w:rsidP="000817E6">
            <w:pPr>
              <w:bidi w:val="0"/>
              <w:rPr>
                <w:rFonts w:ascii="Times New Roman" w:hAnsi="Times New Roman"/>
                <w:b/>
                <w:bCs/>
                <w:szCs w:val="22"/>
              </w:rPr>
            </w:pPr>
            <w:r>
              <w:rPr>
                <w:rFonts w:ascii="Times New Roman" w:hAnsi="Times New Roman"/>
                <w:b/>
                <w:bCs/>
                <w:szCs w:val="22"/>
              </w:rPr>
              <w:t>Položka</w:t>
            </w:r>
          </w:p>
        </w:tc>
        <w:tc>
          <w:tcPr>
            <w:tcW w:w="4961" w:type="dxa"/>
            <w:tcBorders>
              <w:top w:val="single" w:sz="4" w:space="0" w:color="auto"/>
              <w:left w:val="single" w:sz="6" w:space="0" w:color="auto"/>
              <w:bottom w:val="single" w:sz="12" w:space="0" w:color="auto"/>
              <w:right w:val="single" w:sz="4" w:space="0" w:color="auto"/>
            </w:tcBorders>
            <w:shd w:val="pct20" w:color="auto" w:fill="FFFFFF"/>
            <w:textDirection w:val="lrTb"/>
            <w:vAlign w:val="center"/>
          </w:tcPr>
          <w:p w:rsidR="00AA6FD7" w:rsidRPr="007969C2" w:rsidP="00CB3AA9">
            <w:pPr>
              <w:bidi w:val="0"/>
              <w:jc w:val="center"/>
              <w:rPr>
                <w:rFonts w:ascii="Times New Roman" w:hAnsi="Times New Roman"/>
                <w:b/>
                <w:bCs/>
                <w:szCs w:val="22"/>
              </w:rPr>
            </w:pPr>
            <w:r>
              <w:rPr>
                <w:rFonts w:ascii="Times New Roman" w:hAnsi="Times New Roman"/>
                <w:b/>
                <w:bCs/>
                <w:szCs w:val="22"/>
              </w:rPr>
              <w:t>Suma (v eurách)</w:t>
            </w:r>
          </w:p>
        </w:tc>
      </w:tr>
      <w:tr>
        <w:tblPrEx>
          <w:tblW w:w="9085" w:type="dxa"/>
          <w:tblInd w:w="57" w:type="dxa"/>
          <w:tblCellMar>
            <w:left w:w="70" w:type="dxa"/>
            <w:right w:w="70" w:type="dxa"/>
          </w:tblCellMar>
        </w:tblPrEx>
        <w:trPr>
          <w:trHeight w:val="255"/>
        </w:trPr>
        <w:tc>
          <w:tcPr>
            <w:tcW w:w="4124" w:type="dxa"/>
            <w:tcBorders>
              <w:top w:val="single" w:sz="12"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CB3AA9">
            <w:pPr>
              <w:bidi w:val="0"/>
              <w:rPr>
                <w:rFonts w:ascii="Times New Roman" w:hAnsi="Times New Roman"/>
                <w:b/>
                <w:bCs/>
                <w:szCs w:val="22"/>
              </w:rPr>
            </w:pPr>
            <w:r w:rsidRPr="007969C2">
              <w:rPr>
                <w:rFonts w:ascii="Times New Roman" w:hAnsi="Times New Roman"/>
                <w:b/>
                <w:bCs/>
                <w:sz w:val="22"/>
                <w:szCs w:val="22"/>
              </w:rPr>
              <w:t>Limit príjmov pre ÚJD SR na rok 20</w:t>
            </w:r>
            <w:r>
              <w:rPr>
                <w:rFonts w:ascii="Times New Roman" w:hAnsi="Times New Roman"/>
                <w:b/>
                <w:bCs/>
                <w:sz w:val="22"/>
                <w:szCs w:val="22"/>
              </w:rPr>
              <w:t>11</w:t>
            </w:r>
          </w:p>
        </w:tc>
        <w:tc>
          <w:tcPr>
            <w:tcW w:w="4961" w:type="dxa"/>
            <w:tcBorders>
              <w:top w:val="single" w:sz="12"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szCs w:val="22"/>
              </w:rPr>
            </w:pPr>
            <w:r>
              <w:rPr>
                <w:rFonts w:ascii="Times New Roman" w:hAnsi="Times New Roman"/>
                <w:sz w:val="22"/>
                <w:szCs w:val="22"/>
              </w:rPr>
              <w:t>4 794 324</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rPr>
                <w:rFonts w:ascii="Times New Roman" w:hAnsi="Times New Roman"/>
                <w:szCs w:val="22"/>
              </w:rPr>
            </w:pPr>
            <w:r w:rsidRPr="007969C2">
              <w:rPr>
                <w:rFonts w:ascii="Times New Roman" w:hAnsi="Times New Roman"/>
                <w:b/>
                <w:bCs/>
                <w:sz w:val="22"/>
                <w:szCs w:val="22"/>
              </w:rPr>
              <w:t>Skutočné príjmy spolu</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324507" w:rsidP="000817E6">
            <w:pPr>
              <w:tabs>
                <w:tab w:val="left" w:pos="4821"/>
                <w:tab w:val="left" w:pos="5033"/>
              </w:tabs>
              <w:bidi w:val="0"/>
              <w:ind w:right="1914" w:firstLine="682"/>
              <w:jc w:val="right"/>
              <w:rPr>
                <w:rFonts w:ascii="Times New Roman" w:hAnsi="Times New Roman"/>
                <w:b/>
                <w:i/>
                <w:szCs w:val="22"/>
              </w:rPr>
            </w:pPr>
            <w:r>
              <w:rPr>
                <w:rFonts w:ascii="Times New Roman" w:hAnsi="Times New Roman"/>
                <w:b/>
                <w:sz w:val="22"/>
                <w:szCs w:val="22"/>
              </w:rPr>
              <w:t>4 826 942</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rPr>
                <w:rFonts w:ascii="Times New Roman" w:hAnsi="Times New Roman"/>
                <w:szCs w:val="22"/>
              </w:rPr>
            </w:pPr>
            <w:r w:rsidRPr="007969C2">
              <w:rPr>
                <w:rFonts w:ascii="Times New Roman" w:hAnsi="Times New Roman"/>
                <w:sz w:val="22"/>
                <w:szCs w:val="22"/>
              </w:rPr>
              <w:t>z toho:</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i/>
                <w:szCs w:val="22"/>
              </w:rPr>
            </w:pP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ind w:firstLine="652"/>
              <w:rPr>
                <w:rFonts w:ascii="Times New Roman" w:hAnsi="Times New Roman"/>
                <w:i/>
                <w:szCs w:val="22"/>
              </w:rPr>
            </w:pPr>
            <w:r w:rsidRPr="007969C2">
              <w:rPr>
                <w:rFonts w:ascii="Times New Roman" w:hAnsi="Times New Roman"/>
                <w:i/>
                <w:sz w:val="22"/>
                <w:szCs w:val="22"/>
              </w:rPr>
              <w:t xml:space="preserve"> Nedaňové príjmy</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i/>
                <w:szCs w:val="22"/>
              </w:rPr>
            </w:pPr>
            <w:r>
              <w:rPr>
                <w:rFonts w:ascii="Times New Roman" w:hAnsi="Times New Roman"/>
                <w:i/>
                <w:sz w:val="22"/>
                <w:szCs w:val="22"/>
              </w:rPr>
              <w:t>4 794 945</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ind w:firstLine="652"/>
              <w:rPr>
                <w:rFonts w:ascii="Times New Roman" w:hAnsi="Times New Roman"/>
                <w:b/>
                <w:bCs/>
                <w:i/>
                <w:szCs w:val="22"/>
              </w:rPr>
            </w:pPr>
            <w:r w:rsidRPr="007969C2">
              <w:rPr>
                <w:rFonts w:ascii="Times New Roman" w:hAnsi="Times New Roman"/>
                <w:i/>
                <w:sz w:val="22"/>
                <w:szCs w:val="22"/>
              </w:rPr>
              <w:t>Zahraničné granty</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b/>
                <w:bCs/>
                <w:szCs w:val="22"/>
              </w:rPr>
            </w:pPr>
            <w:r>
              <w:rPr>
                <w:rFonts w:ascii="Times New Roman" w:hAnsi="Times New Roman"/>
                <w:i/>
                <w:sz w:val="22"/>
                <w:szCs w:val="22"/>
              </w:rPr>
              <w:t>31 997</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rPr>
                <w:rFonts w:ascii="Times New Roman" w:hAnsi="Times New Roman"/>
                <w:b/>
                <w:bCs/>
                <w:szCs w:val="22"/>
              </w:rPr>
            </w:pPr>
            <w:r w:rsidRPr="007969C2">
              <w:rPr>
                <w:rFonts w:ascii="Times New Roman" w:hAnsi="Times New Roman"/>
                <w:b/>
                <w:bCs/>
                <w:sz w:val="22"/>
                <w:szCs w:val="22"/>
              </w:rPr>
              <w:t>Limit výdavkov pre ÚJD SR na rok 20</w:t>
            </w:r>
            <w:r>
              <w:rPr>
                <w:rFonts w:ascii="Times New Roman" w:hAnsi="Times New Roman"/>
                <w:b/>
                <w:bCs/>
                <w:sz w:val="22"/>
                <w:szCs w:val="22"/>
              </w:rPr>
              <w:t>11</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b/>
                <w:bCs/>
                <w:szCs w:val="22"/>
              </w:rPr>
            </w:pPr>
            <w:r>
              <w:rPr>
                <w:rFonts w:ascii="Times New Roman" w:hAnsi="Times New Roman"/>
                <w:sz w:val="22"/>
                <w:szCs w:val="22"/>
              </w:rPr>
              <w:t>4 793 658</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CB3AA9">
            <w:pPr>
              <w:bidi w:val="0"/>
              <w:rPr>
                <w:rFonts w:ascii="Times New Roman" w:hAnsi="Times New Roman"/>
                <w:b/>
                <w:bCs/>
                <w:szCs w:val="22"/>
              </w:rPr>
            </w:pPr>
            <w:r w:rsidRPr="007969C2">
              <w:rPr>
                <w:rFonts w:ascii="Times New Roman" w:hAnsi="Times New Roman"/>
                <w:b/>
                <w:bCs/>
                <w:sz w:val="22"/>
                <w:szCs w:val="22"/>
              </w:rPr>
              <w:t>Skutočné výdavky spolu</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324507" w:rsidP="000817E6">
            <w:pPr>
              <w:tabs>
                <w:tab w:val="left" w:pos="4821"/>
                <w:tab w:val="left" w:pos="5033"/>
              </w:tabs>
              <w:bidi w:val="0"/>
              <w:ind w:right="1914" w:firstLine="682"/>
              <w:jc w:val="right"/>
              <w:rPr>
                <w:rFonts w:ascii="Times New Roman" w:hAnsi="Times New Roman"/>
                <w:b/>
                <w:bCs/>
                <w:szCs w:val="22"/>
              </w:rPr>
            </w:pPr>
            <w:r w:rsidRPr="007969C2">
              <w:rPr>
                <w:rFonts w:ascii="Times New Roman" w:hAnsi="Times New Roman"/>
                <w:sz w:val="22"/>
                <w:szCs w:val="22"/>
              </w:rPr>
              <w:t> </w:t>
            </w:r>
            <w:r>
              <w:rPr>
                <w:rFonts w:ascii="Times New Roman" w:hAnsi="Times New Roman"/>
                <w:b/>
                <w:sz w:val="22"/>
                <w:szCs w:val="22"/>
              </w:rPr>
              <w:t>4 734 668</w:t>
            </w: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shd w:val="clear" w:color="auto" w:fill="FFFFFF"/>
            <w:noWrap/>
            <w:textDirection w:val="lrTb"/>
            <w:vAlign w:val="bottom"/>
          </w:tcPr>
          <w:p w:rsidR="00AA6FD7" w:rsidRPr="007969C2" w:rsidP="000817E6">
            <w:pPr>
              <w:bidi w:val="0"/>
              <w:rPr>
                <w:rFonts w:ascii="Times New Roman" w:hAnsi="Times New Roman"/>
                <w:szCs w:val="22"/>
              </w:rPr>
            </w:pPr>
            <w:r w:rsidRPr="007969C2">
              <w:rPr>
                <w:rFonts w:ascii="Times New Roman" w:hAnsi="Times New Roman"/>
                <w:sz w:val="22"/>
                <w:szCs w:val="22"/>
              </w:rPr>
              <w:t xml:space="preserve">z toho: </w:t>
            </w:r>
          </w:p>
        </w:tc>
        <w:tc>
          <w:tcPr>
            <w:tcW w:w="4961" w:type="dxa"/>
            <w:tcBorders>
              <w:top w:val="single" w:sz="6" w:space="0" w:color="auto"/>
              <w:left w:val="single" w:sz="6" w:space="0" w:color="auto"/>
              <w:bottom w:val="single" w:sz="6" w:space="0" w:color="auto"/>
              <w:right w:val="single" w:sz="4" w:space="0" w:color="auto"/>
            </w:tcBorders>
            <w:shd w:val="clear" w:color="auto" w:fill="FFFFFF"/>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szCs w:val="22"/>
              </w:rPr>
            </w:pPr>
          </w:p>
        </w:tc>
      </w:tr>
      <w:tr>
        <w:tblPrEx>
          <w:tblW w:w="9085" w:type="dxa"/>
          <w:tblInd w:w="57" w:type="dxa"/>
          <w:tblCellMar>
            <w:left w:w="70" w:type="dxa"/>
            <w:right w:w="70" w:type="dxa"/>
          </w:tblCellMar>
        </w:tblPrEx>
        <w:trPr>
          <w:trHeight w:val="255"/>
        </w:trPr>
        <w:tc>
          <w:tcPr>
            <w:tcW w:w="4124" w:type="dxa"/>
            <w:tcBorders>
              <w:top w:val="single" w:sz="6" w:space="0" w:color="auto"/>
              <w:left w:val="single" w:sz="4" w:space="0" w:color="auto"/>
              <w:bottom w:val="single" w:sz="6" w:space="0" w:color="auto"/>
              <w:right w:val="single" w:sz="6" w:space="0" w:color="auto"/>
            </w:tcBorders>
            <w:noWrap/>
            <w:textDirection w:val="lrTb"/>
            <w:vAlign w:val="bottom"/>
          </w:tcPr>
          <w:p w:rsidR="00AA6FD7" w:rsidRPr="007969C2" w:rsidP="000817E6">
            <w:pPr>
              <w:bidi w:val="0"/>
              <w:ind w:firstLine="652"/>
              <w:rPr>
                <w:rFonts w:ascii="Times New Roman" w:hAnsi="Times New Roman"/>
                <w:i/>
                <w:szCs w:val="22"/>
              </w:rPr>
            </w:pPr>
            <w:r w:rsidRPr="007969C2">
              <w:rPr>
                <w:rFonts w:ascii="Times New Roman" w:hAnsi="Times New Roman"/>
                <w:i/>
                <w:sz w:val="22"/>
                <w:szCs w:val="22"/>
              </w:rPr>
              <w:t>Bežné výdavky</w:t>
            </w:r>
          </w:p>
        </w:tc>
        <w:tc>
          <w:tcPr>
            <w:tcW w:w="4961" w:type="dxa"/>
            <w:tcBorders>
              <w:top w:val="single" w:sz="6" w:space="0" w:color="auto"/>
              <w:left w:val="single" w:sz="6" w:space="0" w:color="auto"/>
              <w:bottom w:val="single" w:sz="6" w:space="0" w:color="auto"/>
              <w:right w:val="single" w:sz="4" w:space="0" w:color="auto"/>
            </w:tcBorders>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i/>
                <w:szCs w:val="22"/>
              </w:rPr>
            </w:pPr>
            <w:r>
              <w:rPr>
                <w:rFonts w:ascii="Times New Roman" w:hAnsi="Times New Roman"/>
                <w:i/>
                <w:sz w:val="22"/>
                <w:szCs w:val="22"/>
              </w:rPr>
              <w:t>4 675 869</w:t>
            </w:r>
          </w:p>
        </w:tc>
      </w:tr>
      <w:tr>
        <w:tblPrEx>
          <w:tblW w:w="9085" w:type="dxa"/>
          <w:tblInd w:w="57" w:type="dxa"/>
          <w:tblCellMar>
            <w:left w:w="70" w:type="dxa"/>
            <w:right w:w="70" w:type="dxa"/>
          </w:tblCellMar>
        </w:tblPrEx>
        <w:trPr>
          <w:trHeight w:val="270"/>
        </w:trPr>
        <w:tc>
          <w:tcPr>
            <w:tcW w:w="4124" w:type="dxa"/>
            <w:tcBorders>
              <w:top w:val="single" w:sz="6" w:space="0" w:color="auto"/>
              <w:left w:val="single" w:sz="4" w:space="0" w:color="auto"/>
              <w:bottom w:val="single" w:sz="4" w:space="0" w:color="auto"/>
              <w:right w:val="single" w:sz="6" w:space="0" w:color="auto"/>
            </w:tcBorders>
            <w:noWrap/>
            <w:textDirection w:val="lrTb"/>
            <w:vAlign w:val="bottom"/>
          </w:tcPr>
          <w:p w:rsidR="00AA6FD7" w:rsidRPr="007969C2" w:rsidP="000817E6">
            <w:pPr>
              <w:bidi w:val="0"/>
              <w:ind w:firstLine="652"/>
              <w:rPr>
                <w:rFonts w:ascii="Times New Roman" w:hAnsi="Times New Roman"/>
                <w:i/>
                <w:szCs w:val="22"/>
              </w:rPr>
            </w:pPr>
            <w:r w:rsidRPr="007969C2">
              <w:rPr>
                <w:rFonts w:ascii="Times New Roman" w:hAnsi="Times New Roman"/>
                <w:i/>
                <w:sz w:val="22"/>
                <w:szCs w:val="22"/>
              </w:rPr>
              <w:t>Kapitálové výdavky</w:t>
            </w:r>
          </w:p>
        </w:tc>
        <w:tc>
          <w:tcPr>
            <w:tcW w:w="4961" w:type="dxa"/>
            <w:tcBorders>
              <w:top w:val="single" w:sz="6" w:space="0" w:color="auto"/>
              <w:left w:val="single" w:sz="6" w:space="0" w:color="auto"/>
              <w:bottom w:val="single" w:sz="4" w:space="0" w:color="auto"/>
              <w:right w:val="single" w:sz="4" w:space="0" w:color="auto"/>
            </w:tcBorders>
            <w:noWrap/>
            <w:textDirection w:val="lrTb"/>
            <w:vAlign w:val="center"/>
          </w:tcPr>
          <w:p w:rsidR="00AA6FD7" w:rsidRPr="007969C2" w:rsidP="000817E6">
            <w:pPr>
              <w:tabs>
                <w:tab w:val="left" w:pos="4821"/>
                <w:tab w:val="left" w:pos="5033"/>
              </w:tabs>
              <w:bidi w:val="0"/>
              <w:ind w:right="1914" w:firstLine="682"/>
              <w:jc w:val="right"/>
              <w:rPr>
                <w:rFonts w:ascii="Times New Roman" w:hAnsi="Times New Roman"/>
                <w:i/>
                <w:szCs w:val="22"/>
              </w:rPr>
            </w:pPr>
            <w:r>
              <w:rPr>
                <w:rFonts w:ascii="Times New Roman" w:hAnsi="Times New Roman"/>
                <w:i/>
                <w:sz w:val="22"/>
                <w:szCs w:val="22"/>
              </w:rPr>
              <w:t>58 799</w:t>
            </w:r>
          </w:p>
        </w:tc>
      </w:tr>
    </w:tbl>
    <w:p w:rsidR="00AA6FD7" w:rsidP="00AA6FD7">
      <w:pPr>
        <w:bidi w:val="0"/>
        <w:jc w:val="both"/>
        <w:rPr>
          <w:rFonts w:ascii="Times New Roman" w:hAnsi="Times New Roman"/>
          <w:szCs w:val="18"/>
        </w:rPr>
      </w:pPr>
    </w:p>
    <w:p w:rsidR="00AA6FD7" w:rsidRPr="003248CF" w:rsidP="00AA6FD7">
      <w:pPr>
        <w:bidi w:val="0"/>
        <w:jc w:val="both"/>
        <w:rPr>
          <w:rFonts w:ascii="Times New Roman" w:hAnsi="Times New Roman"/>
          <w:b/>
          <w:i/>
          <w:szCs w:val="18"/>
        </w:rPr>
      </w:pPr>
      <w:r w:rsidRPr="003248CF">
        <w:rPr>
          <w:rFonts w:ascii="Times New Roman" w:hAnsi="Times New Roman"/>
          <w:b/>
          <w:i/>
          <w:szCs w:val="18"/>
        </w:rPr>
        <w:t>Bežné výdavky</w:t>
      </w:r>
    </w:p>
    <w:p w:rsidR="00AA6FD7" w:rsidP="00AA6FD7">
      <w:pPr>
        <w:autoSpaceDE w:val="0"/>
        <w:autoSpaceDN w:val="0"/>
        <w:bidi w:val="0"/>
        <w:adjustRightInd w:val="0"/>
        <w:jc w:val="both"/>
        <w:rPr>
          <w:rFonts w:ascii="Times New Roman" w:hAnsi="Times New Roman"/>
          <w:szCs w:val="18"/>
        </w:rPr>
      </w:pPr>
      <w:r>
        <w:rPr>
          <w:rFonts w:ascii="Times New Roman" w:hAnsi="Times New Roman"/>
          <w:szCs w:val="18"/>
        </w:rPr>
        <w:t xml:space="preserve">Na čerpaní bežných výdavkov sa výrazne podieľalo čerpanie na zahraničné transfery vo výške </w:t>
      </w:r>
      <w:r w:rsidRPr="00265008">
        <w:rPr>
          <w:rFonts w:ascii="Times New Roman" w:hAnsi="Times New Roman"/>
          <w:szCs w:val="18"/>
        </w:rPr>
        <w:t>543 502</w:t>
      </w:r>
      <w:r>
        <w:rPr>
          <w:rFonts w:ascii="Times New Roman" w:hAnsi="Times New Roman"/>
          <w:szCs w:val="18"/>
        </w:rPr>
        <w:t xml:space="preserve"> eur</w:t>
      </w:r>
      <w:r w:rsidRPr="003067A4">
        <w:rPr>
          <w:rFonts w:ascii="Times New Roman" w:hAnsi="Times New Roman"/>
          <w:szCs w:val="18"/>
        </w:rPr>
        <w:t>.</w:t>
      </w:r>
      <w:r>
        <w:rPr>
          <w:rFonts w:ascii="Times New Roman" w:hAnsi="Times New Roman"/>
          <w:szCs w:val="18"/>
        </w:rPr>
        <w:t xml:space="preserve"> </w:t>
      </w:r>
      <w:r>
        <w:rPr>
          <w:rFonts w:ascii="Times New Roman" w:hAnsi="Times New Roman"/>
        </w:rPr>
        <w:t xml:space="preserve">Tieto finančné prostriedky boli použité na úhradu príspevkov za členstvo v medzinárodných organizáciách. Pravidelné príspevky predstavujú dva bežné zahraničné transfery pre MAAE, a to riadny členský príspevok </w:t>
      </w:r>
      <w:r>
        <w:rPr>
          <w:rFonts w:ascii="Times New Roman" w:hAnsi="Times New Roman"/>
          <w:szCs w:val="18"/>
        </w:rPr>
        <w:t xml:space="preserve">v sume </w:t>
      </w:r>
      <w:r w:rsidRPr="00360462">
        <w:rPr>
          <w:rFonts w:ascii="Times New Roman" w:hAnsi="Times New Roman"/>
          <w:szCs w:val="18"/>
        </w:rPr>
        <w:t>309</w:t>
      </w:r>
      <w:r>
        <w:rPr>
          <w:rFonts w:ascii="Times New Roman" w:hAnsi="Times New Roman"/>
          <w:szCs w:val="18"/>
        </w:rPr>
        <w:t> </w:t>
      </w:r>
      <w:r w:rsidRPr="00360462">
        <w:rPr>
          <w:rFonts w:ascii="Times New Roman" w:hAnsi="Times New Roman"/>
          <w:szCs w:val="18"/>
        </w:rPr>
        <w:t>793</w:t>
      </w:r>
      <w:r>
        <w:rPr>
          <w:rFonts w:ascii="Times New Roman" w:hAnsi="Times New Roman"/>
          <w:szCs w:val="18"/>
        </w:rPr>
        <w:t xml:space="preserve"> eur a príspevok do Fondu technickej spolupráce v sume 58 094 eur.</w:t>
      </w:r>
      <w:r>
        <w:rPr>
          <w:rFonts w:ascii="Arial" w:hAnsi="Arial" w:cs="Arial"/>
          <w:i/>
          <w:iCs/>
        </w:rPr>
        <w:t xml:space="preserve"> </w:t>
      </w:r>
      <w:r>
        <w:rPr>
          <w:rFonts w:ascii="Times New Roman" w:hAnsi="Times New Roman"/>
        </w:rPr>
        <w:t>Ďalším príspevkom SR je príspevok pre OECD/NEA v sume 28 459 eur.</w:t>
      </w:r>
      <w:r>
        <w:rPr>
          <w:rFonts w:ascii="Times New Roman" w:hAnsi="Times New Roman"/>
          <w:szCs w:val="18"/>
        </w:rPr>
        <w:t xml:space="preserve"> ÚJD SR v roku 2011 uhradil aj príspevok SR do CTBTO v sume 132 139 eur a na ENSREG F0134 FANC bol uhradený príspevok v sume 831 eur. V rámci príspevkov na programy vedecko-technickej spolupráce bol uhradený príspevok n</w:t>
      </w:r>
      <w:r>
        <w:rPr>
          <w:rFonts w:ascii="Times New Roman" w:hAnsi="Times New Roman"/>
        </w:rPr>
        <w:t xml:space="preserve">a program v OECD Halden Reactor Project (OECD/HRP) v sume 14 186 </w:t>
      </w:r>
      <w:r>
        <w:rPr>
          <w:rFonts w:ascii="Times New Roman" w:hAnsi="Times New Roman"/>
          <w:szCs w:val="18"/>
        </w:rPr>
        <w:t>eur</w:t>
      </w:r>
      <w:r>
        <w:rPr>
          <w:rFonts w:ascii="Times New Roman" w:hAnsi="Times New Roman"/>
        </w:rPr>
        <w:t>, kde členovia využívajú výsledky výskumných a vývojových programov pri zvyšovaní bezpečnosti a spoľahlivosti JZ.</w:t>
      </w:r>
    </w:p>
    <w:p w:rsidR="00AA6FD7" w:rsidP="00AA6FD7">
      <w:pPr>
        <w:pStyle w:val="Style"/>
        <w:bidi w:val="0"/>
        <w:spacing w:line="283" w:lineRule="exact"/>
        <w:ind w:right="1"/>
        <w:jc w:val="both"/>
        <w:rPr>
          <w:szCs w:val="18"/>
        </w:rPr>
      </w:pPr>
      <w:r>
        <w:rPr>
          <w:rFonts w:hint="default"/>
        </w:rPr>
        <w:t>Na č</w:t>
      </w:r>
      <w:r>
        <w:rPr>
          <w:rFonts w:hint="default"/>
        </w:rPr>
        <w:t>erpaní</w:t>
      </w:r>
      <w:r>
        <w:rPr>
          <w:rFonts w:hint="default"/>
        </w:rPr>
        <w:t xml:space="preserve"> bež</w:t>
      </w:r>
      <w:r>
        <w:rPr>
          <w:rFonts w:hint="default"/>
        </w:rPr>
        <w:t>ný</w:t>
      </w:r>
      <w:r>
        <w:rPr>
          <w:rFonts w:hint="default"/>
        </w:rPr>
        <w:t>ch vý</w:t>
      </w:r>
      <w:r>
        <w:rPr>
          <w:rFonts w:hint="default"/>
        </w:rPr>
        <w:t>davkov sa nemalou mierou podieľ</w:t>
      </w:r>
      <w:r>
        <w:rPr>
          <w:rFonts w:hint="default"/>
        </w:rPr>
        <w:t>ali aj finanč</w:t>
      </w:r>
      <w:r>
        <w:rPr>
          <w:rFonts w:hint="default"/>
        </w:rPr>
        <w:t>né</w:t>
      </w:r>
      <w:r>
        <w:rPr>
          <w:rFonts w:hint="default"/>
        </w:rPr>
        <w:t xml:space="preserve"> prostriedky na rieš</w:t>
      </w:r>
      <w:r>
        <w:rPr>
          <w:rFonts w:hint="default"/>
        </w:rPr>
        <w:t>enie ú</w:t>
      </w:r>
      <w:r>
        <w:rPr>
          <w:rFonts w:hint="default"/>
        </w:rPr>
        <w:t>lohy v rá</w:t>
      </w:r>
      <w:r>
        <w:rPr>
          <w:rFonts w:hint="default"/>
        </w:rPr>
        <w:t>mci vý</w:t>
      </w:r>
      <w:r>
        <w:rPr>
          <w:rFonts w:hint="default"/>
        </w:rPr>
        <w:t>skumu a vý</w:t>
      </w:r>
      <w:r>
        <w:rPr>
          <w:rFonts w:hint="default"/>
        </w:rPr>
        <w:t>voja v oblasti palí</w:t>
      </w:r>
      <w:r>
        <w:rPr>
          <w:rFonts w:hint="default"/>
        </w:rPr>
        <w:t>v a energie (ď</w:t>
      </w:r>
      <w:r>
        <w:rPr>
          <w:rFonts w:hint="default"/>
        </w:rPr>
        <w:t>alej len „</w:t>
      </w:r>
      <w:r>
        <w:rPr>
          <w:rFonts w:hint="default"/>
        </w:rPr>
        <w:t>RV</w:t>
      </w:r>
      <w:r>
        <w:rPr>
          <w:rFonts w:hint="default"/>
        </w:rPr>
        <w:t>T“</w:t>
      </w:r>
      <w:r>
        <w:rPr>
          <w:rFonts w:hint="default"/>
        </w:rPr>
        <w:t>) vo výš</w:t>
      </w:r>
      <w:r>
        <w:rPr>
          <w:rFonts w:hint="default"/>
        </w:rPr>
        <w:t>ke 995 </w:t>
      </w:r>
      <w:r>
        <w:rPr>
          <w:rFonts w:hint="default"/>
        </w:rPr>
        <w:t>735 eur. Realizá</w:t>
      </w:r>
      <w:r>
        <w:rPr>
          <w:rFonts w:hint="default"/>
        </w:rPr>
        <w:t>cia ú</w:t>
      </w:r>
      <w:r>
        <w:rPr>
          <w:rFonts w:hint="default"/>
        </w:rPr>
        <w:t>lohy RVT s ná</w:t>
      </w:r>
      <w:r>
        <w:rPr>
          <w:rFonts w:hint="default"/>
        </w:rPr>
        <w:t>zvom "Jadrová</w:t>
      </w:r>
      <w:r>
        <w:rPr>
          <w:rFonts w:hint="default"/>
        </w:rPr>
        <w:t xml:space="preserve"> bezpeč</w:t>
      </w:r>
      <w:r>
        <w:rPr>
          <w:rFonts w:hint="default"/>
        </w:rPr>
        <w:t>nosť</w:t>
      </w:r>
      <w:r>
        <w:rPr>
          <w:rFonts w:hint="default"/>
        </w:rPr>
        <w:t xml:space="preserve"> - vý</w:t>
      </w:r>
      <w:r>
        <w:rPr>
          <w:rFonts w:hint="default"/>
        </w:rPr>
        <w:t>skumno-vý</w:t>
      </w:r>
      <w:r>
        <w:rPr>
          <w:rFonts w:hint="default"/>
        </w:rPr>
        <w:t>vojová</w:t>
      </w:r>
      <w:r>
        <w:rPr>
          <w:rFonts w:hint="default"/>
        </w:rPr>
        <w:t xml:space="preserve"> podpora rozhodovania pri vý</w:t>
      </w:r>
      <w:r>
        <w:rPr>
          <w:rFonts w:hint="default"/>
        </w:rPr>
        <w:t>kone dozoru nad jadrovou bezpeč</w:t>
      </w:r>
      <w:r>
        <w:rPr>
          <w:rFonts w:hint="default"/>
        </w:rPr>
        <w:t>nosť</w:t>
      </w:r>
      <w:r>
        <w:rPr>
          <w:rFonts w:hint="default"/>
        </w:rPr>
        <w:t>ou - II. stupeň</w:t>
      </w:r>
      <w:r>
        <w:rPr>
          <w:rFonts w:hint="default"/>
        </w:rPr>
        <w:t>" sú</w:t>
      </w:r>
      <w:r>
        <w:rPr>
          <w:rFonts w:hint="default"/>
        </w:rPr>
        <w:t>visí</w:t>
      </w:r>
      <w:r w:rsidR="00C937B0">
        <w:t xml:space="preserve"> </w:t>
      </w:r>
      <w:r>
        <w:t>s</w:t>
      </w:r>
      <w:r w:rsidR="00C937B0">
        <w:t> </w:t>
      </w:r>
      <w:r>
        <w:rPr>
          <w:rFonts w:hint="default"/>
        </w:rPr>
        <w:t>potrebou SR zabezpeč</w:t>
      </w:r>
      <w:r>
        <w:rPr>
          <w:rFonts w:hint="default"/>
        </w:rPr>
        <w:t>iť</w:t>
      </w:r>
      <w:r>
        <w:rPr>
          <w:rFonts w:hint="default"/>
        </w:rPr>
        <w:t xml:space="preserve"> plnenie ná</w:t>
      </w:r>
      <w:r>
        <w:rPr>
          <w:rFonts w:hint="default"/>
        </w:rPr>
        <w:t>roč</w:t>
      </w:r>
      <w:r>
        <w:rPr>
          <w:rFonts w:hint="default"/>
        </w:rPr>
        <w:t>ný</w:t>
      </w:r>
      <w:r>
        <w:rPr>
          <w:rFonts w:hint="default"/>
        </w:rPr>
        <w:t>ch ú</w:t>
      </w:r>
      <w:r>
        <w:rPr>
          <w:rFonts w:hint="default"/>
        </w:rPr>
        <w:t>loh v oblasti vý</w:t>
      </w:r>
      <w:r>
        <w:rPr>
          <w:rFonts w:hint="default"/>
        </w:rPr>
        <w:t>konu dozoru na</w:t>
      </w:r>
      <w:r>
        <w:rPr>
          <w:rFonts w:hint="default"/>
        </w:rPr>
        <w:t>d jadrovou bezpeč</w:t>
      </w:r>
      <w:r>
        <w:rPr>
          <w:rFonts w:hint="default"/>
        </w:rPr>
        <w:t>nosť</w:t>
      </w:r>
      <w:r>
        <w:rPr>
          <w:rFonts w:hint="default"/>
        </w:rPr>
        <w:t>ou JZ a v oblasti havarijné</w:t>
      </w:r>
      <w:r>
        <w:rPr>
          <w:rFonts w:hint="default"/>
        </w:rPr>
        <w:t>ho plá</w:t>
      </w:r>
      <w:r>
        <w:rPr>
          <w:rFonts w:hint="default"/>
        </w:rPr>
        <w:t>novania z pozí</w:t>
      </w:r>
      <w:r>
        <w:rPr>
          <w:rFonts w:hint="default"/>
        </w:rPr>
        <w:t>cie š</w:t>
      </w:r>
      <w:r>
        <w:rPr>
          <w:rFonts w:hint="default"/>
        </w:rPr>
        <w:t>tá</w:t>
      </w:r>
      <w:r>
        <w:rPr>
          <w:rFonts w:hint="default"/>
        </w:rPr>
        <w:t>tu.</w:t>
      </w:r>
    </w:p>
    <w:p w:rsidR="00AA6FD7" w:rsidRPr="00804193" w:rsidP="00AA6FD7">
      <w:pPr>
        <w:bidi w:val="0"/>
        <w:jc w:val="both"/>
        <w:rPr>
          <w:rFonts w:ascii="Times New Roman" w:hAnsi="Times New Roman"/>
          <w:szCs w:val="18"/>
        </w:rPr>
      </w:pPr>
      <w:r>
        <w:rPr>
          <w:rFonts w:ascii="Times New Roman" w:hAnsi="Times New Roman"/>
          <w:szCs w:val="18"/>
        </w:rPr>
        <w:t>Na výdavky na expertízy, posudky a analýzy,</w:t>
      </w:r>
      <w:r>
        <w:rPr>
          <w:rFonts w:ascii="Times New Roman" w:hAnsi="Times New Roman"/>
        </w:rPr>
        <w:t xml:space="preserve"> ktoré sú nevyhnutnou podporou pri rozhodovacej, licenčnej a inšpekčnej činnosti ÚJD SR </w:t>
      </w:r>
      <w:r>
        <w:rPr>
          <w:rFonts w:ascii="Times New Roman" w:hAnsi="Times New Roman"/>
          <w:szCs w:val="18"/>
        </w:rPr>
        <w:t>boli použité rozpočtové prostriedky vo výške 111 391 eur.</w:t>
      </w:r>
    </w:p>
    <w:p w:rsidR="00AA6FD7" w:rsidP="00AA6FD7">
      <w:pPr>
        <w:pStyle w:val="BodyText"/>
        <w:bidi w:val="0"/>
        <w:rPr>
          <w:rFonts w:ascii="Times New Roman" w:hAnsi="Times New Roman"/>
          <w:szCs w:val="18"/>
        </w:rPr>
      </w:pPr>
      <w:r>
        <w:rPr>
          <w:rFonts w:ascii="Times New Roman" w:hAnsi="Times New Roman"/>
          <w:szCs w:val="18"/>
        </w:rPr>
        <w:t>Na mzdové výdavky pre priemerný počet 89 zamestnancov sa čerpalo 1 616 660 eur a na zákonné poistenie zamestnancov sa vynaložili výdavky vo výške 577 812 eur.</w:t>
      </w:r>
    </w:p>
    <w:p w:rsidR="00AA6FD7" w:rsidP="00AA6FD7">
      <w:pPr>
        <w:bidi w:val="0"/>
        <w:jc w:val="both"/>
        <w:rPr>
          <w:rFonts w:ascii="Times New Roman" w:hAnsi="Times New Roman"/>
          <w:szCs w:val="18"/>
        </w:rPr>
      </w:pPr>
      <w:r>
        <w:rPr>
          <w:rFonts w:ascii="Times New Roman" w:hAnsi="Times New Roman"/>
          <w:szCs w:val="18"/>
        </w:rPr>
        <w:t>Na obstaranie tovarov a služieb nevyhnutných pre chod ÚJD SR boli vynaložené finančné prostriedky vo výške 823 910 eur. Základné druhové členenie týchto výdavkov vyplýva z ekonomickej rozpočtovej klasifikácie výdavkov a ich čerpanie bolo nasledovné:</w:t>
      </w:r>
    </w:p>
    <w:p w:rsidR="00AA6FD7" w:rsidP="00AA6FD7">
      <w:pPr>
        <w:bidi w:val="0"/>
        <w:jc w:val="both"/>
        <w:rPr>
          <w:rFonts w:ascii="Times New Roman" w:hAnsi="Times New Roman"/>
          <w:szCs w:val="18"/>
        </w:rPr>
      </w:pPr>
    </w:p>
    <w:p w:rsidR="00BC73CA" w:rsidP="00AA6FD7">
      <w:pPr>
        <w:bidi w:val="0"/>
        <w:jc w:val="both"/>
        <w:rPr>
          <w:rFonts w:ascii="Times New Roman" w:hAnsi="Times New Roman"/>
          <w:szCs w:val="18"/>
        </w:rPr>
      </w:pPr>
    </w:p>
    <w:p w:rsidR="0077492E" w:rsidP="00AA6FD7">
      <w:pPr>
        <w:bidi w:val="0"/>
        <w:jc w:val="both"/>
        <w:rPr>
          <w:rFonts w:ascii="Times New Roman" w:hAnsi="Times New Roman"/>
          <w:szCs w:val="18"/>
        </w:rPr>
      </w:pPr>
    </w:p>
    <w:p w:rsidR="0077492E" w:rsidP="00AA6FD7">
      <w:pPr>
        <w:bidi w:val="0"/>
        <w:jc w:val="both"/>
        <w:rPr>
          <w:rFonts w:ascii="Times New Roman" w:hAnsi="Times New Roman"/>
          <w:szCs w:val="18"/>
        </w:rPr>
      </w:pPr>
    </w:p>
    <w:p w:rsidR="0077492E" w:rsidP="00AA6FD7">
      <w:pPr>
        <w:bidi w:val="0"/>
        <w:jc w:val="both"/>
        <w:rPr>
          <w:rFonts w:ascii="Times New Roman" w:hAnsi="Times New Roman"/>
          <w:szCs w:val="18"/>
        </w:rPr>
      </w:pPr>
    </w:p>
    <w:p w:rsidR="00AA6FD7" w:rsidP="00AA6FD7">
      <w:pPr>
        <w:bidi w:val="0"/>
        <w:jc w:val="both"/>
        <w:rPr>
          <w:rFonts w:ascii="Times New Roman" w:hAnsi="Times New Roman"/>
          <w:szCs w:val="18"/>
        </w:rPr>
      </w:pPr>
      <w:r>
        <w:rPr>
          <w:rFonts w:ascii="Times New Roman" w:hAnsi="Times New Roman"/>
          <w:szCs w:val="18"/>
        </w:rPr>
        <w:t>Tab.č.8 Čerpanie výdavkov na obstaranie tovarov a služieb v roku 2011</w:t>
      </w:r>
    </w:p>
    <w:tbl>
      <w:tblPr>
        <w:tblStyle w:val="TableNormal"/>
        <w:tblW w:w="9072" w:type="dxa"/>
        <w:tblInd w:w="108"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4A0"/>
      </w:tblPr>
      <w:tblGrid>
        <w:gridCol w:w="6521"/>
        <w:gridCol w:w="2551"/>
      </w:tblGrid>
      <w:tr>
        <w:tblPrEx>
          <w:tblW w:w="9072" w:type="dxa"/>
          <w:tblInd w:w="108" w:type="dxa"/>
          <w:tblBorders>
            <w:top w:val="threeDEmboss" w:sz="24" w:space="0" w:color="auto"/>
            <w:left w:val="threeDEmboss" w:sz="24" w:space="0" w:color="auto"/>
            <w:bottom w:val="threeDEmboss" w:sz="24" w:space="0" w:color="auto"/>
            <w:right w:val="threeDEmboss" w:sz="24" w:space="0" w:color="auto"/>
            <w:insideH w:val="single" w:sz="6" w:space="0" w:color="auto"/>
            <w:insideV w:val="single" w:sz="6" w:space="0" w:color="auto"/>
          </w:tblBorders>
          <w:tblLayout w:type="fixed"/>
          <w:tblLook w:val="04A0"/>
        </w:tblPrEx>
        <w:trPr>
          <w:trHeight w:val="454"/>
        </w:trPr>
        <w:tc>
          <w:tcPr>
            <w:tcW w:w="6521" w:type="dxa"/>
            <w:tcBorders>
              <w:top w:val="single" w:sz="4" w:space="0" w:color="auto"/>
              <w:left w:val="single" w:sz="4" w:space="0" w:color="auto"/>
              <w:bottom w:val="single" w:sz="12" w:space="0" w:color="auto"/>
              <w:right w:val="single" w:sz="6" w:space="0" w:color="auto"/>
            </w:tcBorders>
            <w:shd w:val="clear" w:color="auto" w:fill="D9D9D9"/>
            <w:textDirection w:val="lrTb"/>
            <w:vAlign w:val="top"/>
          </w:tcPr>
          <w:p w:rsidR="00AA6FD7" w:rsidRPr="001719CD" w:rsidP="000817E6">
            <w:pPr>
              <w:bidi w:val="0"/>
              <w:jc w:val="center"/>
              <w:rPr>
                <w:rFonts w:ascii="Times New Roman" w:eastAsia="Calibri" w:hAnsi="Times New Roman" w:hint="default"/>
                <w:b/>
                <w:szCs w:val="24"/>
              </w:rPr>
            </w:pPr>
            <w:r w:rsidRPr="001719CD">
              <w:rPr>
                <w:rFonts w:ascii="Times New Roman" w:eastAsia="Calibri" w:hAnsi="Times New Roman" w:hint="default"/>
                <w:b/>
                <w:szCs w:val="24"/>
              </w:rPr>
              <w:t>Polož</w:t>
            </w:r>
            <w:r w:rsidRPr="001719CD">
              <w:rPr>
                <w:rFonts w:ascii="Times New Roman" w:eastAsia="Calibri" w:hAnsi="Times New Roman" w:hint="default"/>
                <w:b/>
                <w:szCs w:val="24"/>
              </w:rPr>
              <w:t>ka</w:t>
            </w:r>
          </w:p>
        </w:tc>
        <w:tc>
          <w:tcPr>
            <w:tcW w:w="2551" w:type="dxa"/>
            <w:tcBorders>
              <w:top w:val="single" w:sz="4" w:space="0" w:color="auto"/>
              <w:left w:val="single" w:sz="6" w:space="0" w:color="auto"/>
              <w:bottom w:val="single" w:sz="12" w:space="0" w:color="auto"/>
              <w:right w:val="single" w:sz="4" w:space="0" w:color="auto"/>
            </w:tcBorders>
            <w:shd w:val="clear" w:color="auto" w:fill="D9D9D9"/>
            <w:textDirection w:val="lrTb"/>
            <w:vAlign w:val="top"/>
          </w:tcPr>
          <w:p w:rsidR="00AA6FD7" w:rsidRPr="001719CD" w:rsidP="000817E6">
            <w:pPr>
              <w:bidi w:val="0"/>
              <w:jc w:val="center"/>
              <w:rPr>
                <w:rFonts w:ascii="Times New Roman" w:eastAsia="Calibri" w:hAnsi="Times New Roman" w:hint="default"/>
                <w:b/>
                <w:szCs w:val="24"/>
              </w:rPr>
            </w:pPr>
            <w:r w:rsidRPr="001719CD">
              <w:rPr>
                <w:rFonts w:ascii="Times New Roman" w:eastAsia="Calibri" w:hAnsi="Times New Roman" w:hint="default"/>
                <w:b/>
                <w:szCs w:val="24"/>
              </w:rPr>
              <w:t xml:space="preserve">Suma (v </w:t>
            </w:r>
            <w:r w:rsidRPr="001719CD">
              <w:rPr>
                <w:rFonts w:ascii="Times New Roman" w:eastAsia="Calibri" w:hAnsi="Times New Roman" w:hint="default"/>
                <w:b/>
                <w:szCs w:val="24"/>
              </w:rPr>
              <w:t>eurá</w:t>
            </w:r>
            <w:r w:rsidRPr="001719CD">
              <w:rPr>
                <w:rFonts w:ascii="Times New Roman" w:eastAsia="Calibri" w:hAnsi="Times New Roman" w:hint="default"/>
                <w:b/>
                <w:szCs w:val="24"/>
              </w:rPr>
              <w:t>ch)</w:t>
            </w:r>
          </w:p>
        </w:tc>
      </w:tr>
      <w:tr>
        <w:tblPrEx>
          <w:tblW w:w="9072" w:type="dxa"/>
          <w:tblInd w:w="108" w:type="dxa"/>
          <w:tblLayout w:type="fixed"/>
          <w:tblLook w:val="04A0"/>
        </w:tblPrEx>
        <w:tc>
          <w:tcPr>
            <w:tcW w:w="6521" w:type="dxa"/>
            <w:tcBorders>
              <w:top w:val="single" w:sz="12"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cestovné</w:t>
            </w:r>
            <w:r w:rsidRPr="00223926">
              <w:rPr>
                <w:rFonts w:ascii="Times New Roman" w:eastAsia="Calibri" w:hAnsi="Times New Roman" w:hint="default"/>
                <w:szCs w:val="24"/>
              </w:rPr>
              <w:t xml:space="preserve"> vý</w:t>
            </w:r>
            <w:r w:rsidRPr="00223926">
              <w:rPr>
                <w:rFonts w:ascii="Times New Roman" w:eastAsia="Calibri" w:hAnsi="Times New Roman" w:hint="default"/>
                <w:szCs w:val="24"/>
              </w:rPr>
              <w:t>davky</w:t>
            </w:r>
          </w:p>
        </w:tc>
        <w:tc>
          <w:tcPr>
            <w:tcW w:w="2551" w:type="dxa"/>
            <w:tcBorders>
              <w:top w:val="single" w:sz="12"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123 402</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komuniká</w:t>
            </w:r>
            <w:r w:rsidRPr="00223926">
              <w:rPr>
                <w:rFonts w:ascii="Times New Roman" w:eastAsia="Calibri" w:hAnsi="Times New Roman" w:hint="default"/>
                <w:szCs w:val="24"/>
              </w:rPr>
              <w:t>cie a energie</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61 431</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materiá</w:t>
            </w:r>
            <w:r w:rsidRPr="00223926">
              <w:rPr>
                <w:rFonts w:ascii="Times New Roman" w:eastAsia="Calibri" w:hAnsi="Times New Roman" w:hint="default"/>
                <w:szCs w:val="24"/>
              </w:rPr>
              <w:t xml:space="preserve">l </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98 164</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szCs w:val="24"/>
              </w:rPr>
            </w:pPr>
            <w:r w:rsidRPr="00223926">
              <w:rPr>
                <w:rFonts w:ascii="Times New Roman" w:eastAsia="Calibri" w:hAnsi="Times New Roman"/>
                <w:szCs w:val="24"/>
              </w:rPr>
              <w:t>autodoprav</w:t>
            </w:r>
            <w:r>
              <w:rPr>
                <w:rFonts w:ascii="Times New Roman" w:eastAsia="Calibri" w:hAnsi="Times New Roman"/>
                <w:szCs w:val="24"/>
              </w:rPr>
              <w:t>a</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35 033</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rutinná</w:t>
            </w:r>
            <w:r w:rsidRPr="00223926">
              <w:rPr>
                <w:rFonts w:ascii="Times New Roman" w:eastAsia="Calibri" w:hAnsi="Times New Roman" w:hint="default"/>
                <w:szCs w:val="24"/>
              </w:rPr>
              <w:t xml:space="preserve"> a </w:t>
            </w:r>
            <w:r w:rsidRPr="00223926">
              <w:rPr>
                <w:rFonts w:ascii="Times New Roman" w:eastAsia="Calibri" w:hAnsi="Times New Roman" w:hint="default"/>
                <w:szCs w:val="24"/>
              </w:rPr>
              <w:t>š</w:t>
            </w:r>
            <w:r w:rsidRPr="00223926">
              <w:rPr>
                <w:rFonts w:ascii="Times New Roman" w:eastAsia="Calibri" w:hAnsi="Times New Roman" w:hint="default"/>
                <w:szCs w:val="24"/>
              </w:rPr>
              <w:t>tandardná</w:t>
            </w:r>
            <w:r w:rsidRPr="00223926">
              <w:rPr>
                <w:rFonts w:ascii="Times New Roman" w:eastAsia="Calibri" w:hAnsi="Times New Roman" w:hint="default"/>
                <w:szCs w:val="24"/>
              </w:rPr>
              <w:t xml:space="preserve"> ú</w:t>
            </w:r>
            <w:r w:rsidRPr="00223926">
              <w:rPr>
                <w:rFonts w:ascii="Times New Roman" w:eastAsia="Calibri" w:hAnsi="Times New Roman" w:hint="default"/>
                <w:szCs w:val="24"/>
              </w:rPr>
              <w:t>drž</w:t>
            </w:r>
            <w:r w:rsidRPr="00223926">
              <w:rPr>
                <w:rFonts w:ascii="Times New Roman" w:eastAsia="Calibri" w:hAnsi="Times New Roman" w:hint="default"/>
                <w:szCs w:val="24"/>
              </w:rPr>
              <w:t>ba budovy a </w:t>
            </w:r>
            <w:r w:rsidRPr="00223926">
              <w:rPr>
                <w:rFonts w:ascii="Times New Roman" w:eastAsia="Calibri" w:hAnsi="Times New Roman" w:hint="default"/>
                <w:szCs w:val="24"/>
              </w:rPr>
              <w:t>prevá</w:t>
            </w:r>
            <w:r w:rsidRPr="00223926">
              <w:rPr>
                <w:rFonts w:ascii="Times New Roman" w:eastAsia="Calibri" w:hAnsi="Times New Roman" w:hint="default"/>
                <w:szCs w:val="24"/>
              </w:rPr>
              <w:t>dzkový</w:t>
            </w:r>
            <w:r w:rsidRPr="00223926">
              <w:rPr>
                <w:rFonts w:ascii="Times New Roman" w:eastAsia="Calibri" w:hAnsi="Times New Roman" w:hint="default"/>
                <w:szCs w:val="24"/>
              </w:rPr>
              <w:t>ch zariadení</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117 109</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C937B0">
            <w:pPr>
              <w:bidi w:val="0"/>
              <w:rPr>
                <w:rFonts w:ascii="Times New Roman" w:eastAsia="Calibri" w:hAnsi="Times New Roman" w:hint="default"/>
                <w:szCs w:val="24"/>
              </w:rPr>
            </w:pPr>
            <w:r w:rsidRPr="00223926">
              <w:rPr>
                <w:rFonts w:ascii="Times New Roman" w:eastAsia="Calibri" w:hAnsi="Times New Roman" w:hint="default"/>
                <w:szCs w:val="24"/>
              </w:rPr>
              <w:t>ná</w:t>
            </w:r>
            <w:r w:rsidRPr="00223926">
              <w:rPr>
                <w:rFonts w:ascii="Times New Roman" w:eastAsia="Calibri" w:hAnsi="Times New Roman" w:hint="default"/>
                <w:szCs w:val="24"/>
              </w:rPr>
              <w:t>jomné</w:t>
            </w:r>
            <w:r w:rsidRPr="00223926">
              <w:rPr>
                <w:rFonts w:ascii="Times New Roman" w:eastAsia="Calibri" w:hAnsi="Times New Roman" w:hint="default"/>
                <w:szCs w:val="24"/>
              </w:rPr>
              <w:t xml:space="preserve"> za prená</w:t>
            </w:r>
            <w:r w:rsidRPr="00223926">
              <w:rPr>
                <w:rFonts w:ascii="Times New Roman" w:eastAsia="Calibri" w:hAnsi="Times New Roman" w:hint="default"/>
                <w:szCs w:val="24"/>
              </w:rPr>
              <w:t>jom kancelá</w:t>
            </w:r>
            <w:r w:rsidRPr="00223926">
              <w:rPr>
                <w:rFonts w:ascii="Times New Roman" w:eastAsia="Calibri" w:hAnsi="Times New Roman" w:hint="default"/>
                <w:szCs w:val="24"/>
              </w:rPr>
              <w:t>rskych priestorov, garáž</w:t>
            </w:r>
            <w:r w:rsidR="00C937B0">
              <w:rPr>
                <w:rFonts w:ascii="Times New Roman" w:eastAsia="Calibri" w:hAnsi="Times New Roman"/>
                <w:szCs w:val="24"/>
              </w:rPr>
              <w:t>e</w:t>
            </w:r>
            <w:r w:rsidRPr="00223926">
              <w:rPr>
                <w:rFonts w:ascii="Times New Roman" w:eastAsia="Calibri" w:hAnsi="Times New Roman" w:hint="default"/>
                <w:szCs w:val="24"/>
              </w:rPr>
              <w:t>, rokovací</w:t>
            </w:r>
            <w:r w:rsidRPr="00223926">
              <w:rPr>
                <w:rFonts w:ascii="Times New Roman" w:eastAsia="Calibri" w:hAnsi="Times New Roman" w:hint="default"/>
                <w:szCs w:val="24"/>
              </w:rPr>
              <w:t>ch miestností</w:t>
            </w:r>
            <w:r w:rsidRPr="00223926">
              <w:rPr>
                <w:rFonts w:ascii="Times New Roman" w:eastAsia="Calibri" w:hAnsi="Times New Roman" w:hint="default"/>
                <w:szCs w:val="24"/>
              </w:rPr>
              <w:t xml:space="preserve"> a zaria</w:t>
            </w:r>
            <w:r w:rsidRPr="00223926">
              <w:rPr>
                <w:rFonts w:ascii="Times New Roman" w:eastAsia="Calibri" w:hAnsi="Times New Roman" w:hint="default"/>
                <w:szCs w:val="24"/>
              </w:rPr>
              <w:t>dení</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RPr="00223926" w:rsidP="000817E6">
            <w:pPr>
              <w:bidi w:val="0"/>
              <w:jc w:val="right"/>
              <w:rPr>
                <w:rFonts w:ascii="Times New Roman" w:eastAsia="Calibri" w:hAnsi="Times New Roman"/>
                <w:szCs w:val="24"/>
              </w:rPr>
            </w:pPr>
            <w:r>
              <w:rPr>
                <w:rFonts w:ascii="Times New Roman" w:eastAsia="Calibri" w:hAnsi="Times New Roman"/>
                <w:szCs w:val="24"/>
              </w:rPr>
              <w:t>34 081</w:t>
            </w:r>
          </w:p>
        </w:tc>
      </w:tr>
      <w:tr>
        <w:tblPrEx>
          <w:tblW w:w="9072" w:type="dxa"/>
          <w:tblInd w:w="108" w:type="dxa"/>
          <w:tblLayout w:type="fixed"/>
          <w:tblLook w:val="04A0"/>
        </w:tblPrEx>
        <w:tc>
          <w:tcPr>
            <w:tcW w:w="6521" w:type="dxa"/>
            <w:tcBorders>
              <w:top w:val="single" w:sz="6" w:space="0" w:color="auto"/>
              <w:left w:val="single" w:sz="4" w:space="0" w:color="auto"/>
              <w:bottom w:val="single" w:sz="6" w:space="0" w:color="auto"/>
              <w:right w:val="single" w:sz="6" w:space="0" w:color="auto"/>
            </w:tcBorders>
            <w:textDirection w:val="lrTb"/>
            <w:vAlign w:val="top"/>
          </w:tcPr>
          <w:p w:rsidR="00AA6FD7" w:rsidRPr="00223926" w:rsidP="000817E6">
            <w:pPr>
              <w:bidi w:val="0"/>
              <w:rPr>
                <w:rFonts w:ascii="Times New Roman" w:eastAsia="Calibri" w:hAnsi="Times New Roman"/>
                <w:szCs w:val="24"/>
              </w:rPr>
            </w:pPr>
            <w:r w:rsidRPr="00223926">
              <w:rPr>
                <w:rFonts w:ascii="Times New Roman" w:eastAsia="Calibri" w:hAnsi="Times New Roman" w:hint="default"/>
                <w:szCs w:val="24"/>
              </w:rPr>
              <w:t>služ</w:t>
            </w:r>
            <w:r w:rsidRPr="00223926">
              <w:rPr>
                <w:rFonts w:ascii="Times New Roman" w:eastAsia="Calibri" w:hAnsi="Times New Roman" w:hint="default"/>
                <w:szCs w:val="24"/>
              </w:rPr>
              <w:t>by (tlač</w:t>
            </w:r>
            <w:r w:rsidRPr="00223926">
              <w:rPr>
                <w:rFonts w:ascii="Times New Roman" w:eastAsia="Calibri" w:hAnsi="Times New Roman" w:hint="default"/>
                <w:szCs w:val="24"/>
              </w:rPr>
              <w:t>iarenské</w:t>
            </w:r>
            <w:r w:rsidRPr="00223926">
              <w:rPr>
                <w:rFonts w:ascii="Times New Roman" w:eastAsia="Calibri" w:hAnsi="Times New Roman" w:hint="default"/>
                <w:szCs w:val="24"/>
              </w:rPr>
              <w:t>, rozmnož</w:t>
            </w:r>
            <w:r w:rsidRPr="00223926">
              <w:rPr>
                <w:rFonts w:ascii="Times New Roman" w:eastAsia="Calibri" w:hAnsi="Times New Roman" w:hint="default"/>
                <w:szCs w:val="24"/>
              </w:rPr>
              <w:t>ovacie, upratovacie, prekladateľ</w:t>
            </w:r>
            <w:r w:rsidRPr="00223926">
              <w:rPr>
                <w:rFonts w:ascii="Times New Roman" w:eastAsia="Calibri" w:hAnsi="Times New Roman" w:hint="default"/>
                <w:szCs w:val="24"/>
              </w:rPr>
              <w:t>ské</w:t>
            </w:r>
            <w:r w:rsidRPr="00223926">
              <w:rPr>
                <w:rFonts w:ascii="Times New Roman" w:eastAsia="Calibri" w:hAnsi="Times New Roman" w:hint="default"/>
                <w:szCs w:val="24"/>
              </w:rPr>
              <w:t>, informač</w:t>
            </w:r>
            <w:r w:rsidRPr="00223926">
              <w:rPr>
                <w:rFonts w:ascii="Times New Roman" w:eastAsia="Calibri" w:hAnsi="Times New Roman" w:hint="default"/>
                <w:szCs w:val="24"/>
              </w:rPr>
              <w:t>né</w:t>
            </w:r>
            <w:r w:rsidRPr="00223926">
              <w:rPr>
                <w:rFonts w:ascii="Times New Roman" w:eastAsia="Calibri" w:hAnsi="Times New Roman" w:hint="default"/>
                <w:szCs w:val="24"/>
              </w:rPr>
              <w:t>, reví</w:t>
            </w:r>
            <w:r w:rsidRPr="00223926">
              <w:rPr>
                <w:rFonts w:ascii="Times New Roman" w:eastAsia="Calibri" w:hAnsi="Times New Roman" w:hint="default"/>
                <w:szCs w:val="24"/>
              </w:rPr>
              <w:t>zie zariadení</w:t>
            </w:r>
            <w:r w:rsidRPr="00223926">
              <w:rPr>
                <w:rFonts w:ascii="Times New Roman" w:eastAsia="Calibri" w:hAnsi="Times New Roman" w:hint="default"/>
                <w:szCs w:val="24"/>
              </w:rPr>
              <w:t>, š</w:t>
            </w:r>
            <w:r w:rsidRPr="00223926">
              <w:rPr>
                <w:rFonts w:ascii="Times New Roman" w:eastAsia="Calibri" w:hAnsi="Times New Roman" w:hint="default"/>
                <w:szCs w:val="24"/>
              </w:rPr>
              <w:t>kolenia, inzerciu, stravovanie, poplatky banke, prí</w:t>
            </w:r>
            <w:r w:rsidRPr="00223926">
              <w:rPr>
                <w:rFonts w:ascii="Times New Roman" w:eastAsia="Calibri" w:hAnsi="Times New Roman" w:hint="default"/>
                <w:szCs w:val="24"/>
              </w:rPr>
              <w:t>del do Sociá</w:t>
            </w:r>
            <w:r w:rsidRPr="00223926">
              <w:rPr>
                <w:rFonts w:ascii="Times New Roman" w:eastAsia="Calibri" w:hAnsi="Times New Roman" w:hint="default"/>
                <w:szCs w:val="24"/>
              </w:rPr>
              <w:t>lneho fondu a</w:t>
            </w:r>
            <w:r>
              <w:rPr>
                <w:rFonts w:ascii="Times New Roman" w:eastAsia="Calibri" w:hAnsi="Times New Roman"/>
                <w:szCs w:val="24"/>
              </w:rPr>
              <w:t> </w:t>
            </w:r>
            <w:r w:rsidRPr="00223926">
              <w:rPr>
                <w:rFonts w:ascii="Times New Roman" w:eastAsia="Calibri" w:hAnsi="Times New Roman" w:hint="default"/>
                <w:szCs w:val="24"/>
              </w:rPr>
              <w:t>iné</w:t>
            </w:r>
            <w:r>
              <w:rPr>
                <w:rFonts w:ascii="Times New Roman" w:eastAsia="Calibri" w:hAnsi="Times New Roman"/>
                <w:szCs w:val="24"/>
              </w:rPr>
              <w:t>)</w:t>
            </w:r>
          </w:p>
        </w:tc>
        <w:tc>
          <w:tcPr>
            <w:tcW w:w="2551" w:type="dxa"/>
            <w:tcBorders>
              <w:top w:val="single" w:sz="6" w:space="0" w:color="auto"/>
              <w:left w:val="single" w:sz="6" w:space="0" w:color="auto"/>
              <w:bottom w:val="single" w:sz="6" w:space="0" w:color="auto"/>
              <w:right w:val="single" w:sz="4" w:space="0" w:color="auto"/>
            </w:tcBorders>
            <w:textDirection w:val="lrTb"/>
            <w:vAlign w:val="top"/>
          </w:tcPr>
          <w:p w:rsidR="00AA6FD7" w:rsidP="000817E6">
            <w:pPr>
              <w:bidi w:val="0"/>
              <w:jc w:val="right"/>
              <w:rPr>
                <w:rFonts w:ascii="Times New Roman" w:eastAsia="Calibri" w:hAnsi="Times New Roman"/>
                <w:szCs w:val="24"/>
              </w:rPr>
            </w:pPr>
            <w:r>
              <w:rPr>
                <w:rFonts w:ascii="Times New Roman" w:eastAsia="Calibri" w:hAnsi="Times New Roman"/>
                <w:szCs w:val="24"/>
              </w:rPr>
              <w:t>354 690</w:t>
            </w:r>
          </w:p>
        </w:tc>
      </w:tr>
      <w:tr>
        <w:tblPrEx>
          <w:tblW w:w="9072" w:type="dxa"/>
          <w:tblInd w:w="108" w:type="dxa"/>
          <w:tblLayout w:type="fixed"/>
          <w:tblLook w:val="04A0"/>
        </w:tblPrEx>
        <w:tc>
          <w:tcPr>
            <w:tcW w:w="6521" w:type="dxa"/>
            <w:tcBorders>
              <w:top w:val="single" w:sz="6" w:space="0" w:color="auto"/>
              <w:left w:val="single" w:sz="4" w:space="0" w:color="auto"/>
              <w:bottom w:val="single" w:sz="4" w:space="0" w:color="auto"/>
              <w:right w:val="single" w:sz="6" w:space="0" w:color="auto"/>
            </w:tcBorders>
            <w:shd w:val="clear" w:color="auto" w:fill="D9D9D9"/>
            <w:textDirection w:val="lrTb"/>
            <w:vAlign w:val="top"/>
          </w:tcPr>
          <w:p w:rsidR="00AA6FD7" w:rsidRPr="001719CD" w:rsidP="000817E6">
            <w:pPr>
              <w:bidi w:val="0"/>
              <w:rPr>
                <w:rFonts w:ascii="Times New Roman" w:eastAsia="Calibri" w:hAnsi="Times New Roman"/>
                <w:b/>
                <w:szCs w:val="24"/>
              </w:rPr>
            </w:pPr>
            <w:r w:rsidRPr="001719CD">
              <w:rPr>
                <w:rFonts w:ascii="Times New Roman" w:eastAsia="Calibri" w:hAnsi="Times New Roman"/>
                <w:b/>
                <w:szCs w:val="24"/>
              </w:rPr>
              <w:t>Spolu</w:t>
            </w:r>
          </w:p>
        </w:tc>
        <w:tc>
          <w:tcPr>
            <w:tcW w:w="2551" w:type="dxa"/>
            <w:tcBorders>
              <w:top w:val="single" w:sz="6" w:space="0" w:color="auto"/>
              <w:left w:val="single" w:sz="6" w:space="0" w:color="auto"/>
              <w:bottom w:val="single" w:sz="4" w:space="0" w:color="auto"/>
              <w:right w:val="single" w:sz="4" w:space="0" w:color="auto"/>
            </w:tcBorders>
            <w:shd w:val="clear" w:color="auto" w:fill="D9D9D9"/>
            <w:textDirection w:val="lrTb"/>
            <w:vAlign w:val="top"/>
          </w:tcPr>
          <w:p w:rsidR="00AA6FD7" w:rsidRPr="001719CD" w:rsidP="000817E6">
            <w:pPr>
              <w:bidi w:val="0"/>
              <w:jc w:val="right"/>
              <w:rPr>
                <w:rFonts w:ascii="Times New Roman" w:eastAsia="Calibri" w:hAnsi="Times New Roman"/>
                <w:b/>
                <w:szCs w:val="24"/>
              </w:rPr>
            </w:pPr>
            <w:r>
              <w:rPr>
                <w:rFonts w:ascii="Times New Roman" w:hAnsi="Times New Roman"/>
                <w:b/>
                <w:szCs w:val="18"/>
              </w:rPr>
              <w:t>823 910</w:t>
            </w:r>
          </w:p>
        </w:tc>
      </w:tr>
    </w:tbl>
    <w:p w:rsidR="00AA6FD7" w:rsidP="00AA6FD7">
      <w:pPr>
        <w:bidi w:val="0"/>
        <w:jc w:val="both"/>
        <w:rPr>
          <w:rFonts w:ascii="Times New Roman" w:hAnsi="Times New Roman"/>
          <w:szCs w:val="18"/>
        </w:rPr>
      </w:pPr>
    </w:p>
    <w:p w:rsidR="00AA6FD7" w:rsidP="00AA6FD7">
      <w:pPr>
        <w:pStyle w:val="Style"/>
        <w:bidi w:val="0"/>
        <w:spacing w:line="283" w:lineRule="exact"/>
        <w:ind w:right="1"/>
        <w:jc w:val="both"/>
        <w:rPr>
          <w:rFonts w:hint="default"/>
          <w:szCs w:val="18"/>
        </w:rPr>
      </w:pPr>
      <w:r>
        <w:rPr>
          <w:rFonts w:hint="default"/>
          <w:szCs w:val="18"/>
        </w:rPr>
        <w:t>Tuzemské</w:t>
      </w:r>
      <w:r>
        <w:rPr>
          <w:rFonts w:hint="default"/>
          <w:szCs w:val="18"/>
        </w:rPr>
        <w:t xml:space="preserve"> transfery vo výš</w:t>
      </w:r>
      <w:r>
        <w:rPr>
          <w:rFonts w:hint="default"/>
          <w:szCs w:val="18"/>
        </w:rPr>
        <w:t xml:space="preserve">ke 6 859 eur </w:t>
      </w:r>
      <w:r>
        <w:rPr>
          <w:rFonts w:hint="default"/>
          <w:szCs w:val="18"/>
        </w:rPr>
        <w:t>boli použ</w:t>
      </w:r>
      <w:r>
        <w:rPr>
          <w:rFonts w:hint="default"/>
          <w:szCs w:val="18"/>
        </w:rPr>
        <w:t>ité</w:t>
      </w:r>
      <w:r>
        <w:rPr>
          <w:rFonts w:hint="default"/>
          <w:szCs w:val="18"/>
        </w:rPr>
        <w:t xml:space="preserve"> na ú</w:t>
      </w:r>
      <w:r>
        <w:rPr>
          <w:rFonts w:hint="default"/>
          <w:szCs w:val="18"/>
        </w:rPr>
        <w:t>hradu č</w:t>
      </w:r>
      <w:r>
        <w:rPr>
          <w:rFonts w:hint="default"/>
          <w:szCs w:val="18"/>
        </w:rPr>
        <w:t>lenské</w:t>
      </w:r>
      <w:r>
        <w:rPr>
          <w:rFonts w:hint="default"/>
          <w:szCs w:val="18"/>
        </w:rPr>
        <w:t>ho prí</w:t>
      </w:r>
      <w:r>
        <w:rPr>
          <w:rFonts w:hint="default"/>
          <w:szCs w:val="18"/>
        </w:rPr>
        <w:t>spevku neziskovej organizá</w:t>
      </w:r>
      <w:r>
        <w:rPr>
          <w:rFonts w:hint="default"/>
          <w:szCs w:val="18"/>
        </w:rPr>
        <w:t>cii v tuzemsku a na ná</w:t>
      </w:r>
      <w:r>
        <w:rPr>
          <w:rFonts w:hint="default"/>
          <w:szCs w:val="18"/>
        </w:rPr>
        <w:t>hradu zamestnancom (za prvý</w:t>
      </w:r>
      <w:r>
        <w:rPr>
          <w:rFonts w:hint="default"/>
          <w:szCs w:val="18"/>
        </w:rPr>
        <w:t>ch 10 dní</w:t>
      </w:r>
      <w:r>
        <w:rPr>
          <w:rFonts w:hint="default"/>
          <w:szCs w:val="18"/>
        </w:rPr>
        <w:t xml:space="preserve"> prá</w:t>
      </w:r>
      <w:r>
        <w:rPr>
          <w:rFonts w:hint="default"/>
          <w:szCs w:val="18"/>
        </w:rPr>
        <w:t>ceneschopnosti).</w:t>
      </w:r>
    </w:p>
    <w:p w:rsidR="00AA6FD7" w:rsidP="00AA6FD7">
      <w:pPr>
        <w:bidi w:val="0"/>
        <w:jc w:val="both"/>
        <w:rPr>
          <w:rFonts w:ascii="Times New Roman" w:hAnsi="Times New Roman"/>
          <w:b/>
          <w:i/>
          <w:szCs w:val="18"/>
        </w:rPr>
      </w:pPr>
    </w:p>
    <w:p w:rsidR="00AA6FD7" w:rsidRPr="00A16146" w:rsidP="00AA6FD7">
      <w:pPr>
        <w:bidi w:val="0"/>
        <w:jc w:val="both"/>
        <w:rPr>
          <w:rFonts w:ascii="Times New Roman" w:hAnsi="Times New Roman"/>
          <w:b/>
          <w:i/>
          <w:szCs w:val="18"/>
        </w:rPr>
      </w:pPr>
      <w:r w:rsidR="00A16146">
        <w:rPr>
          <w:rFonts w:ascii="Times New Roman" w:hAnsi="Times New Roman"/>
          <w:b/>
          <w:i/>
          <w:szCs w:val="18"/>
        </w:rPr>
        <w:t>Kapitálové výdavky</w:t>
      </w:r>
    </w:p>
    <w:p w:rsidR="00AA6FD7" w:rsidP="00AA6FD7">
      <w:pPr>
        <w:bidi w:val="0"/>
        <w:jc w:val="both"/>
        <w:rPr>
          <w:rFonts w:ascii="Times New Roman" w:hAnsi="Times New Roman"/>
          <w:szCs w:val="18"/>
        </w:rPr>
      </w:pPr>
      <w:r>
        <w:rPr>
          <w:rFonts w:ascii="Times New Roman" w:hAnsi="Times New Roman"/>
          <w:szCs w:val="18"/>
        </w:rPr>
        <w:t xml:space="preserve">V rámci kategórie kapitálových výdavkov v sume 58 799 eur ÚJD SR použil rozpočtové prostriedky na obstaranie kapitálových aktív nasledovne: </w:t>
      </w:r>
    </w:p>
    <w:p w:rsidR="00AA6FD7" w:rsidP="00AA6FD7">
      <w:pPr>
        <w:bidi w:val="0"/>
        <w:jc w:val="both"/>
        <w:rPr>
          <w:rFonts w:ascii="Times New Roman" w:hAnsi="Times New Roman"/>
          <w:szCs w:val="18"/>
        </w:rPr>
      </w:pPr>
    </w:p>
    <w:p w:rsidR="00AA6FD7" w:rsidP="00AA6FD7">
      <w:pPr>
        <w:bidi w:val="0"/>
        <w:jc w:val="both"/>
        <w:rPr>
          <w:rFonts w:ascii="Times New Roman" w:hAnsi="Times New Roman"/>
          <w:szCs w:val="18"/>
        </w:rPr>
      </w:pPr>
      <w:r>
        <w:rPr>
          <w:rFonts w:ascii="Times New Roman" w:hAnsi="Times New Roman"/>
          <w:szCs w:val="18"/>
        </w:rPr>
        <w:t>Tab.č.9 Čerpanie kapitálových výdavkov v roku 2011</w:t>
      </w:r>
    </w:p>
    <w:tbl>
      <w:tblPr>
        <w:tblStyle w:val="TableNormal"/>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529"/>
        <w:gridCol w:w="3543"/>
      </w:tblGrid>
      <w:tr>
        <w:tblPrEx>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Ex>
        <w:trPr>
          <w:trHeight w:val="454"/>
        </w:trPr>
        <w:tc>
          <w:tcPr>
            <w:tcW w:w="5529" w:type="dxa"/>
            <w:tcBorders>
              <w:top w:val="single" w:sz="12" w:space="0" w:color="auto"/>
              <w:left w:val="single" w:sz="12" w:space="0" w:color="auto"/>
              <w:bottom w:val="single" w:sz="4" w:space="0" w:color="auto"/>
              <w:right w:val="single" w:sz="4" w:space="0" w:color="auto"/>
            </w:tcBorders>
            <w:shd w:val="clear" w:color="auto" w:fill="D9D9D9"/>
            <w:textDirection w:val="lrTb"/>
            <w:vAlign w:val="top"/>
          </w:tcPr>
          <w:p w:rsidR="00AA6FD7" w:rsidRPr="00223926" w:rsidP="000817E6">
            <w:pPr>
              <w:bidi w:val="0"/>
              <w:jc w:val="center"/>
              <w:rPr>
                <w:rFonts w:ascii="Times New Roman" w:eastAsia="Calibri" w:hAnsi="Times New Roman" w:hint="default"/>
                <w:b/>
                <w:szCs w:val="24"/>
              </w:rPr>
            </w:pPr>
            <w:r w:rsidRPr="00223926">
              <w:rPr>
                <w:rFonts w:ascii="Times New Roman" w:eastAsia="Calibri" w:hAnsi="Times New Roman" w:hint="default"/>
                <w:b/>
                <w:szCs w:val="24"/>
              </w:rPr>
              <w:t>Polož</w:t>
            </w:r>
            <w:r w:rsidRPr="00223926">
              <w:rPr>
                <w:rFonts w:ascii="Times New Roman" w:eastAsia="Calibri" w:hAnsi="Times New Roman" w:hint="default"/>
                <w:b/>
                <w:szCs w:val="24"/>
              </w:rPr>
              <w:t>ka</w:t>
            </w:r>
          </w:p>
        </w:tc>
        <w:tc>
          <w:tcPr>
            <w:tcW w:w="3543" w:type="dxa"/>
            <w:tcBorders>
              <w:top w:val="single" w:sz="12" w:space="0" w:color="auto"/>
              <w:left w:val="single" w:sz="4" w:space="0" w:color="auto"/>
              <w:bottom w:val="single" w:sz="4" w:space="0" w:color="auto"/>
              <w:right w:val="single" w:sz="12" w:space="0" w:color="auto"/>
            </w:tcBorders>
            <w:shd w:val="clear" w:color="auto" w:fill="D9D9D9"/>
            <w:textDirection w:val="lrTb"/>
            <w:vAlign w:val="top"/>
          </w:tcPr>
          <w:p w:rsidR="00AA6FD7" w:rsidRPr="00223926" w:rsidP="00C937B0">
            <w:pPr>
              <w:bidi w:val="0"/>
              <w:ind w:left="-1667"/>
              <w:jc w:val="right"/>
              <w:rPr>
                <w:rFonts w:ascii="Times New Roman" w:eastAsia="Calibri" w:hAnsi="Times New Roman" w:hint="default"/>
                <w:b/>
                <w:szCs w:val="24"/>
              </w:rPr>
            </w:pPr>
            <w:r w:rsidRPr="00223926">
              <w:rPr>
                <w:rFonts w:ascii="Times New Roman" w:eastAsia="Calibri" w:hAnsi="Times New Roman"/>
                <w:b/>
                <w:szCs w:val="24"/>
              </w:rPr>
              <w:t>Suma (v </w:t>
            </w:r>
            <w:r w:rsidRPr="00223926">
              <w:rPr>
                <w:rFonts w:ascii="Times New Roman" w:eastAsia="Calibri" w:hAnsi="Times New Roman" w:hint="default"/>
                <w:b/>
                <w:szCs w:val="24"/>
              </w:rPr>
              <w:t>eurá</w:t>
            </w:r>
            <w:r w:rsidRPr="00223926">
              <w:rPr>
                <w:rFonts w:ascii="Times New Roman" w:eastAsia="Calibri" w:hAnsi="Times New Roman" w:hint="default"/>
                <w:b/>
                <w:szCs w:val="24"/>
              </w:rPr>
              <w:t>ch)</w:t>
            </w:r>
          </w:p>
        </w:tc>
      </w:tr>
      <w:tr>
        <w:tblPrEx>
          <w:tblW w:w="0" w:type="auto"/>
          <w:tblInd w:w="108" w:type="dxa"/>
          <w:tblLayout w:type="fixed"/>
          <w:tblLook w:val="04A0"/>
        </w:tblPrEx>
        <w:tc>
          <w:tcPr>
            <w:tcW w:w="5529" w:type="dxa"/>
            <w:tcBorders>
              <w:top w:val="single" w:sz="4" w:space="0" w:color="auto"/>
              <w:left w:val="single" w:sz="12" w:space="0" w:color="auto"/>
              <w:bottom w:val="single" w:sz="4" w:space="0" w:color="auto"/>
              <w:right w:val="single" w:sz="4" w:space="0" w:color="auto"/>
            </w:tcBorders>
            <w:shd w:val="clear" w:color="auto" w:fill="FFFFFF"/>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softvé</w:t>
            </w:r>
            <w:r w:rsidRPr="00223926">
              <w:rPr>
                <w:rFonts w:ascii="Times New Roman" w:eastAsia="Calibri" w:hAnsi="Times New Roman" w:hint="default"/>
                <w:szCs w:val="24"/>
              </w:rPr>
              <w:t>r</w:t>
            </w:r>
          </w:p>
        </w:tc>
        <w:tc>
          <w:tcPr>
            <w:tcW w:w="3543" w:type="dxa"/>
            <w:tcBorders>
              <w:top w:val="single" w:sz="4" w:space="0" w:color="auto"/>
              <w:left w:val="single" w:sz="4" w:space="0" w:color="auto"/>
              <w:bottom w:val="single" w:sz="4" w:space="0" w:color="auto"/>
              <w:right w:val="single" w:sz="12" w:space="0" w:color="auto"/>
            </w:tcBorders>
            <w:shd w:val="clear" w:color="auto" w:fill="FFFFFF"/>
            <w:textDirection w:val="lrTb"/>
            <w:vAlign w:val="top"/>
          </w:tcPr>
          <w:p w:rsidR="00AA6FD7" w:rsidRPr="00223926" w:rsidP="000817E6">
            <w:pPr>
              <w:bidi w:val="0"/>
              <w:ind w:left="-1667"/>
              <w:jc w:val="right"/>
              <w:rPr>
                <w:rFonts w:ascii="Times New Roman" w:eastAsia="Calibri" w:hAnsi="Times New Roman"/>
                <w:szCs w:val="24"/>
              </w:rPr>
            </w:pPr>
            <w:r>
              <w:rPr>
                <w:rFonts w:ascii="Times New Roman" w:eastAsia="Calibri" w:hAnsi="Times New Roman"/>
                <w:szCs w:val="24"/>
              </w:rPr>
              <w:t>4 800</w:t>
            </w:r>
          </w:p>
        </w:tc>
      </w:tr>
      <w:tr>
        <w:tblPrEx>
          <w:tblW w:w="0" w:type="auto"/>
          <w:tblInd w:w="108" w:type="dxa"/>
          <w:tblLayout w:type="fixed"/>
          <w:tblLook w:val="04A0"/>
        </w:tblPrEx>
        <w:tc>
          <w:tcPr>
            <w:tcW w:w="5529" w:type="dxa"/>
            <w:tcBorders>
              <w:top w:val="single" w:sz="4" w:space="0" w:color="auto"/>
              <w:left w:val="single" w:sz="12" w:space="0" w:color="auto"/>
              <w:bottom w:val="single" w:sz="4" w:space="0" w:color="auto"/>
              <w:right w:val="single" w:sz="4" w:space="0" w:color="auto"/>
            </w:tcBorders>
            <w:shd w:val="clear" w:color="auto" w:fill="FFFFFF"/>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vý</w:t>
            </w:r>
            <w:r w:rsidRPr="00223926">
              <w:rPr>
                <w:rFonts w:ascii="Times New Roman" w:eastAsia="Calibri" w:hAnsi="Times New Roman" w:hint="default"/>
                <w:szCs w:val="24"/>
              </w:rPr>
              <w:t>poč</w:t>
            </w:r>
            <w:r w:rsidRPr="00223926">
              <w:rPr>
                <w:rFonts w:ascii="Times New Roman" w:eastAsia="Calibri" w:hAnsi="Times New Roman" w:hint="default"/>
                <w:szCs w:val="24"/>
              </w:rPr>
              <w:t>tová</w:t>
            </w:r>
            <w:r w:rsidRPr="00223926">
              <w:rPr>
                <w:rFonts w:ascii="Times New Roman" w:eastAsia="Calibri" w:hAnsi="Times New Roman" w:hint="default"/>
                <w:szCs w:val="24"/>
              </w:rPr>
              <w:t xml:space="preserve"> technika</w:t>
            </w:r>
          </w:p>
        </w:tc>
        <w:tc>
          <w:tcPr>
            <w:tcW w:w="3543" w:type="dxa"/>
            <w:tcBorders>
              <w:top w:val="single" w:sz="4" w:space="0" w:color="auto"/>
              <w:left w:val="single" w:sz="4" w:space="0" w:color="auto"/>
              <w:bottom w:val="single" w:sz="4" w:space="0" w:color="auto"/>
              <w:right w:val="single" w:sz="12" w:space="0" w:color="auto"/>
            </w:tcBorders>
            <w:shd w:val="clear" w:color="auto" w:fill="FFFFFF"/>
            <w:textDirection w:val="lrTb"/>
            <w:vAlign w:val="top"/>
          </w:tcPr>
          <w:p w:rsidR="00AA6FD7" w:rsidRPr="00223926" w:rsidP="000817E6">
            <w:pPr>
              <w:bidi w:val="0"/>
              <w:ind w:left="-1667"/>
              <w:jc w:val="right"/>
              <w:rPr>
                <w:rFonts w:ascii="Times New Roman" w:eastAsia="Calibri" w:hAnsi="Times New Roman"/>
                <w:szCs w:val="24"/>
              </w:rPr>
            </w:pPr>
            <w:r>
              <w:rPr>
                <w:rFonts w:ascii="Times New Roman" w:eastAsia="Calibri" w:hAnsi="Times New Roman"/>
                <w:szCs w:val="24"/>
              </w:rPr>
              <w:t>21 464</w:t>
            </w:r>
          </w:p>
        </w:tc>
      </w:tr>
      <w:tr>
        <w:tblPrEx>
          <w:tblW w:w="0" w:type="auto"/>
          <w:tblInd w:w="108" w:type="dxa"/>
          <w:tblLayout w:type="fixed"/>
          <w:tblLook w:val="04A0"/>
        </w:tblPrEx>
        <w:tc>
          <w:tcPr>
            <w:tcW w:w="5529" w:type="dxa"/>
            <w:tcBorders>
              <w:top w:val="single" w:sz="4" w:space="0" w:color="auto"/>
              <w:left w:val="single" w:sz="12" w:space="0" w:color="auto"/>
              <w:bottom w:val="single" w:sz="4" w:space="0" w:color="auto"/>
              <w:right w:val="single" w:sz="4" w:space="0" w:color="auto"/>
            </w:tcBorders>
            <w:shd w:val="clear" w:color="auto" w:fill="FFFFFF"/>
            <w:textDirection w:val="lrTb"/>
            <w:vAlign w:val="top"/>
          </w:tcPr>
          <w:p w:rsidR="00AA6FD7" w:rsidRPr="00223926" w:rsidP="000817E6">
            <w:pPr>
              <w:bidi w:val="0"/>
              <w:rPr>
                <w:rFonts w:ascii="Times New Roman" w:eastAsia="Calibri" w:hAnsi="Times New Roman" w:hint="default"/>
                <w:szCs w:val="24"/>
              </w:rPr>
            </w:pPr>
            <w:r w:rsidRPr="00223926">
              <w:rPr>
                <w:rFonts w:ascii="Times New Roman" w:eastAsia="Calibri" w:hAnsi="Times New Roman" w:hint="default"/>
                <w:szCs w:val="24"/>
              </w:rPr>
              <w:t>komunikač</w:t>
            </w:r>
            <w:r w:rsidRPr="00223926">
              <w:rPr>
                <w:rFonts w:ascii="Times New Roman" w:eastAsia="Calibri" w:hAnsi="Times New Roman" w:hint="default"/>
                <w:szCs w:val="24"/>
              </w:rPr>
              <w:t>ná</w:t>
            </w:r>
            <w:r w:rsidRPr="00223926">
              <w:rPr>
                <w:rFonts w:ascii="Times New Roman" w:eastAsia="Calibri" w:hAnsi="Times New Roman" w:hint="default"/>
                <w:szCs w:val="24"/>
              </w:rPr>
              <w:t xml:space="preserve"> infraš</w:t>
            </w:r>
            <w:r w:rsidRPr="00223926">
              <w:rPr>
                <w:rFonts w:ascii="Times New Roman" w:eastAsia="Calibri" w:hAnsi="Times New Roman" w:hint="default"/>
                <w:szCs w:val="24"/>
              </w:rPr>
              <w:t>truktú</w:t>
            </w:r>
            <w:r w:rsidRPr="00223926">
              <w:rPr>
                <w:rFonts w:ascii="Times New Roman" w:eastAsia="Calibri" w:hAnsi="Times New Roman" w:hint="default"/>
                <w:szCs w:val="24"/>
              </w:rPr>
              <w:t>ra</w:t>
            </w:r>
          </w:p>
        </w:tc>
        <w:tc>
          <w:tcPr>
            <w:tcW w:w="3543" w:type="dxa"/>
            <w:tcBorders>
              <w:top w:val="single" w:sz="4" w:space="0" w:color="auto"/>
              <w:left w:val="single" w:sz="4" w:space="0" w:color="auto"/>
              <w:bottom w:val="single" w:sz="4" w:space="0" w:color="auto"/>
              <w:right w:val="single" w:sz="12" w:space="0" w:color="auto"/>
            </w:tcBorders>
            <w:shd w:val="clear" w:color="auto" w:fill="FFFFFF"/>
            <w:textDirection w:val="lrTb"/>
            <w:vAlign w:val="top"/>
          </w:tcPr>
          <w:p w:rsidR="00AA6FD7" w:rsidRPr="00223926" w:rsidP="000817E6">
            <w:pPr>
              <w:bidi w:val="0"/>
              <w:ind w:left="-1667"/>
              <w:jc w:val="right"/>
              <w:rPr>
                <w:rFonts w:ascii="Times New Roman" w:eastAsia="Calibri" w:hAnsi="Times New Roman"/>
                <w:szCs w:val="24"/>
              </w:rPr>
            </w:pPr>
            <w:r>
              <w:rPr>
                <w:rFonts w:ascii="Times New Roman" w:eastAsia="Calibri" w:hAnsi="Times New Roman"/>
                <w:szCs w:val="24"/>
              </w:rPr>
              <w:t>29 049</w:t>
            </w:r>
          </w:p>
        </w:tc>
      </w:tr>
      <w:tr>
        <w:tblPrEx>
          <w:tblW w:w="0" w:type="auto"/>
          <w:tblInd w:w="108" w:type="dxa"/>
          <w:tblLayout w:type="fixed"/>
          <w:tblLook w:val="04A0"/>
        </w:tblPrEx>
        <w:tc>
          <w:tcPr>
            <w:tcW w:w="5529" w:type="dxa"/>
            <w:tcBorders>
              <w:top w:val="single" w:sz="4" w:space="0" w:color="auto"/>
              <w:left w:val="single" w:sz="12" w:space="0" w:color="auto"/>
              <w:bottom w:val="single" w:sz="4" w:space="0" w:color="auto"/>
              <w:right w:val="single" w:sz="4" w:space="0" w:color="auto"/>
            </w:tcBorders>
            <w:shd w:val="clear" w:color="auto" w:fill="FFFFFF"/>
            <w:textDirection w:val="lrTb"/>
            <w:vAlign w:val="top"/>
          </w:tcPr>
          <w:p w:rsidR="00AA6FD7" w:rsidRPr="00223926" w:rsidP="000817E6">
            <w:pPr>
              <w:bidi w:val="0"/>
              <w:rPr>
                <w:rFonts w:ascii="Times New Roman" w:eastAsia="Calibri" w:hAnsi="Times New Roman"/>
                <w:szCs w:val="24"/>
              </w:rPr>
            </w:pPr>
            <w:r>
              <w:rPr>
                <w:rFonts w:ascii="Times New Roman" w:eastAsia="Calibri" w:hAnsi="Times New Roman" w:hint="default"/>
                <w:szCs w:val="24"/>
              </w:rPr>
              <w:t>ná</w:t>
            </w:r>
            <w:r>
              <w:rPr>
                <w:rFonts w:ascii="Times New Roman" w:eastAsia="Calibri" w:hAnsi="Times New Roman" w:hint="default"/>
                <w:szCs w:val="24"/>
              </w:rPr>
              <w:t>kup prevá</w:t>
            </w:r>
            <w:r>
              <w:rPr>
                <w:rFonts w:ascii="Times New Roman" w:eastAsia="Calibri" w:hAnsi="Times New Roman" w:hint="default"/>
                <w:szCs w:val="24"/>
              </w:rPr>
              <w:t>dzkový</w:t>
            </w:r>
            <w:r>
              <w:rPr>
                <w:rFonts w:ascii="Times New Roman" w:eastAsia="Calibri" w:hAnsi="Times New Roman" w:hint="default"/>
                <w:szCs w:val="24"/>
              </w:rPr>
              <w:t>ch prí</w:t>
            </w:r>
            <w:r>
              <w:rPr>
                <w:rFonts w:ascii="Times New Roman" w:eastAsia="Calibri" w:hAnsi="Times New Roman" w:hint="default"/>
                <w:szCs w:val="24"/>
              </w:rPr>
              <w:t>strojov (projektor)</w:t>
            </w:r>
          </w:p>
        </w:tc>
        <w:tc>
          <w:tcPr>
            <w:tcW w:w="3543" w:type="dxa"/>
            <w:tcBorders>
              <w:top w:val="single" w:sz="4" w:space="0" w:color="auto"/>
              <w:left w:val="single" w:sz="4" w:space="0" w:color="auto"/>
              <w:bottom w:val="single" w:sz="4" w:space="0" w:color="auto"/>
              <w:right w:val="single" w:sz="12" w:space="0" w:color="auto"/>
            </w:tcBorders>
            <w:shd w:val="clear" w:color="auto" w:fill="FFFFFF"/>
            <w:textDirection w:val="lrTb"/>
            <w:vAlign w:val="top"/>
          </w:tcPr>
          <w:p w:rsidR="00AA6FD7" w:rsidRPr="00223926" w:rsidP="000817E6">
            <w:pPr>
              <w:bidi w:val="0"/>
              <w:ind w:left="-1667"/>
              <w:jc w:val="right"/>
              <w:rPr>
                <w:rFonts w:ascii="Times New Roman" w:eastAsia="Calibri" w:hAnsi="Times New Roman"/>
                <w:szCs w:val="24"/>
              </w:rPr>
            </w:pPr>
            <w:r>
              <w:rPr>
                <w:rFonts w:ascii="Times New Roman" w:eastAsia="Calibri" w:hAnsi="Times New Roman"/>
                <w:szCs w:val="24"/>
              </w:rPr>
              <w:t>3 486</w:t>
            </w:r>
          </w:p>
        </w:tc>
      </w:tr>
      <w:tr>
        <w:tblPrEx>
          <w:tblW w:w="0" w:type="auto"/>
          <w:tblInd w:w="108" w:type="dxa"/>
          <w:tblLayout w:type="fixed"/>
          <w:tblLook w:val="04A0"/>
        </w:tblPrEx>
        <w:tc>
          <w:tcPr>
            <w:tcW w:w="5529" w:type="dxa"/>
            <w:tcBorders>
              <w:top w:val="single" w:sz="4" w:space="0" w:color="auto"/>
              <w:left w:val="single" w:sz="12" w:space="0" w:color="auto"/>
              <w:bottom w:val="single" w:sz="12" w:space="0" w:color="auto"/>
              <w:right w:val="single" w:sz="4" w:space="0" w:color="auto"/>
            </w:tcBorders>
            <w:shd w:val="clear" w:color="auto" w:fill="D9D9D9"/>
            <w:textDirection w:val="lrTb"/>
            <w:vAlign w:val="top"/>
          </w:tcPr>
          <w:p w:rsidR="00AA6FD7" w:rsidRPr="001719CD" w:rsidP="000817E6">
            <w:pPr>
              <w:bidi w:val="0"/>
              <w:rPr>
                <w:rFonts w:ascii="Times New Roman" w:eastAsia="Calibri" w:hAnsi="Times New Roman"/>
                <w:b/>
                <w:szCs w:val="24"/>
              </w:rPr>
            </w:pPr>
            <w:r w:rsidRPr="001719CD">
              <w:rPr>
                <w:rFonts w:ascii="Times New Roman" w:eastAsia="Calibri" w:hAnsi="Times New Roman"/>
                <w:b/>
                <w:szCs w:val="24"/>
              </w:rPr>
              <w:t>Spolu</w:t>
            </w:r>
          </w:p>
        </w:tc>
        <w:tc>
          <w:tcPr>
            <w:tcW w:w="3543" w:type="dxa"/>
            <w:tcBorders>
              <w:top w:val="single" w:sz="4" w:space="0" w:color="auto"/>
              <w:left w:val="single" w:sz="4" w:space="0" w:color="auto"/>
              <w:bottom w:val="single" w:sz="12" w:space="0" w:color="auto"/>
              <w:right w:val="single" w:sz="12" w:space="0" w:color="auto"/>
            </w:tcBorders>
            <w:shd w:val="clear" w:color="auto" w:fill="D9D9D9"/>
            <w:textDirection w:val="lrTb"/>
            <w:vAlign w:val="top"/>
          </w:tcPr>
          <w:p w:rsidR="00AA6FD7" w:rsidRPr="001719CD" w:rsidP="000817E6">
            <w:pPr>
              <w:bidi w:val="0"/>
              <w:ind w:left="-1667"/>
              <w:jc w:val="right"/>
              <w:rPr>
                <w:rFonts w:ascii="Times New Roman" w:eastAsia="Calibri" w:hAnsi="Times New Roman"/>
                <w:b/>
                <w:szCs w:val="24"/>
              </w:rPr>
            </w:pPr>
            <w:r>
              <w:rPr>
                <w:rFonts w:ascii="Times New Roman" w:eastAsia="Calibri" w:hAnsi="Times New Roman"/>
                <w:b/>
                <w:szCs w:val="24"/>
              </w:rPr>
              <w:t>58 799</w:t>
            </w:r>
          </w:p>
        </w:tc>
      </w:tr>
    </w:tbl>
    <w:p w:rsidR="00AA6FD7" w:rsidP="00AA6FD7">
      <w:pPr>
        <w:bidi w:val="0"/>
        <w:ind w:left="360"/>
        <w:jc w:val="both"/>
        <w:rPr>
          <w:rFonts w:ascii="Times New Roman" w:hAnsi="Times New Roman"/>
          <w:szCs w:val="18"/>
        </w:rPr>
      </w:pPr>
    </w:p>
    <w:p w:rsidR="00AA6FD7" w:rsidP="00AA6FD7">
      <w:pPr>
        <w:bidi w:val="0"/>
        <w:jc w:val="both"/>
        <w:rPr>
          <w:rFonts w:ascii="Times New Roman" w:hAnsi="Times New Roman"/>
          <w:szCs w:val="18"/>
        </w:rPr>
      </w:pPr>
      <w:r w:rsidRPr="003248CF">
        <w:rPr>
          <w:rFonts w:ascii="Times New Roman" w:hAnsi="Times New Roman"/>
          <w:b/>
          <w:i/>
          <w:szCs w:val="18"/>
        </w:rPr>
        <w:t>Mimorozpočtové prostriedky</w:t>
      </w:r>
    </w:p>
    <w:p w:rsidR="00AA6FD7" w:rsidP="00AA6FD7">
      <w:pPr>
        <w:bidi w:val="0"/>
        <w:jc w:val="both"/>
        <w:rPr>
          <w:rFonts w:ascii="Times New Roman" w:hAnsi="Times New Roman"/>
          <w:szCs w:val="18"/>
        </w:rPr>
      </w:pPr>
      <w:r>
        <w:rPr>
          <w:rFonts w:ascii="Times New Roman" w:hAnsi="Times New Roman"/>
          <w:szCs w:val="18"/>
        </w:rPr>
        <w:t xml:space="preserve">V rámci čerpania výdavkov sú uvedené aj mimorozpočtové prostriedky zo zahraničia vo výške 31 997 eur. Čerpané prostriedky zahraničných grantov tvorili prostriedky z projektov </w:t>
      </w:r>
      <w:r w:rsidRPr="00265008">
        <w:rPr>
          <w:rFonts w:ascii="Times New Roman" w:hAnsi="Times New Roman"/>
          <w:szCs w:val="18"/>
        </w:rPr>
        <w:t>SARNET a </w:t>
      </w:r>
      <w:r w:rsidRPr="00265008">
        <w:rPr>
          <w:rFonts w:ascii="Times New Roman" w:hAnsi="Times New Roman"/>
          <w:bCs/>
        </w:rPr>
        <w:t>CTBTO FT 11</w:t>
      </w:r>
      <w:r>
        <w:rPr>
          <w:rFonts w:ascii="Times New Roman" w:hAnsi="Times New Roman"/>
          <w:bCs/>
        </w:rPr>
        <w:t>.</w:t>
      </w:r>
    </w:p>
    <w:p w:rsidR="00AA6FD7" w:rsidP="00AA6FD7">
      <w:pPr>
        <w:bidi w:val="0"/>
        <w:jc w:val="both"/>
        <w:rPr>
          <w:rFonts w:ascii="Times New Roman" w:hAnsi="Times New Roman"/>
          <w:szCs w:val="18"/>
        </w:rPr>
      </w:pPr>
    </w:p>
    <w:p w:rsidR="00AA6FD7" w:rsidP="00AA6FD7">
      <w:pPr>
        <w:bidi w:val="0"/>
        <w:jc w:val="both"/>
        <w:rPr>
          <w:rFonts w:ascii="Times New Roman" w:hAnsi="Times New Roman"/>
          <w:sz w:val="18"/>
          <w:szCs w:val="18"/>
        </w:rPr>
      </w:pPr>
      <w:r w:rsidRPr="00844E51">
        <w:rPr>
          <w:rFonts w:ascii="Times New Roman" w:hAnsi="Times New Roman"/>
          <w:szCs w:val="24"/>
        </w:rPr>
        <w:t>Tab.č.1</w:t>
      </w:r>
      <w:r>
        <w:rPr>
          <w:rFonts w:ascii="Times New Roman" w:hAnsi="Times New Roman"/>
          <w:szCs w:val="24"/>
        </w:rPr>
        <w:t>0</w:t>
      </w:r>
      <w:r w:rsidRPr="00844E51">
        <w:rPr>
          <w:rFonts w:ascii="Times New Roman" w:hAnsi="Times New Roman"/>
          <w:szCs w:val="24"/>
        </w:rPr>
        <w:t xml:space="preserve"> Čerpanie prostriedkov v roku 201</w:t>
      </w:r>
      <w:r>
        <w:rPr>
          <w:rFonts w:ascii="Times New Roman" w:hAnsi="Times New Roman"/>
          <w:szCs w:val="24"/>
        </w:rPr>
        <w:t>1</w:t>
      </w:r>
      <w:r w:rsidRPr="00844E51">
        <w:rPr>
          <w:rFonts w:ascii="Times New Roman" w:hAnsi="Times New Roman"/>
          <w:szCs w:val="24"/>
        </w:rPr>
        <w:t xml:space="preserve"> (v eurách</w:t>
      </w:r>
      <w:r>
        <w:rPr>
          <w:rFonts w:ascii="Times New Roman" w:hAnsi="Times New Roman"/>
          <w:b/>
          <w:szCs w:val="24"/>
        </w:rPr>
        <w:t>)</w:t>
      </w:r>
    </w:p>
    <w:tbl>
      <w:tblPr>
        <w:tblStyle w:val="TableNormal"/>
        <w:tblW w:w="4975" w:type="pct"/>
        <w:tblInd w:w="108" w:type="dxa"/>
        <w:tblBorders>
          <w:top w:val="threeDEmboss" w:sz="24" w:space="0" w:color="auto"/>
          <w:left w:val="threeDEmboss" w:sz="24" w:space="0" w:color="auto"/>
          <w:bottom w:val="threeDEngrave" w:sz="24" w:space="0" w:color="auto"/>
          <w:right w:val="threeDEngrave" w:sz="24" w:space="0" w:color="auto"/>
          <w:insideH w:val="single" w:sz="4" w:space="0" w:color="auto"/>
          <w:insideV w:val="threeDEngrave" w:sz="24" w:space="0" w:color="auto"/>
        </w:tblBorders>
        <w:tblLook w:val="01E0"/>
      </w:tblPr>
      <w:tblGrid>
        <w:gridCol w:w="2273"/>
        <w:gridCol w:w="2323"/>
        <w:gridCol w:w="2323"/>
        <w:gridCol w:w="2321"/>
      </w:tblGrid>
      <w:tr>
        <w:tblPrEx>
          <w:tblW w:w="4975" w:type="pct"/>
          <w:tblInd w:w="108" w:type="dxa"/>
          <w:tblBorders>
            <w:top w:val="threeDEmboss" w:sz="24" w:space="0" w:color="auto"/>
            <w:left w:val="threeDEmboss" w:sz="24" w:space="0" w:color="auto"/>
            <w:bottom w:val="threeDEngrave" w:sz="24" w:space="0" w:color="auto"/>
            <w:right w:val="threeDEngrave" w:sz="24" w:space="0" w:color="auto"/>
            <w:insideH w:val="single" w:sz="4" w:space="0" w:color="auto"/>
            <w:insideV w:val="threeDEngrave" w:sz="24" w:space="0" w:color="auto"/>
          </w:tblBorders>
          <w:tblLook w:val="01E0"/>
        </w:tblPrEx>
        <w:trPr>
          <w:trHeight w:val="454"/>
        </w:trPr>
        <w:tc>
          <w:tcPr>
            <w:tcW w:w="1230" w:type="pct"/>
            <w:tcBorders>
              <w:top w:val="single" w:sz="12" w:space="0" w:color="auto"/>
              <w:left w:val="single" w:sz="12" w:space="0" w:color="auto"/>
              <w:bottom w:val="single" w:sz="12" w:space="0" w:color="auto"/>
              <w:right w:val="single" w:sz="4" w:space="0" w:color="auto"/>
            </w:tcBorders>
            <w:shd w:val="pct10" w:color="auto" w:fill="auto"/>
            <w:textDirection w:val="lrTb"/>
            <w:vAlign w:val="top"/>
          </w:tcPr>
          <w:p w:rsidR="00AA6FD7" w:rsidRPr="0079365D" w:rsidP="000817E6">
            <w:pPr>
              <w:bidi w:val="0"/>
              <w:jc w:val="both"/>
              <w:rPr>
                <w:rFonts w:ascii="Times New Roman" w:hAnsi="Times New Roman"/>
                <w:szCs w:val="24"/>
              </w:rPr>
            </w:pPr>
          </w:p>
        </w:tc>
        <w:tc>
          <w:tcPr>
            <w:tcW w:w="1257" w:type="pct"/>
            <w:tcBorders>
              <w:top w:val="single" w:sz="12" w:space="0" w:color="auto"/>
              <w:left w:val="single" w:sz="4" w:space="0" w:color="auto"/>
              <w:bottom w:val="single" w:sz="12" w:space="0" w:color="auto"/>
              <w:right w:val="single" w:sz="4" w:space="0" w:color="auto"/>
            </w:tcBorders>
            <w:shd w:val="pct10" w:color="auto" w:fill="auto"/>
            <w:textDirection w:val="lrTb"/>
            <w:vAlign w:val="center"/>
          </w:tcPr>
          <w:p w:rsidR="00AA6FD7" w:rsidRPr="0079365D" w:rsidP="000817E6">
            <w:pPr>
              <w:bidi w:val="0"/>
              <w:jc w:val="center"/>
              <w:rPr>
                <w:rFonts w:ascii="Times New Roman" w:hAnsi="Times New Roman"/>
                <w:b/>
                <w:szCs w:val="24"/>
              </w:rPr>
            </w:pPr>
            <w:r w:rsidRPr="0079365D">
              <w:rPr>
                <w:rFonts w:ascii="Times New Roman" w:hAnsi="Times New Roman"/>
                <w:b/>
                <w:szCs w:val="24"/>
              </w:rPr>
              <w:t>Rozpočtov</w:t>
            </w:r>
            <w:r>
              <w:rPr>
                <w:rFonts w:ascii="Times New Roman" w:hAnsi="Times New Roman"/>
                <w:b/>
                <w:szCs w:val="24"/>
              </w:rPr>
              <w:t>é</w:t>
            </w:r>
          </w:p>
        </w:tc>
        <w:tc>
          <w:tcPr>
            <w:tcW w:w="1257" w:type="pct"/>
            <w:tcBorders>
              <w:top w:val="single" w:sz="12" w:space="0" w:color="auto"/>
              <w:left w:val="single" w:sz="4" w:space="0" w:color="auto"/>
              <w:bottom w:val="single" w:sz="12" w:space="0" w:color="auto"/>
              <w:right w:val="single" w:sz="4" w:space="0" w:color="auto"/>
            </w:tcBorders>
            <w:shd w:val="pct10" w:color="auto" w:fill="auto"/>
            <w:textDirection w:val="lrTb"/>
            <w:vAlign w:val="center"/>
          </w:tcPr>
          <w:p w:rsidR="00AA6FD7" w:rsidRPr="0079365D" w:rsidP="00C937B0">
            <w:pPr>
              <w:bidi w:val="0"/>
              <w:jc w:val="center"/>
              <w:rPr>
                <w:rFonts w:ascii="Times New Roman" w:hAnsi="Times New Roman"/>
                <w:b/>
                <w:szCs w:val="24"/>
              </w:rPr>
            </w:pPr>
            <w:r w:rsidRPr="0079365D">
              <w:rPr>
                <w:rFonts w:ascii="Times New Roman" w:hAnsi="Times New Roman"/>
                <w:b/>
                <w:szCs w:val="24"/>
              </w:rPr>
              <w:t>Mimorozpočtov</w:t>
            </w:r>
            <w:r>
              <w:rPr>
                <w:rFonts w:ascii="Times New Roman" w:hAnsi="Times New Roman"/>
                <w:b/>
                <w:szCs w:val="24"/>
              </w:rPr>
              <w:t>é</w:t>
            </w:r>
          </w:p>
        </w:tc>
        <w:tc>
          <w:tcPr>
            <w:tcW w:w="1257" w:type="pct"/>
            <w:tcBorders>
              <w:top w:val="single" w:sz="12" w:space="0" w:color="auto"/>
              <w:left w:val="single" w:sz="4" w:space="0" w:color="auto"/>
              <w:bottom w:val="single" w:sz="12" w:space="0" w:color="auto"/>
              <w:right w:val="single" w:sz="12" w:space="0" w:color="auto"/>
            </w:tcBorders>
            <w:shd w:val="pct10" w:color="auto" w:fill="auto"/>
            <w:textDirection w:val="lrTb"/>
            <w:vAlign w:val="center"/>
          </w:tcPr>
          <w:p w:rsidR="00AA6FD7" w:rsidRPr="0079365D" w:rsidP="00C937B0">
            <w:pPr>
              <w:bidi w:val="0"/>
              <w:jc w:val="center"/>
              <w:rPr>
                <w:rFonts w:ascii="Times New Roman" w:hAnsi="Times New Roman"/>
                <w:b/>
                <w:szCs w:val="24"/>
              </w:rPr>
            </w:pPr>
            <w:r w:rsidR="00C937B0">
              <w:rPr>
                <w:rFonts w:ascii="Times New Roman" w:hAnsi="Times New Roman"/>
                <w:b/>
                <w:szCs w:val="24"/>
              </w:rPr>
              <w:t>Spolu</w:t>
            </w:r>
          </w:p>
        </w:tc>
      </w:tr>
      <w:tr>
        <w:tblPrEx>
          <w:tblW w:w="4975" w:type="pct"/>
          <w:tblInd w:w="108" w:type="dxa"/>
          <w:tblLook w:val="01E0"/>
        </w:tblPrEx>
        <w:trPr>
          <w:trHeight w:val="346"/>
        </w:trPr>
        <w:tc>
          <w:tcPr>
            <w:tcW w:w="1230" w:type="pct"/>
            <w:tcBorders>
              <w:top w:val="single" w:sz="12" w:space="0" w:color="auto"/>
              <w:left w:val="single" w:sz="12" w:space="0" w:color="auto"/>
              <w:bottom w:val="single" w:sz="4" w:space="0" w:color="auto"/>
              <w:right w:val="single" w:sz="4" w:space="0" w:color="auto"/>
            </w:tcBorders>
            <w:textDirection w:val="lrTb"/>
            <w:vAlign w:val="top"/>
          </w:tcPr>
          <w:p w:rsidR="00AA6FD7" w:rsidRPr="007007AC" w:rsidP="000817E6">
            <w:pPr>
              <w:bidi w:val="0"/>
              <w:jc w:val="both"/>
              <w:rPr>
                <w:rFonts w:ascii="Times New Roman" w:hAnsi="Times New Roman"/>
                <w:szCs w:val="24"/>
              </w:rPr>
            </w:pPr>
            <w:r w:rsidR="00C937B0">
              <w:rPr>
                <w:rFonts w:ascii="Times New Roman" w:hAnsi="Times New Roman"/>
                <w:szCs w:val="24"/>
              </w:rPr>
              <w:t>b</w:t>
            </w:r>
            <w:r w:rsidRPr="007007AC">
              <w:rPr>
                <w:rFonts w:ascii="Times New Roman" w:hAnsi="Times New Roman"/>
                <w:szCs w:val="24"/>
              </w:rPr>
              <w:t>ežné výdavky</w:t>
            </w:r>
          </w:p>
        </w:tc>
        <w:tc>
          <w:tcPr>
            <w:tcW w:w="1257" w:type="pct"/>
            <w:tcBorders>
              <w:top w:val="single" w:sz="12" w:space="0" w:color="auto"/>
              <w:left w:val="single" w:sz="4" w:space="0" w:color="auto"/>
              <w:bottom w:val="single" w:sz="4" w:space="0" w:color="auto"/>
              <w:right w:val="single" w:sz="4" w:space="0" w:color="auto"/>
            </w:tcBorders>
            <w:textDirection w:val="lrTb"/>
            <w:vAlign w:val="center"/>
          </w:tcPr>
          <w:p w:rsidR="00AA6FD7" w:rsidRPr="0079365D" w:rsidP="000817E6">
            <w:pPr>
              <w:bidi w:val="0"/>
              <w:jc w:val="right"/>
              <w:rPr>
                <w:rFonts w:ascii="Times New Roman" w:hAnsi="Times New Roman"/>
                <w:szCs w:val="24"/>
              </w:rPr>
            </w:pPr>
            <w:r>
              <w:rPr>
                <w:rFonts w:ascii="Times New Roman" w:hAnsi="Times New Roman"/>
                <w:szCs w:val="24"/>
              </w:rPr>
              <w:t>4  643 872</w:t>
            </w:r>
          </w:p>
        </w:tc>
        <w:tc>
          <w:tcPr>
            <w:tcW w:w="1257" w:type="pct"/>
            <w:tcBorders>
              <w:top w:val="single" w:sz="12" w:space="0" w:color="auto"/>
              <w:left w:val="single" w:sz="4" w:space="0" w:color="auto"/>
              <w:bottom w:val="single" w:sz="4" w:space="0" w:color="auto"/>
              <w:right w:val="single" w:sz="4" w:space="0" w:color="auto"/>
            </w:tcBorders>
            <w:textDirection w:val="lrTb"/>
            <w:vAlign w:val="center"/>
          </w:tcPr>
          <w:p w:rsidR="00AA6FD7" w:rsidRPr="0079365D" w:rsidP="000817E6">
            <w:pPr>
              <w:bidi w:val="0"/>
              <w:jc w:val="right"/>
              <w:rPr>
                <w:rFonts w:ascii="Times New Roman" w:hAnsi="Times New Roman"/>
                <w:szCs w:val="24"/>
              </w:rPr>
            </w:pPr>
            <w:r>
              <w:rPr>
                <w:rFonts w:ascii="Times New Roman" w:hAnsi="Times New Roman"/>
                <w:szCs w:val="18"/>
              </w:rPr>
              <w:t>31 997</w:t>
            </w:r>
          </w:p>
        </w:tc>
        <w:tc>
          <w:tcPr>
            <w:tcW w:w="1257" w:type="pct"/>
            <w:tcBorders>
              <w:top w:val="single" w:sz="12" w:space="0" w:color="auto"/>
              <w:left w:val="single" w:sz="4" w:space="0" w:color="auto"/>
              <w:bottom w:val="single" w:sz="4" w:space="0" w:color="auto"/>
              <w:right w:val="single" w:sz="12" w:space="0" w:color="auto"/>
            </w:tcBorders>
            <w:textDirection w:val="lrTb"/>
            <w:vAlign w:val="center"/>
          </w:tcPr>
          <w:p w:rsidR="00AA6FD7" w:rsidRPr="006471CD" w:rsidP="000817E6">
            <w:pPr>
              <w:bidi w:val="0"/>
              <w:jc w:val="right"/>
              <w:rPr>
                <w:rFonts w:ascii="Times New Roman" w:hAnsi="Times New Roman"/>
                <w:szCs w:val="24"/>
              </w:rPr>
            </w:pPr>
            <w:r>
              <w:rPr>
                <w:rFonts w:ascii="Times New Roman" w:hAnsi="Times New Roman"/>
                <w:szCs w:val="24"/>
              </w:rPr>
              <w:t>4 675 869</w:t>
            </w:r>
          </w:p>
        </w:tc>
      </w:tr>
      <w:tr>
        <w:tblPrEx>
          <w:tblW w:w="4975" w:type="pct"/>
          <w:tblInd w:w="108" w:type="dxa"/>
          <w:tblLook w:val="01E0"/>
        </w:tblPrEx>
        <w:trPr>
          <w:trHeight w:val="84"/>
        </w:trPr>
        <w:tc>
          <w:tcPr>
            <w:tcW w:w="1230" w:type="pct"/>
            <w:tcBorders>
              <w:top w:val="single" w:sz="4" w:space="0" w:color="auto"/>
              <w:left w:val="single" w:sz="12" w:space="0" w:color="auto"/>
              <w:bottom w:val="single" w:sz="12" w:space="0" w:color="auto"/>
              <w:right w:val="single" w:sz="4" w:space="0" w:color="auto"/>
            </w:tcBorders>
            <w:textDirection w:val="lrTb"/>
            <w:vAlign w:val="top"/>
          </w:tcPr>
          <w:p w:rsidR="00AA6FD7" w:rsidRPr="007007AC" w:rsidP="000817E6">
            <w:pPr>
              <w:bidi w:val="0"/>
              <w:jc w:val="both"/>
              <w:rPr>
                <w:rFonts w:ascii="Times New Roman" w:hAnsi="Times New Roman"/>
                <w:szCs w:val="24"/>
              </w:rPr>
            </w:pPr>
            <w:r w:rsidR="00C937B0">
              <w:rPr>
                <w:rFonts w:ascii="Times New Roman" w:hAnsi="Times New Roman"/>
                <w:szCs w:val="24"/>
              </w:rPr>
              <w:t>k</w:t>
            </w:r>
            <w:r w:rsidRPr="007007AC">
              <w:rPr>
                <w:rFonts w:ascii="Times New Roman" w:hAnsi="Times New Roman"/>
                <w:szCs w:val="24"/>
              </w:rPr>
              <w:t>apitálové výdavky</w:t>
            </w:r>
          </w:p>
        </w:tc>
        <w:tc>
          <w:tcPr>
            <w:tcW w:w="1257" w:type="pct"/>
            <w:tcBorders>
              <w:top w:val="single" w:sz="4" w:space="0" w:color="auto"/>
              <w:left w:val="single" w:sz="4" w:space="0" w:color="auto"/>
              <w:bottom w:val="single" w:sz="12" w:space="0" w:color="auto"/>
              <w:right w:val="single" w:sz="4" w:space="0" w:color="auto"/>
            </w:tcBorders>
            <w:textDirection w:val="lrTb"/>
            <w:vAlign w:val="center"/>
          </w:tcPr>
          <w:p w:rsidR="00AA6FD7" w:rsidRPr="0079365D" w:rsidP="000817E6">
            <w:pPr>
              <w:bidi w:val="0"/>
              <w:jc w:val="right"/>
              <w:rPr>
                <w:rFonts w:ascii="Times New Roman" w:hAnsi="Times New Roman"/>
                <w:szCs w:val="24"/>
              </w:rPr>
            </w:pPr>
            <w:r>
              <w:rPr>
                <w:rFonts w:ascii="Times New Roman" w:hAnsi="Times New Roman"/>
              </w:rPr>
              <w:t>58 799</w:t>
            </w:r>
          </w:p>
        </w:tc>
        <w:tc>
          <w:tcPr>
            <w:tcW w:w="1257" w:type="pct"/>
            <w:tcBorders>
              <w:top w:val="single" w:sz="4" w:space="0" w:color="auto"/>
              <w:left w:val="single" w:sz="4" w:space="0" w:color="auto"/>
              <w:bottom w:val="single" w:sz="12" w:space="0" w:color="auto"/>
              <w:right w:val="single" w:sz="4" w:space="0" w:color="auto"/>
            </w:tcBorders>
            <w:textDirection w:val="lrTb"/>
            <w:vAlign w:val="center"/>
          </w:tcPr>
          <w:p w:rsidR="00AA6FD7" w:rsidRPr="0079365D" w:rsidP="000817E6">
            <w:pPr>
              <w:bidi w:val="0"/>
              <w:jc w:val="right"/>
              <w:rPr>
                <w:rFonts w:ascii="Times New Roman" w:hAnsi="Times New Roman"/>
                <w:szCs w:val="24"/>
              </w:rPr>
            </w:pPr>
            <w:r w:rsidRPr="0079365D">
              <w:rPr>
                <w:rFonts w:ascii="Times New Roman" w:hAnsi="Times New Roman"/>
                <w:szCs w:val="24"/>
              </w:rPr>
              <w:t>-</w:t>
            </w:r>
          </w:p>
        </w:tc>
        <w:tc>
          <w:tcPr>
            <w:tcW w:w="1257" w:type="pct"/>
            <w:tcBorders>
              <w:top w:val="single" w:sz="4" w:space="0" w:color="auto"/>
              <w:left w:val="single" w:sz="4" w:space="0" w:color="auto"/>
              <w:bottom w:val="single" w:sz="12" w:space="0" w:color="auto"/>
              <w:right w:val="single" w:sz="12" w:space="0" w:color="auto"/>
            </w:tcBorders>
            <w:textDirection w:val="lrTb"/>
            <w:vAlign w:val="center"/>
          </w:tcPr>
          <w:p w:rsidR="00AA6FD7" w:rsidRPr="00834697" w:rsidP="000817E6">
            <w:pPr>
              <w:bidi w:val="0"/>
              <w:jc w:val="right"/>
              <w:rPr>
                <w:rFonts w:ascii="Times New Roman" w:hAnsi="Times New Roman"/>
                <w:szCs w:val="24"/>
              </w:rPr>
            </w:pPr>
            <w:r>
              <w:rPr>
                <w:rFonts w:ascii="Times New Roman" w:hAnsi="Times New Roman"/>
              </w:rPr>
              <w:t>58 799</w:t>
            </w:r>
          </w:p>
        </w:tc>
      </w:tr>
      <w:tr>
        <w:tblPrEx>
          <w:tblW w:w="4975" w:type="pct"/>
          <w:tblInd w:w="108" w:type="dxa"/>
          <w:tblLook w:val="01E0"/>
        </w:tblPrEx>
        <w:tc>
          <w:tcPr>
            <w:tcW w:w="1230" w:type="pct"/>
            <w:tcBorders>
              <w:top w:val="single" w:sz="12" w:space="0" w:color="auto"/>
              <w:left w:val="single" w:sz="12" w:space="0" w:color="auto"/>
              <w:bottom w:val="single" w:sz="12" w:space="0" w:color="auto"/>
              <w:right w:val="single" w:sz="4" w:space="0" w:color="auto"/>
            </w:tcBorders>
            <w:shd w:val="clear" w:color="auto" w:fill="D9D9D9"/>
            <w:textDirection w:val="lrTb"/>
            <w:vAlign w:val="top"/>
          </w:tcPr>
          <w:p w:rsidR="00AA6FD7" w:rsidRPr="0025770A" w:rsidP="000817E6">
            <w:pPr>
              <w:bidi w:val="0"/>
              <w:jc w:val="both"/>
              <w:rPr>
                <w:rFonts w:ascii="Times New Roman" w:hAnsi="Times New Roman"/>
                <w:b/>
                <w:szCs w:val="24"/>
              </w:rPr>
            </w:pPr>
            <w:r w:rsidR="00C937B0">
              <w:rPr>
                <w:rFonts w:ascii="Times New Roman" w:hAnsi="Times New Roman"/>
                <w:b/>
                <w:szCs w:val="24"/>
              </w:rPr>
              <w:t>v</w:t>
            </w:r>
            <w:r w:rsidRPr="0025770A">
              <w:rPr>
                <w:rFonts w:ascii="Times New Roman" w:hAnsi="Times New Roman"/>
                <w:b/>
                <w:szCs w:val="24"/>
              </w:rPr>
              <w:t>ýdavky spolu</w:t>
            </w:r>
          </w:p>
        </w:tc>
        <w:tc>
          <w:tcPr>
            <w:tcW w:w="1257" w:type="pct"/>
            <w:tcBorders>
              <w:top w:val="single" w:sz="12" w:space="0" w:color="auto"/>
              <w:left w:val="single" w:sz="4" w:space="0" w:color="auto"/>
              <w:bottom w:val="single" w:sz="12" w:space="0" w:color="auto"/>
              <w:right w:val="single" w:sz="4" w:space="0" w:color="auto"/>
            </w:tcBorders>
            <w:shd w:val="clear" w:color="auto" w:fill="D9D9D9"/>
            <w:textDirection w:val="lrTb"/>
            <w:vAlign w:val="center"/>
          </w:tcPr>
          <w:p w:rsidR="00AA6FD7" w:rsidRPr="006471CD" w:rsidP="000817E6">
            <w:pPr>
              <w:bidi w:val="0"/>
              <w:jc w:val="right"/>
              <w:rPr>
                <w:rFonts w:ascii="Times New Roman" w:hAnsi="Times New Roman"/>
                <w:b/>
                <w:szCs w:val="24"/>
              </w:rPr>
            </w:pPr>
            <w:r>
              <w:rPr>
                <w:rFonts w:ascii="Times New Roman" w:hAnsi="Times New Roman"/>
                <w:b/>
                <w:szCs w:val="24"/>
              </w:rPr>
              <w:t>4 702 671</w:t>
            </w:r>
          </w:p>
        </w:tc>
        <w:tc>
          <w:tcPr>
            <w:tcW w:w="1257" w:type="pct"/>
            <w:tcBorders>
              <w:top w:val="single" w:sz="12" w:space="0" w:color="auto"/>
              <w:left w:val="single" w:sz="4" w:space="0" w:color="auto"/>
              <w:bottom w:val="single" w:sz="12" w:space="0" w:color="auto"/>
              <w:right w:val="single" w:sz="4" w:space="0" w:color="auto"/>
            </w:tcBorders>
            <w:shd w:val="clear" w:color="auto" w:fill="D9D9D9"/>
            <w:textDirection w:val="lrTb"/>
            <w:vAlign w:val="center"/>
          </w:tcPr>
          <w:p w:rsidR="00AA6FD7" w:rsidRPr="00AA6FD7" w:rsidP="000817E6">
            <w:pPr>
              <w:bidi w:val="0"/>
              <w:jc w:val="right"/>
              <w:rPr>
                <w:rFonts w:ascii="Times New Roman" w:hAnsi="Times New Roman"/>
                <w:b/>
                <w:szCs w:val="24"/>
              </w:rPr>
            </w:pPr>
            <w:r w:rsidRPr="00AA6FD7">
              <w:rPr>
                <w:rFonts w:ascii="Times New Roman" w:hAnsi="Times New Roman"/>
                <w:b/>
                <w:szCs w:val="18"/>
              </w:rPr>
              <w:t>31 997</w:t>
            </w:r>
          </w:p>
        </w:tc>
        <w:tc>
          <w:tcPr>
            <w:tcW w:w="1257" w:type="pct"/>
            <w:tcBorders>
              <w:top w:val="single" w:sz="12" w:space="0" w:color="auto"/>
              <w:left w:val="single" w:sz="4" w:space="0" w:color="auto"/>
              <w:bottom w:val="single" w:sz="12" w:space="0" w:color="auto"/>
              <w:right w:val="single" w:sz="12" w:space="0" w:color="auto"/>
            </w:tcBorders>
            <w:shd w:val="clear" w:color="auto" w:fill="D9D9D9"/>
            <w:textDirection w:val="lrTb"/>
            <w:vAlign w:val="center"/>
          </w:tcPr>
          <w:p w:rsidR="00AA6FD7" w:rsidRPr="00AA6FD7" w:rsidP="000817E6">
            <w:pPr>
              <w:bidi w:val="0"/>
              <w:jc w:val="right"/>
              <w:rPr>
                <w:rFonts w:ascii="Times New Roman" w:hAnsi="Times New Roman"/>
                <w:b/>
                <w:szCs w:val="24"/>
              </w:rPr>
            </w:pPr>
            <w:r w:rsidRPr="00AA6FD7">
              <w:rPr>
                <w:rFonts w:ascii="Times New Roman" w:hAnsi="Times New Roman"/>
                <w:b/>
                <w:szCs w:val="24"/>
              </w:rPr>
              <w:t>4 734 668</w:t>
            </w:r>
          </w:p>
        </w:tc>
      </w:tr>
    </w:tbl>
    <w:p w:rsidR="00AA6FD7" w:rsidP="00AA6FD7">
      <w:pPr>
        <w:bidi w:val="0"/>
        <w:rPr>
          <w:rFonts w:ascii="Times New Roman" w:hAnsi="Times New Roman"/>
        </w:rPr>
      </w:pPr>
    </w:p>
    <w:p w:rsidR="000817E6" w:rsidP="00AA6FD7">
      <w:pPr>
        <w:bidi w:val="0"/>
        <w:rPr>
          <w:rFonts w:ascii="Times New Roman" w:hAnsi="Times New Roman"/>
        </w:rPr>
      </w:pPr>
    </w:p>
    <w:p w:rsidR="00EE50DE" w:rsidP="00AA6FD7">
      <w:pPr>
        <w:bidi w:val="0"/>
        <w:rPr>
          <w:rFonts w:ascii="Times New Roman" w:hAnsi="Times New Roman"/>
        </w:rPr>
      </w:pPr>
    </w:p>
    <w:p w:rsidR="00EE50DE" w:rsidP="00AA6FD7">
      <w:pPr>
        <w:bidi w:val="0"/>
        <w:rPr>
          <w:rFonts w:ascii="Times New Roman" w:hAnsi="Times New Roman"/>
        </w:rPr>
      </w:pPr>
    </w:p>
    <w:p w:rsidR="00EE50DE" w:rsidP="00AA6FD7">
      <w:pPr>
        <w:bidi w:val="0"/>
        <w:rPr>
          <w:rFonts w:ascii="Times New Roman" w:hAnsi="Times New Roman"/>
        </w:rPr>
      </w:pPr>
    </w:p>
    <w:p w:rsidR="00B64772" w:rsidP="00D26A35">
      <w:pPr>
        <w:pStyle w:val="Heading1"/>
        <w:tabs>
          <w:tab w:val="left" w:pos="709"/>
        </w:tabs>
        <w:bidi w:val="0"/>
        <w:ind w:left="709" w:hanging="709"/>
        <w:rPr>
          <w:rFonts w:ascii="Times New Roman" w:hAnsi="Times New Roman"/>
        </w:rPr>
      </w:pPr>
      <w:bookmarkStart w:id="101" w:name="_Toc320719744"/>
      <w:r w:rsidR="00D26A35">
        <w:rPr>
          <w:rFonts w:ascii="Times New Roman" w:hAnsi="Times New Roman"/>
        </w:rPr>
        <w:t>Riadenie ľudských zdrojov a </w:t>
      </w:r>
      <w:r w:rsidRPr="00B64772" w:rsidR="00D26A35">
        <w:rPr>
          <w:rFonts w:ascii="Times New Roman" w:hAnsi="Times New Roman"/>
        </w:rPr>
        <w:t xml:space="preserve"> </w:t>
      </w:r>
      <w:r w:rsidRPr="00B64772" w:rsidR="00E00EC8">
        <w:rPr>
          <w:rFonts w:ascii="Times New Roman" w:hAnsi="Times New Roman"/>
        </w:rPr>
        <w:t>vzdelávanie zamestnancov</w:t>
      </w:r>
      <w:bookmarkEnd w:id="99"/>
      <w:bookmarkEnd w:id="100"/>
      <w:bookmarkEnd w:id="101"/>
    </w:p>
    <w:p w:rsidR="00B64772" w:rsidRPr="00B64772" w:rsidP="00B64772">
      <w:pPr>
        <w:bidi w:val="0"/>
        <w:rPr>
          <w:rFonts w:ascii="Times New Roman" w:hAnsi="Times New Roman"/>
          <w:lang w:eastAsia="cs-CZ"/>
        </w:rPr>
      </w:pPr>
    </w:p>
    <w:p w:rsidR="00F6405D" w:rsidRPr="00365339" w:rsidP="00F6405D">
      <w:pPr>
        <w:bidi w:val="0"/>
        <w:jc w:val="both"/>
        <w:rPr>
          <w:rFonts w:ascii="Times New Roman" w:hAnsi="Times New Roman"/>
          <w:color w:val="000000"/>
          <w:szCs w:val="24"/>
        </w:rPr>
      </w:pPr>
      <w:r w:rsidRPr="00365339">
        <w:rPr>
          <w:rFonts w:ascii="Times New Roman" w:hAnsi="Times New Roman"/>
          <w:color w:val="000000"/>
          <w:szCs w:val="24"/>
        </w:rPr>
        <w:t xml:space="preserve">Pre rok 2011 mal </w:t>
      </w:r>
      <w:r w:rsidR="00FF5B20">
        <w:rPr>
          <w:rFonts w:ascii="Times New Roman" w:hAnsi="Times New Roman"/>
          <w:color w:val="000000"/>
          <w:szCs w:val="24"/>
        </w:rPr>
        <w:t>Ú</w:t>
      </w:r>
      <w:r>
        <w:rPr>
          <w:rFonts w:ascii="Times New Roman" w:hAnsi="Times New Roman"/>
          <w:color w:val="000000"/>
          <w:szCs w:val="24"/>
        </w:rPr>
        <w:t>JD SR</w:t>
      </w:r>
      <w:r w:rsidRPr="00365339">
        <w:rPr>
          <w:rFonts w:ascii="Times New Roman" w:hAnsi="Times New Roman"/>
          <w:color w:val="000000"/>
          <w:szCs w:val="24"/>
        </w:rPr>
        <w:t xml:space="preserve"> rozpisom rozpočtu určený celkový počet zamestnancov 93 a jeho vnútorné členenie predstavovalo 76 štátnozamestnaneckých miest a 17 pracovných miest pri výkone práce vo verejnom záujme. </w:t>
      </w:r>
      <w:r w:rsidRPr="00365339" w:rsidR="002467F5">
        <w:rPr>
          <w:rFonts w:ascii="Times New Roman" w:hAnsi="Times New Roman"/>
          <w:color w:val="000000"/>
          <w:szCs w:val="24"/>
        </w:rPr>
        <w:t xml:space="preserve">Na základe skutočnosti </w:t>
      </w:r>
      <w:r w:rsidR="002467F5">
        <w:rPr>
          <w:rFonts w:ascii="Times New Roman" w:hAnsi="Times New Roman"/>
          <w:color w:val="000000"/>
          <w:szCs w:val="24"/>
        </w:rPr>
        <w:t xml:space="preserve">bol </w:t>
      </w:r>
      <w:r w:rsidRPr="00365339" w:rsidR="002467F5">
        <w:rPr>
          <w:rFonts w:ascii="Times New Roman" w:hAnsi="Times New Roman"/>
          <w:color w:val="000000"/>
          <w:szCs w:val="24"/>
        </w:rPr>
        <w:t xml:space="preserve">evidenčný počet zamestnancov vo fyzických osobách </w:t>
      </w:r>
      <w:r w:rsidRPr="00365339" w:rsidR="002467F5">
        <w:rPr>
          <w:rFonts w:ascii="Times New Roman" w:hAnsi="Times New Roman"/>
          <w:color w:val="000000"/>
        </w:rPr>
        <w:t>91 zamestnancov</w:t>
      </w:r>
      <w:r w:rsidRPr="00365339" w:rsidR="002467F5">
        <w:rPr>
          <w:rFonts w:ascii="Times New Roman" w:hAnsi="Times New Roman"/>
          <w:color w:val="000000"/>
          <w:szCs w:val="24"/>
        </w:rPr>
        <w:t xml:space="preserve"> k 31.</w:t>
      </w:r>
      <w:r w:rsidR="002467F5">
        <w:rPr>
          <w:rFonts w:ascii="Times New Roman" w:hAnsi="Times New Roman"/>
          <w:color w:val="000000"/>
          <w:szCs w:val="24"/>
        </w:rPr>
        <w:t xml:space="preserve">decembru </w:t>
      </w:r>
      <w:r w:rsidRPr="00365339" w:rsidR="002467F5">
        <w:rPr>
          <w:rFonts w:ascii="Times New Roman" w:hAnsi="Times New Roman"/>
          <w:color w:val="000000"/>
          <w:szCs w:val="24"/>
        </w:rPr>
        <w:t>2011</w:t>
      </w:r>
      <w:r w:rsidRPr="00365339" w:rsidR="002467F5">
        <w:rPr>
          <w:rFonts w:ascii="Times New Roman" w:hAnsi="Times New Roman"/>
          <w:color w:val="000000"/>
        </w:rPr>
        <w:t xml:space="preserve">, z toho 74 štátnych zamestnancov a 17 zamestnancov pri výkone práce vo verejnom záujme. Ku koncu roku ostali neobsadené 2 miesta </w:t>
      </w:r>
      <w:r w:rsidR="002467F5">
        <w:rPr>
          <w:rFonts w:ascii="Times New Roman" w:hAnsi="Times New Roman"/>
          <w:color w:val="000000"/>
        </w:rPr>
        <w:t>v štátnej službe.</w:t>
      </w:r>
    </w:p>
    <w:p w:rsidR="00F6405D" w:rsidRPr="00365339" w:rsidP="00F6405D">
      <w:pPr>
        <w:pStyle w:val="BodyText"/>
        <w:bidi w:val="0"/>
        <w:rPr>
          <w:rFonts w:ascii="Times New Roman" w:hAnsi="Times New Roman"/>
          <w:color w:val="000000"/>
          <w:szCs w:val="24"/>
        </w:rPr>
      </w:pPr>
      <w:r w:rsidRPr="00365339">
        <w:rPr>
          <w:rFonts w:ascii="Times New Roman" w:hAnsi="Times New Roman"/>
          <w:color w:val="000000"/>
          <w:szCs w:val="24"/>
        </w:rPr>
        <w:t>Proces obsadzovania voľných štátnozamestnaneckých miest (</w:t>
      </w:r>
      <w:r>
        <w:rPr>
          <w:rFonts w:ascii="Times New Roman" w:hAnsi="Times New Roman"/>
          <w:color w:val="000000"/>
          <w:szCs w:val="24"/>
          <w:lang w:val="sk-SK"/>
        </w:rPr>
        <w:t>ďalej len „</w:t>
      </w:r>
      <w:r w:rsidRPr="00365339">
        <w:rPr>
          <w:rFonts w:ascii="Times New Roman" w:hAnsi="Times New Roman"/>
          <w:color w:val="000000"/>
          <w:szCs w:val="24"/>
        </w:rPr>
        <w:t>ŠZM</w:t>
      </w:r>
      <w:r>
        <w:rPr>
          <w:rFonts w:ascii="Times New Roman" w:hAnsi="Times New Roman"/>
          <w:color w:val="000000"/>
          <w:szCs w:val="24"/>
          <w:lang w:val="sk-SK"/>
        </w:rPr>
        <w:t>“</w:t>
      </w:r>
      <w:r w:rsidRPr="00365339">
        <w:rPr>
          <w:rFonts w:ascii="Times New Roman" w:hAnsi="Times New Roman"/>
          <w:color w:val="000000"/>
          <w:szCs w:val="24"/>
        </w:rPr>
        <w:t xml:space="preserve">) </w:t>
      </w:r>
      <w:r w:rsidR="00B77ED2">
        <w:rPr>
          <w:rFonts w:ascii="Times New Roman" w:hAnsi="Times New Roman"/>
          <w:color w:val="000000"/>
          <w:szCs w:val="24"/>
          <w:lang w:val="sk-SK"/>
        </w:rPr>
        <w:t>sa realizoval</w:t>
      </w:r>
      <w:r w:rsidRPr="00365339">
        <w:rPr>
          <w:rFonts w:ascii="Times New Roman" w:hAnsi="Times New Roman"/>
          <w:color w:val="000000"/>
          <w:szCs w:val="24"/>
        </w:rPr>
        <w:t xml:space="preserve"> na </w:t>
      </w:r>
      <w:r>
        <w:rPr>
          <w:rFonts w:ascii="Times New Roman" w:hAnsi="Times New Roman"/>
          <w:color w:val="000000"/>
          <w:szCs w:val="24"/>
          <w:lang w:val="sk-SK"/>
        </w:rPr>
        <w:t>ÚJD SR</w:t>
      </w:r>
      <w:r w:rsidRPr="00365339">
        <w:rPr>
          <w:rFonts w:ascii="Times New Roman" w:hAnsi="Times New Roman"/>
          <w:color w:val="000000"/>
          <w:szCs w:val="24"/>
        </w:rPr>
        <w:t xml:space="preserve"> v nadväznosti na vyhlásené výbery. V priebehu rok</w:t>
      </w:r>
      <w:r w:rsidR="00B77ED2">
        <w:rPr>
          <w:rFonts w:ascii="Times New Roman" w:hAnsi="Times New Roman"/>
          <w:color w:val="000000"/>
          <w:szCs w:val="24"/>
          <w:lang w:val="sk-SK"/>
        </w:rPr>
        <w:t>a</w:t>
      </w:r>
      <w:r w:rsidRPr="00365339">
        <w:rPr>
          <w:rFonts w:ascii="Times New Roman" w:hAnsi="Times New Roman"/>
          <w:color w:val="000000"/>
          <w:szCs w:val="24"/>
        </w:rPr>
        <w:t xml:space="preserve"> 2011 boli vyhlásené 4 výbery na 2 voľné ŠZM a 2 ŠZM, ktoré boli obsadené dočasnou štátnou službou. Na  výbery sa prihlásilo 24 uchádzačov, avšak fyzicky sa zúčastnilo len 17. Z úspešných výberov 3 zamestnanci nastúpili do štátnozamestnaneckého pomeru do 31.</w:t>
      </w:r>
      <w:r w:rsidR="00C937B0">
        <w:rPr>
          <w:rFonts w:ascii="Times New Roman" w:hAnsi="Times New Roman"/>
          <w:color w:val="000000"/>
          <w:szCs w:val="24"/>
          <w:lang w:val="sk-SK"/>
        </w:rPr>
        <w:t xml:space="preserve"> </w:t>
      </w:r>
      <w:r w:rsidRPr="00365339">
        <w:rPr>
          <w:rFonts w:ascii="Times New Roman" w:hAnsi="Times New Roman"/>
          <w:color w:val="000000"/>
          <w:szCs w:val="24"/>
        </w:rPr>
        <w:t xml:space="preserve">decembra </w:t>
      </w:r>
      <w:r w:rsidR="008F74FF">
        <w:rPr>
          <w:rFonts w:ascii="Times New Roman" w:hAnsi="Times New Roman"/>
          <w:color w:val="000000"/>
          <w:szCs w:val="24"/>
          <w:lang w:val="sk-SK"/>
        </w:rPr>
        <w:t xml:space="preserve">2011 </w:t>
      </w:r>
      <w:r w:rsidRPr="00365339">
        <w:rPr>
          <w:rFonts w:ascii="Times New Roman" w:hAnsi="Times New Roman"/>
          <w:color w:val="000000"/>
          <w:szCs w:val="24"/>
        </w:rPr>
        <w:t xml:space="preserve">a 1 zamestnanec </w:t>
      </w:r>
      <w:r>
        <w:rPr>
          <w:rFonts w:ascii="Times New Roman" w:hAnsi="Times New Roman"/>
          <w:color w:val="000000"/>
          <w:szCs w:val="24"/>
          <w:lang w:val="sk-SK"/>
        </w:rPr>
        <w:t xml:space="preserve"> nastúpi </w:t>
      </w:r>
      <w:r w:rsidRPr="00365339">
        <w:rPr>
          <w:rFonts w:ascii="Times New Roman" w:hAnsi="Times New Roman"/>
          <w:color w:val="000000"/>
          <w:szCs w:val="24"/>
        </w:rPr>
        <w:t>až v I. štvrťroku 2012.</w:t>
      </w:r>
    </w:p>
    <w:p w:rsidR="00F6405D" w:rsidP="00F6405D">
      <w:pPr>
        <w:pStyle w:val="BodyTextIndent"/>
        <w:bidi w:val="0"/>
        <w:ind w:left="0" w:firstLine="0"/>
        <w:rPr>
          <w:rFonts w:ascii="Times New Roman" w:hAnsi="Times New Roman"/>
          <w:color w:val="000000"/>
          <w:lang w:val="sk-SK" w:eastAsia="x-none"/>
        </w:rPr>
      </w:pPr>
    </w:p>
    <w:p w:rsidR="00F6405D" w:rsidRPr="00365339" w:rsidP="00F6405D">
      <w:pPr>
        <w:pStyle w:val="BodyTextIndent"/>
        <w:bidi w:val="0"/>
        <w:ind w:left="0" w:firstLine="0"/>
        <w:jc w:val="both"/>
        <w:rPr>
          <w:rFonts w:ascii="Times New Roman" w:hAnsi="Times New Roman"/>
          <w:color w:val="000000"/>
          <w:lang w:val="sk-SK" w:eastAsia="x-none"/>
        </w:rPr>
      </w:pPr>
      <w:r w:rsidRPr="00365339">
        <w:rPr>
          <w:rFonts w:ascii="Times New Roman" w:hAnsi="Times New Roman"/>
          <w:color w:val="000000"/>
          <w:lang w:val="sk-SK" w:eastAsia="x-none"/>
        </w:rPr>
        <w:t xml:space="preserve">Vzdelanostná štruktúra zamestnancov priamo ovplyvňovala profesionálnu úroveň výkonu činností jednotlivých útvarov </w:t>
      </w:r>
      <w:r>
        <w:rPr>
          <w:rFonts w:ascii="Times New Roman" w:hAnsi="Times New Roman"/>
          <w:color w:val="000000"/>
          <w:lang w:val="sk-SK" w:eastAsia="x-none"/>
        </w:rPr>
        <w:t>ÚJD SR</w:t>
      </w:r>
      <w:r w:rsidRPr="00365339">
        <w:rPr>
          <w:rFonts w:ascii="Times New Roman" w:hAnsi="Times New Roman"/>
          <w:color w:val="000000"/>
          <w:lang w:val="sk-SK" w:eastAsia="x-none"/>
        </w:rPr>
        <w:t>. Vzdelanostná štruktúra deklaruje</w:t>
      </w:r>
      <w:r w:rsidR="00FF5B20">
        <w:rPr>
          <w:rFonts w:ascii="Times New Roman" w:hAnsi="Times New Roman"/>
          <w:color w:val="000000"/>
          <w:lang w:val="sk-SK" w:eastAsia="x-none"/>
        </w:rPr>
        <w:t>,</w:t>
      </w:r>
      <w:r w:rsidRPr="00365339">
        <w:rPr>
          <w:rFonts w:ascii="Times New Roman" w:hAnsi="Times New Roman"/>
          <w:color w:val="000000"/>
          <w:lang w:val="sk-SK" w:eastAsia="x-none"/>
        </w:rPr>
        <w:t xml:space="preserve"> že takmer 87</w:t>
      </w:r>
      <w:r w:rsidR="008F74FF">
        <w:rPr>
          <w:rFonts w:ascii="Times New Roman" w:hAnsi="Times New Roman"/>
          <w:color w:val="000000"/>
          <w:lang w:val="sk-SK" w:eastAsia="x-none"/>
        </w:rPr>
        <w:t xml:space="preserve"> </w:t>
      </w:r>
      <w:r w:rsidRPr="00365339">
        <w:rPr>
          <w:rFonts w:ascii="Times New Roman" w:hAnsi="Times New Roman"/>
          <w:color w:val="000000"/>
          <w:lang w:val="sk-SK" w:eastAsia="x-none"/>
        </w:rPr>
        <w:t>% zamestnancov je vysokoškolsky vzdelaných a 13</w:t>
      </w:r>
      <w:r w:rsidR="008F74FF">
        <w:rPr>
          <w:rFonts w:ascii="Times New Roman" w:hAnsi="Times New Roman"/>
          <w:color w:val="000000"/>
          <w:lang w:val="sk-SK" w:eastAsia="x-none"/>
        </w:rPr>
        <w:t xml:space="preserve"> </w:t>
      </w:r>
      <w:r w:rsidRPr="00365339">
        <w:rPr>
          <w:rFonts w:ascii="Times New Roman" w:hAnsi="Times New Roman"/>
          <w:color w:val="000000"/>
          <w:lang w:val="sk-SK" w:eastAsia="x-none"/>
        </w:rPr>
        <w:t>% má úplné stredné vzdelanie. Ku koncu rok</w:t>
      </w:r>
      <w:r w:rsidR="009806E1">
        <w:rPr>
          <w:rFonts w:ascii="Times New Roman" w:hAnsi="Times New Roman"/>
          <w:color w:val="000000"/>
          <w:lang w:val="sk-SK" w:eastAsia="x-none"/>
        </w:rPr>
        <w:t>a</w:t>
      </w:r>
      <w:r w:rsidRPr="00365339">
        <w:rPr>
          <w:rFonts w:ascii="Times New Roman" w:hAnsi="Times New Roman"/>
          <w:color w:val="000000"/>
          <w:lang w:val="sk-SK" w:eastAsia="x-none"/>
        </w:rPr>
        <w:t xml:space="preserve"> 2011 z fyzicky obsadených miest mužmi je 98</w:t>
      </w:r>
      <w:r w:rsidR="008F74FF">
        <w:rPr>
          <w:rFonts w:ascii="Times New Roman" w:hAnsi="Times New Roman"/>
          <w:color w:val="000000"/>
          <w:lang w:val="sk-SK" w:eastAsia="x-none"/>
        </w:rPr>
        <w:t xml:space="preserve"> </w:t>
      </w:r>
      <w:r w:rsidRPr="00365339">
        <w:rPr>
          <w:rFonts w:ascii="Times New Roman" w:hAnsi="Times New Roman"/>
          <w:color w:val="000000"/>
          <w:lang w:val="sk-SK" w:eastAsia="x-none"/>
        </w:rPr>
        <w:t>% vysokoškolsky vzdelaných a u žien percentuálny podiel predstavuje 73,2</w:t>
      </w:r>
      <w:r w:rsidR="008F74FF">
        <w:rPr>
          <w:rFonts w:ascii="Times New Roman" w:hAnsi="Times New Roman"/>
          <w:color w:val="000000"/>
          <w:lang w:val="sk-SK" w:eastAsia="x-none"/>
        </w:rPr>
        <w:t xml:space="preserve"> </w:t>
      </w:r>
      <w:r w:rsidRPr="00365339">
        <w:rPr>
          <w:rFonts w:ascii="Times New Roman" w:hAnsi="Times New Roman"/>
          <w:color w:val="000000"/>
          <w:lang w:val="sk-SK" w:eastAsia="x-none"/>
        </w:rPr>
        <w:t>%. Tento percentuálny podiel vysokoškolsky vzdelaných zamestnancov sa odvíja od náročnosti práce a vysoko prekračuje vzdelanostnú úroveň obyvateľov Slovenska.</w:t>
      </w:r>
    </w:p>
    <w:p w:rsidR="00F6405D" w:rsidRPr="00365339" w:rsidP="00B64772">
      <w:pPr>
        <w:pStyle w:val="BodyTextIndent"/>
        <w:bidi w:val="0"/>
        <w:ind w:left="0" w:firstLine="0"/>
        <w:rPr>
          <w:rFonts w:ascii="Times New Roman" w:hAnsi="Times New Roman"/>
          <w:color w:val="000000"/>
          <w:szCs w:val="24"/>
          <w:lang w:val="sk-SK" w:eastAsia="x-none"/>
        </w:rPr>
      </w:pPr>
    </w:p>
    <w:p w:rsidR="00F6405D" w:rsidRPr="0077492E" w:rsidP="0077492E">
      <w:pPr>
        <w:pStyle w:val="BodyTextIndent"/>
        <w:bidi w:val="0"/>
        <w:ind w:left="0" w:firstLine="0"/>
        <w:jc w:val="both"/>
        <w:rPr>
          <w:rFonts w:ascii="Times New Roman" w:hAnsi="Times New Roman"/>
          <w:color w:val="000000"/>
          <w:szCs w:val="24"/>
          <w:lang w:val="sk-SK" w:eastAsia="x-none"/>
        </w:rPr>
      </w:pPr>
      <w:r w:rsidRPr="00365339">
        <w:rPr>
          <w:rFonts w:ascii="Times New Roman" w:hAnsi="Times New Roman"/>
          <w:color w:val="000000"/>
          <w:szCs w:val="24"/>
          <w:lang w:val="sk-SK" w:eastAsia="x-none"/>
        </w:rPr>
        <w:t>Veková štruktúra zamestnancov odráža dlhodobú tendenciu vývoja, keď skupina zamestnancov vo veku od 51-60 rokov predstavuje najvyššie percentuálne zastúpenie (36,3</w:t>
      </w:r>
      <w:r w:rsidR="008F74FF">
        <w:rPr>
          <w:rFonts w:ascii="Times New Roman" w:hAnsi="Times New Roman"/>
          <w:color w:val="000000"/>
          <w:szCs w:val="24"/>
          <w:lang w:val="sk-SK" w:eastAsia="x-none"/>
        </w:rPr>
        <w:t> </w:t>
      </w:r>
      <w:r w:rsidRPr="00365339">
        <w:rPr>
          <w:rFonts w:ascii="Times New Roman" w:hAnsi="Times New Roman"/>
          <w:color w:val="000000"/>
          <w:szCs w:val="24"/>
          <w:lang w:val="sk-SK" w:eastAsia="x-none"/>
        </w:rPr>
        <w:t>%).</w:t>
      </w:r>
      <w:r w:rsidRPr="00365339">
        <w:rPr>
          <w:rFonts w:ascii="Times New Roman" w:hAnsi="Times New Roman"/>
          <w:b/>
          <w:color w:val="000000"/>
          <w:szCs w:val="24"/>
          <w:lang w:val="sk-SK" w:eastAsia="x-none"/>
        </w:rPr>
        <w:t xml:space="preserve"> </w:t>
      </w:r>
      <w:r w:rsidRPr="00365339">
        <w:rPr>
          <w:rFonts w:ascii="Times New Roman" w:hAnsi="Times New Roman"/>
          <w:color w:val="000000"/>
          <w:szCs w:val="24"/>
          <w:lang w:val="sk-SK" w:eastAsia="x-none"/>
        </w:rPr>
        <w:t xml:space="preserve">Veková štruktúra zamestnancov zároveň dokumentuje, že zamestnanci vo veku od 41 </w:t>
      </w:r>
      <w:r w:rsidR="009806E1">
        <w:rPr>
          <w:rFonts w:ascii="Times New Roman" w:hAnsi="Times New Roman"/>
          <w:color w:val="000000"/>
          <w:szCs w:val="24"/>
          <w:lang w:val="sk-SK" w:eastAsia="x-none"/>
        </w:rPr>
        <w:t xml:space="preserve">do </w:t>
      </w:r>
      <w:r w:rsidRPr="00365339">
        <w:rPr>
          <w:rFonts w:ascii="Times New Roman" w:hAnsi="Times New Roman"/>
          <w:color w:val="000000"/>
          <w:szCs w:val="24"/>
          <w:lang w:val="sk-SK" w:eastAsia="x-none"/>
        </w:rPr>
        <w:t>60 rokov tvoria až 51,7 %, zamestnanci vo veku od 18</w:t>
      </w:r>
      <w:r w:rsidR="009806E1">
        <w:rPr>
          <w:rFonts w:ascii="Times New Roman" w:hAnsi="Times New Roman"/>
          <w:color w:val="000000"/>
          <w:szCs w:val="24"/>
          <w:lang w:val="sk-SK" w:eastAsia="x-none"/>
        </w:rPr>
        <w:t xml:space="preserve"> do</w:t>
      </w:r>
      <w:r w:rsidRPr="00365339">
        <w:rPr>
          <w:rFonts w:ascii="Times New Roman" w:hAnsi="Times New Roman"/>
          <w:color w:val="000000"/>
          <w:szCs w:val="24"/>
          <w:lang w:val="sk-SK" w:eastAsia="x-none"/>
        </w:rPr>
        <w:t xml:space="preserve"> 40 rokov tvoria 39,5</w:t>
      </w:r>
      <w:r w:rsidR="008F74FF">
        <w:rPr>
          <w:rFonts w:ascii="Times New Roman" w:hAnsi="Times New Roman"/>
          <w:color w:val="000000"/>
          <w:szCs w:val="24"/>
          <w:lang w:val="sk-SK" w:eastAsia="x-none"/>
        </w:rPr>
        <w:t xml:space="preserve"> </w:t>
      </w:r>
      <w:r w:rsidRPr="00365339">
        <w:rPr>
          <w:rFonts w:ascii="Times New Roman" w:hAnsi="Times New Roman"/>
          <w:color w:val="000000"/>
          <w:szCs w:val="24"/>
          <w:lang w:val="sk-SK" w:eastAsia="x-none"/>
        </w:rPr>
        <w:t>% a ostávajúcich 8,8</w:t>
      </w:r>
      <w:r w:rsidR="008F74FF">
        <w:rPr>
          <w:rFonts w:ascii="Times New Roman" w:hAnsi="Times New Roman"/>
          <w:color w:val="000000"/>
          <w:szCs w:val="24"/>
          <w:lang w:val="sk-SK" w:eastAsia="x-none"/>
        </w:rPr>
        <w:t xml:space="preserve"> </w:t>
      </w:r>
      <w:r w:rsidRPr="00365339">
        <w:rPr>
          <w:rFonts w:ascii="Times New Roman" w:hAnsi="Times New Roman"/>
          <w:color w:val="000000"/>
          <w:szCs w:val="24"/>
          <w:lang w:val="sk-SK" w:eastAsia="x-none"/>
        </w:rPr>
        <w:t>% pripadá na kategóriu zamestnancov nad 61 rokov z celkového počtu zamestnancov. Tento skutkový stav preukazuje, že proces výkonu štátneho dozoru bol zabezpečovaný aj v roku 2011 v prevažnej miere zamestnanc</w:t>
      </w:r>
      <w:r w:rsidR="00FF5B20">
        <w:rPr>
          <w:rFonts w:ascii="Times New Roman" w:hAnsi="Times New Roman"/>
          <w:color w:val="000000"/>
          <w:szCs w:val="24"/>
          <w:lang w:val="sk-SK" w:eastAsia="x-none"/>
        </w:rPr>
        <w:t>ami</w:t>
      </w:r>
      <w:r w:rsidRPr="00365339">
        <w:rPr>
          <w:rFonts w:ascii="Times New Roman" w:hAnsi="Times New Roman"/>
          <w:color w:val="000000"/>
          <w:szCs w:val="24"/>
          <w:lang w:val="sk-SK" w:eastAsia="x-none"/>
        </w:rPr>
        <w:t xml:space="preserve"> s dlhoročnou odbornou praxou, t.j. zamestnancami od 41 do 60 rokov a nad 61 rokov. Priemerný vek zamestnancov </w:t>
      </w:r>
      <w:r w:rsidR="00C70FEF">
        <w:rPr>
          <w:rFonts w:ascii="Times New Roman" w:hAnsi="Times New Roman"/>
          <w:color w:val="000000"/>
          <w:szCs w:val="24"/>
          <w:lang w:val="sk-SK" w:eastAsia="x-none"/>
        </w:rPr>
        <w:t>ÚJD SR</w:t>
      </w:r>
      <w:r w:rsidRPr="00365339">
        <w:rPr>
          <w:rFonts w:ascii="Times New Roman" w:hAnsi="Times New Roman"/>
          <w:color w:val="000000"/>
          <w:szCs w:val="24"/>
          <w:lang w:val="sk-SK" w:eastAsia="x-none"/>
        </w:rPr>
        <w:t xml:space="preserve"> k 31. decembru 2011 bol 46 rokov.</w:t>
      </w:r>
      <w:r w:rsidR="0077492E">
        <w:rPr>
          <w:rFonts w:ascii="Times New Roman" w:hAnsi="Times New Roman"/>
          <w:color w:val="000000"/>
          <w:szCs w:val="24"/>
          <w:lang w:val="sk-SK" w:eastAsia="x-none"/>
        </w:rPr>
        <w:t xml:space="preserve"> </w:t>
      </w:r>
      <w:r w:rsidRPr="00365339" w:rsidR="002467F5">
        <w:rPr>
          <w:rFonts w:ascii="Times New Roman" w:hAnsi="Times New Roman"/>
          <w:color w:val="000000"/>
          <w:lang w:val="sk-SK" w:eastAsia="x-none"/>
        </w:rPr>
        <w:t xml:space="preserve">Zastúpenie žien na </w:t>
      </w:r>
      <w:r w:rsidR="002467F5">
        <w:rPr>
          <w:rFonts w:ascii="Times New Roman" w:hAnsi="Times New Roman"/>
          <w:color w:val="000000"/>
          <w:lang w:val="sk-SK" w:eastAsia="x-none"/>
        </w:rPr>
        <w:t>ÚJD SR</w:t>
      </w:r>
      <w:r w:rsidRPr="00365339" w:rsidR="002467F5">
        <w:rPr>
          <w:rFonts w:ascii="Times New Roman" w:hAnsi="Times New Roman"/>
          <w:color w:val="000000"/>
          <w:lang w:val="sk-SK" w:eastAsia="x-none"/>
        </w:rPr>
        <w:t xml:space="preserve"> je v počte 41 a 50 miest patrí mužom. Celkový podiel zamestnávaných žien predstavuje 45 % a zastúpenie žien zaznamenáva za </w:t>
      </w:r>
      <w:r w:rsidR="002467F5">
        <w:rPr>
          <w:rFonts w:ascii="Times New Roman" w:hAnsi="Times New Roman"/>
          <w:color w:val="000000"/>
          <w:lang w:val="sk-SK" w:eastAsia="x-none"/>
        </w:rPr>
        <w:t>ostatné</w:t>
      </w:r>
      <w:r w:rsidRPr="00365339" w:rsidR="002467F5">
        <w:rPr>
          <w:rFonts w:ascii="Times New Roman" w:hAnsi="Times New Roman"/>
          <w:color w:val="000000"/>
          <w:lang w:val="sk-SK" w:eastAsia="x-none"/>
        </w:rPr>
        <w:t xml:space="preserve"> roky vzrastajúcu tendenciu. </w:t>
      </w:r>
      <w:r w:rsidRPr="00365339">
        <w:rPr>
          <w:rFonts w:ascii="Times New Roman" w:hAnsi="Times New Roman"/>
          <w:color w:val="000000"/>
          <w:szCs w:val="24"/>
        </w:rPr>
        <w:t>Podiel riadiacich zamestnancov predstavoval 15,4</w:t>
      </w:r>
      <w:r w:rsidR="008F74FF">
        <w:rPr>
          <w:rFonts w:ascii="Times New Roman" w:hAnsi="Times New Roman"/>
          <w:color w:val="000000"/>
          <w:szCs w:val="24"/>
          <w:lang w:val="sk-SK" w:eastAsia="x-none"/>
        </w:rPr>
        <w:t xml:space="preserve"> </w:t>
      </w:r>
      <w:r w:rsidRPr="00365339">
        <w:rPr>
          <w:rFonts w:ascii="Times New Roman" w:hAnsi="Times New Roman"/>
          <w:color w:val="000000"/>
          <w:szCs w:val="24"/>
        </w:rPr>
        <w:t xml:space="preserve">% z evidenčného počtu zamestnancov vo fyzických osobách. </w:t>
      </w:r>
    </w:p>
    <w:p w:rsidR="00F6405D" w:rsidRPr="00365339" w:rsidP="00BC73CA">
      <w:pPr>
        <w:pStyle w:val="BodyText"/>
        <w:bidi w:val="0"/>
        <w:ind w:firstLine="709"/>
        <w:rPr>
          <w:rFonts w:ascii="Times New Roman" w:hAnsi="Times New Roman"/>
          <w:color w:val="000000"/>
          <w:szCs w:val="24"/>
        </w:rPr>
      </w:pPr>
    </w:p>
    <w:p w:rsidR="00F6405D" w:rsidRPr="00365339" w:rsidP="00BC73CA">
      <w:pPr>
        <w:shd w:val="clear" w:color="auto" w:fill="FFFFFF"/>
        <w:bidi w:val="0"/>
        <w:jc w:val="both"/>
        <w:rPr>
          <w:rFonts w:ascii="Times New Roman" w:hAnsi="Times New Roman"/>
          <w:color w:val="000000"/>
          <w:szCs w:val="24"/>
        </w:rPr>
      </w:pPr>
      <w:r w:rsidRPr="00A16146">
        <w:rPr>
          <w:rFonts w:ascii="Times New Roman" w:hAnsi="Times New Roman"/>
          <w:color w:val="000000"/>
          <w:szCs w:val="24"/>
        </w:rPr>
        <w:t>V</w:t>
      </w:r>
      <w:r w:rsidRPr="00A16146">
        <w:rPr>
          <w:rFonts w:ascii="Times New Roman" w:hAnsi="Times New Roman"/>
          <w:iCs/>
          <w:color w:val="000000"/>
          <w:szCs w:val="24"/>
        </w:rPr>
        <w:t>zdelávanie a rozvoj zamestnancov</w:t>
      </w:r>
      <w:r w:rsidRPr="00365339">
        <w:rPr>
          <w:rFonts w:ascii="Times New Roman" w:hAnsi="Times New Roman"/>
          <w:i/>
          <w:iCs/>
          <w:color w:val="000000"/>
          <w:szCs w:val="24"/>
        </w:rPr>
        <w:t xml:space="preserve"> </w:t>
      </w:r>
      <w:r w:rsidRPr="00365339">
        <w:rPr>
          <w:rFonts w:ascii="Times New Roman" w:hAnsi="Times New Roman"/>
          <w:color w:val="000000"/>
          <w:szCs w:val="24"/>
        </w:rPr>
        <w:t xml:space="preserve">je ďalším z predpokladov zvládnutia nových úloh súčasného náročného hospodárskeho prostredia, ktorého súčasťou je aj jadrová energetika. </w:t>
      </w:r>
    </w:p>
    <w:p w:rsidR="00F6405D" w:rsidRPr="00BC73CA" w:rsidP="00BC73CA">
      <w:pPr>
        <w:pStyle w:val="BodyTextIndent"/>
        <w:bidi w:val="0"/>
        <w:ind w:left="0" w:firstLine="0"/>
        <w:jc w:val="both"/>
        <w:rPr>
          <w:rFonts w:ascii="Times New Roman" w:hAnsi="Times New Roman"/>
          <w:color w:val="000000"/>
          <w:szCs w:val="24"/>
          <w:lang w:val="sk-SK" w:eastAsia="x-none"/>
        </w:rPr>
      </w:pPr>
      <w:r w:rsidRPr="00365339" w:rsidR="0031469F">
        <w:rPr>
          <w:rFonts w:ascii="Times New Roman" w:hAnsi="Times New Roman"/>
          <w:color w:val="000000"/>
          <w:szCs w:val="24"/>
          <w:lang w:val="sk-SK" w:eastAsia="x-none"/>
        </w:rPr>
        <w:t xml:space="preserve">V roku 2011 </w:t>
      </w:r>
      <w:r w:rsidR="0031469F">
        <w:rPr>
          <w:rFonts w:ascii="Times New Roman" w:hAnsi="Times New Roman"/>
          <w:color w:val="000000"/>
          <w:szCs w:val="24"/>
          <w:lang w:val="sk-SK" w:eastAsia="x-none"/>
        </w:rPr>
        <w:t>manažment ÚJD SR</w:t>
      </w:r>
      <w:r w:rsidRPr="00365339" w:rsidR="0031469F">
        <w:rPr>
          <w:rFonts w:ascii="Times New Roman" w:hAnsi="Times New Roman"/>
          <w:color w:val="000000"/>
          <w:szCs w:val="24"/>
          <w:lang w:val="sk-SK" w:eastAsia="x-none"/>
        </w:rPr>
        <w:t xml:space="preserve"> venoval náležitú pozornosť vzdelávaniu všetkých svojich zamestnancov, pretože vykonávanie štátnej služby a</w:t>
      </w:r>
      <w:r w:rsidRPr="00365339" w:rsidR="0031469F">
        <w:rPr>
          <w:rFonts w:ascii="Times New Roman" w:hAnsi="Times New Roman"/>
          <w:color w:val="000000"/>
        </w:rPr>
        <w:t xml:space="preserve"> výkon práce </w:t>
      </w:r>
      <w:r w:rsidRPr="00365339" w:rsidR="0031469F">
        <w:rPr>
          <w:rFonts w:ascii="Times New Roman" w:hAnsi="Times New Roman"/>
          <w:color w:val="000000"/>
          <w:lang w:val="sk-SK" w:eastAsia="x-none"/>
        </w:rPr>
        <w:t>vo verejnom záujme</w:t>
      </w:r>
      <w:r w:rsidRPr="00365339" w:rsidR="0031469F">
        <w:rPr>
          <w:rFonts w:ascii="Times New Roman" w:hAnsi="Times New Roman"/>
          <w:color w:val="000000"/>
        </w:rPr>
        <w:t xml:space="preserve"> si vyžadovali </w:t>
      </w:r>
      <w:r w:rsidRPr="00365339" w:rsidR="0031469F">
        <w:rPr>
          <w:rFonts w:ascii="Times New Roman" w:hAnsi="Times New Roman"/>
          <w:color w:val="000000"/>
          <w:szCs w:val="24"/>
          <w:lang w:val="sk-SK" w:eastAsia="x-none"/>
        </w:rPr>
        <w:t>vysoké nároky na profesionálnu, odbornú a efektívnu činnosť</w:t>
      </w:r>
      <w:r w:rsidR="00BC73CA">
        <w:rPr>
          <w:rFonts w:ascii="Times New Roman" w:hAnsi="Times New Roman"/>
          <w:color w:val="000000"/>
          <w:szCs w:val="24"/>
          <w:lang w:val="sk-SK" w:eastAsia="x-none"/>
        </w:rPr>
        <w:t xml:space="preserve"> zamestnancov dozorného orgánu.</w:t>
      </w:r>
      <w:r w:rsidR="002467F5">
        <w:rPr>
          <w:rFonts w:ascii="Times New Roman" w:hAnsi="Times New Roman"/>
          <w:color w:val="000000"/>
          <w:szCs w:val="24"/>
          <w:lang w:val="sk-SK" w:eastAsia="x-none"/>
        </w:rPr>
        <w:t xml:space="preserve"> </w:t>
      </w:r>
      <w:r w:rsidRPr="00365339">
        <w:rPr>
          <w:rFonts w:ascii="Times New Roman" w:hAnsi="Times New Roman"/>
          <w:color w:val="000000"/>
          <w:szCs w:val="24"/>
        </w:rPr>
        <w:t xml:space="preserve">Vzdelávací program všetkých zamestnancov </w:t>
      </w:r>
      <w:r w:rsidR="00345CF4">
        <w:rPr>
          <w:rFonts w:ascii="Times New Roman" w:hAnsi="Times New Roman"/>
          <w:color w:val="000000"/>
          <w:szCs w:val="24"/>
        </w:rPr>
        <w:t>ÚJD SR</w:t>
      </w:r>
      <w:r w:rsidRPr="00365339">
        <w:rPr>
          <w:rFonts w:ascii="Times New Roman" w:hAnsi="Times New Roman"/>
          <w:color w:val="000000"/>
          <w:szCs w:val="24"/>
        </w:rPr>
        <w:t xml:space="preserve"> bol rozpracovaný v pláne vzdelávania, ktorý je normatívnym riadiacim aktom s celoročným obsahovým zameraním vzdelávacích potrieb všetkých organizačných útvarov</w:t>
      </w:r>
      <w:r w:rsidR="00345CF4">
        <w:rPr>
          <w:rFonts w:ascii="Times New Roman" w:hAnsi="Times New Roman"/>
          <w:color w:val="000000"/>
          <w:szCs w:val="24"/>
        </w:rPr>
        <w:t>.</w:t>
      </w:r>
      <w:r w:rsidRPr="00365339">
        <w:rPr>
          <w:rFonts w:ascii="Times New Roman" w:hAnsi="Times New Roman"/>
          <w:color w:val="000000"/>
          <w:szCs w:val="24"/>
        </w:rPr>
        <w:t xml:space="preserve"> Okrem toho boli využívané add hoc ponúkané vzdelávacie aktivity, organizované rôznymi vzdelávacími inštitúciami. Vzdelávanie bolo orientované na všetky odborné oblasti, ktoré </w:t>
      </w:r>
      <w:r w:rsidR="00345CF4">
        <w:rPr>
          <w:rFonts w:ascii="Times New Roman" w:hAnsi="Times New Roman"/>
          <w:color w:val="000000"/>
          <w:szCs w:val="24"/>
        </w:rPr>
        <w:t>ÚJD SR</w:t>
      </w:r>
      <w:r w:rsidRPr="00365339">
        <w:rPr>
          <w:rFonts w:ascii="Times New Roman" w:hAnsi="Times New Roman"/>
          <w:color w:val="000000"/>
          <w:szCs w:val="24"/>
        </w:rPr>
        <w:t xml:space="preserve"> zabezpečuje. V priebehu roka zamestnanci okrem klasických foriem vzdelávania využívali aj iné formy vzdelávania </w:t>
      </w:r>
      <w:r w:rsidR="008F74FF">
        <w:rPr>
          <w:rFonts w:ascii="Times New Roman" w:hAnsi="Times New Roman"/>
          <w:color w:val="000000"/>
          <w:szCs w:val="24"/>
          <w:lang w:val="sk-SK" w:eastAsia="x-none"/>
        </w:rPr>
        <w:t>-</w:t>
      </w:r>
      <w:r w:rsidRPr="00365339">
        <w:rPr>
          <w:rFonts w:ascii="Times New Roman" w:hAnsi="Times New Roman"/>
          <w:color w:val="000000"/>
          <w:szCs w:val="24"/>
        </w:rPr>
        <w:t xml:space="preserve"> flexibilné vzdelávanie, e-learning, IKT vo vzdelávaní.</w:t>
      </w:r>
      <w:r w:rsidR="00BC73CA">
        <w:rPr>
          <w:rFonts w:ascii="Times New Roman" w:hAnsi="Times New Roman"/>
          <w:color w:val="000000"/>
          <w:szCs w:val="24"/>
          <w:lang w:val="sk-SK" w:eastAsia="x-none"/>
        </w:rPr>
        <w:t xml:space="preserve"> </w:t>
      </w:r>
      <w:r w:rsidRPr="00365339">
        <w:rPr>
          <w:rFonts w:ascii="Times New Roman" w:hAnsi="Times New Roman"/>
          <w:color w:val="000000"/>
          <w:szCs w:val="24"/>
        </w:rPr>
        <w:t xml:space="preserve">Vzdelávanie a formovanie pracovných schopností a zručností v podmienkach </w:t>
      </w:r>
      <w:r w:rsidR="00345CF4">
        <w:rPr>
          <w:rFonts w:ascii="Times New Roman" w:hAnsi="Times New Roman"/>
          <w:color w:val="000000"/>
          <w:szCs w:val="24"/>
        </w:rPr>
        <w:t>ÚJD SR</w:t>
      </w:r>
      <w:r w:rsidRPr="00365339">
        <w:rPr>
          <w:rFonts w:ascii="Times New Roman" w:hAnsi="Times New Roman"/>
          <w:color w:val="000000"/>
          <w:szCs w:val="24"/>
        </w:rPr>
        <w:t xml:space="preserve"> sa stáva celoživotným procesom, pretože musí permanentn</w:t>
      </w:r>
      <w:r w:rsidR="009806E1">
        <w:rPr>
          <w:rFonts w:ascii="Times New Roman" w:hAnsi="Times New Roman"/>
          <w:color w:val="000000"/>
          <w:szCs w:val="24"/>
        </w:rPr>
        <w:t>e</w:t>
      </w:r>
      <w:r w:rsidRPr="00365339">
        <w:rPr>
          <w:rFonts w:ascii="Times New Roman" w:hAnsi="Times New Roman"/>
          <w:color w:val="000000"/>
          <w:szCs w:val="24"/>
        </w:rPr>
        <w:t xml:space="preserve"> zohľadňovať všetky aktuálne potreby vyvolané realitou zmien. Výdavky na vzdelávanie zamestnancov predstavovali takmer 73</w:t>
      </w:r>
      <w:r w:rsidRPr="00365339">
        <w:rPr>
          <w:rFonts w:ascii="Times New Roman" w:hAnsi="Times New Roman"/>
          <w:b/>
          <w:color w:val="000000"/>
          <w:szCs w:val="24"/>
        </w:rPr>
        <w:t xml:space="preserve"> </w:t>
      </w:r>
      <w:r w:rsidRPr="0031469F" w:rsidR="0031469F">
        <w:rPr>
          <w:rFonts w:ascii="Times New Roman" w:hAnsi="Times New Roman"/>
          <w:color w:val="000000"/>
          <w:szCs w:val="24"/>
        </w:rPr>
        <w:t>000</w:t>
      </w:r>
      <w:r w:rsidRPr="00365339">
        <w:rPr>
          <w:rFonts w:ascii="Times New Roman" w:hAnsi="Times New Roman"/>
          <w:color w:val="000000"/>
          <w:szCs w:val="24"/>
        </w:rPr>
        <w:t xml:space="preserve"> </w:t>
      </w:r>
      <w:r w:rsidR="0031469F">
        <w:rPr>
          <w:rFonts w:ascii="Times New Roman" w:hAnsi="Times New Roman"/>
          <w:color w:val="000000"/>
          <w:szCs w:val="24"/>
        </w:rPr>
        <w:t>eur</w:t>
      </w:r>
      <w:r w:rsidRPr="00AC4D47">
        <w:rPr>
          <w:rFonts w:ascii="Times New Roman" w:hAnsi="Times New Roman"/>
          <w:color w:val="000000"/>
          <w:szCs w:val="24"/>
        </w:rPr>
        <w:t xml:space="preserve"> </w:t>
      </w:r>
      <w:r w:rsidRPr="00365339">
        <w:rPr>
          <w:rFonts w:ascii="Times New Roman" w:hAnsi="Times New Roman"/>
          <w:color w:val="000000"/>
          <w:szCs w:val="24"/>
        </w:rPr>
        <w:t>z čoho 38</w:t>
      </w:r>
      <w:r w:rsidR="0031469F">
        <w:rPr>
          <w:rFonts w:ascii="Times New Roman" w:hAnsi="Times New Roman"/>
          <w:color w:val="000000"/>
          <w:szCs w:val="24"/>
        </w:rPr>
        <w:t> 000 eur</w:t>
      </w:r>
      <w:r w:rsidRPr="00AC4D47">
        <w:rPr>
          <w:rFonts w:ascii="Times New Roman" w:hAnsi="Times New Roman"/>
          <w:color w:val="000000"/>
          <w:szCs w:val="24"/>
        </w:rPr>
        <w:t xml:space="preserve"> </w:t>
      </w:r>
      <w:r w:rsidRPr="00365339">
        <w:rPr>
          <w:rFonts w:ascii="Times New Roman" w:hAnsi="Times New Roman"/>
          <w:color w:val="000000"/>
          <w:szCs w:val="24"/>
        </w:rPr>
        <w:t xml:space="preserve">bolo vynaložených na špecifické vzdelávanie pre inšpektorov jadrovej bezpečnosti, inšpektorov - čakateľov, ktorým získali potrebné vedomosti, zručnosti a postoje na výkon inšpekčnej </w:t>
      </w:r>
      <w:r w:rsidR="009806E1">
        <w:rPr>
          <w:rFonts w:ascii="Times New Roman" w:hAnsi="Times New Roman"/>
          <w:color w:val="000000"/>
          <w:szCs w:val="24"/>
        </w:rPr>
        <w:t xml:space="preserve">činnosti. </w:t>
      </w:r>
      <w:r w:rsidRPr="00365339">
        <w:rPr>
          <w:rFonts w:ascii="Times New Roman" w:hAnsi="Times New Roman"/>
          <w:color w:val="000000"/>
          <w:szCs w:val="24"/>
        </w:rPr>
        <w:t>Zo strany zamestnávateľa boli vytvorené podmienky aj pre pokračovanie postgraduálneho štúdia, doktorandského štúdia a osvedčila sa aj forma vzdelávania vlastnými lektorskými kapacitami k získavaniu širšieho vedomostného rámca o</w:t>
      </w:r>
      <w:r w:rsidR="0031469F">
        <w:rPr>
          <w:rFonts w:ascii="Times New Roman" w:hAnsi="Times New Roman"/>
          <w:color w:val="000000"/>
          <w:szCs w:val="24"/>
        </w:rPr>
        <w:t> všeobecne záväzných právnych predpisoch</w:t>
      </w:r>
      <w:r w:rsidR="00804193">
        <w:rPr>
          <w:rFonts w:ascii="Times New Roman" w:hAnsi="Times New Roman"/>
          <w:color w:val="000000"/>
          <w:szCs w:val="24"/>
        </w:rPr>
        <w:t xml:space="preserve"> a ich implementácie v podmienkach ÚJD SR</w:t>
      </w:r>
      <w:r w:rsidR="0031469F">
        <w:rPr>
          <w:rFonts w:ascii="Times New Roman" w:hAnsi="Times New Roman"/>
          <w:color w:val="000000"/>
          <w:szCs w:val="24"/>
        </w:rPr>
        <w:t>.</w:t>
      </w:r>
      <w:r w:rsidRPr="00365339">
        <w:rPr>
          <w:rFonts w:ascii="Times New Roman" w:hAnsi="Times New Roman"/>
          <w:color w:val="000000"/>
          <w:szCs w:val="24"/>
        </w:rPr>
        <w:t xml:space="preserve"> Okrem špecifického vzdelávania bolo vzdelávanie tematicky rozdelené do viacerých oblastí – medzinárodné vzťahy, legislatíva a právo, ekonomika, informatika, riadenie ľudských zdrojov, kontrola, jazykové kurz</w:t>
      </w:r>
      <w:r w:rsidR="009806E1">
        <w:rPr>
          <w:rFonts w:ascii="Times New Roman" w:hAnsi="Times New Roman"/>
          <w:color w:val="000000"/>
          <w:szCs w:val="24"/>
        </w:rPr>
        <w:t xml:space="preserve">y a ostatné vzdelávacie akcie. </w:t>
      </w:r>
      <w:r w:rsidRPr="00365339">
        <w:rPr>
          <w:rFonts w:ascii="Times New Roman" w:hAnsi="Times New Roman"/>
          <w:bCs/>
          <w:iCs/>
          <w:color w:val="000000"/>
          <w:szCs w:val="24"/>
        </w:rPr>
        <w:t>Adaptácia nových zamestnancov</w:t>
      </w:r>
      <w:r w:rsidRPr="00365339">
        <w:rPr>
          <w:rFonts w:ascii="Times New Roman" w:hAnsi="Times New Roman"/>
          <w:color w:val="000000"/>
          <w:szCs w:val="24"/>
        </w:rPr>
        <w:t xml:space="preserve"> bola zabezpečená cez adaptačné vzdelávanie, ktoré bolo zamerané na osvojenie si základných zručností potrebných na vykonávanie činností v štátnej službe. </w:t>
      </w:r>
    </w:p>
    <w:p w:rsidR="00F6405D" w:rsidRPr="0031469F" w:rsidP="0031469F">
      <w:pPr>
        <w:pStyle w:val="BodyTextIndent2"/>
        <w:bidi w:val="0"/>
        <w:ind w:left="0" w:firstLine="0"/>
        <w:rPr>
          <w:rFonts w:ascii="Times New Roman" w:hAnsi="Times New Roman"/>
          <w:b w:val="0"/>
          <w:color w:val="000000"/>
          <w:sz w:val="24"/>
          <w:szCs w:val="24"/>
        </w:rPr>
      </w:pPr>
      <w:r w:rsidRPr="0031469F">
        <w:rPr>
          <w:rFonts w:ascii="Times New Roman" w:hAnsi="Times New Roman"/>
          <w:b w:val="0"/>
          <w:color w:val="000000"/>
          <w:sz w:val="24"/>
          <w:szCs w:val="24"/>
        </w:rPr>
        <w:t>Pre komfortné a pohodlné využívanie soft</w:t>
      </w:r>
      <w:r w:rsidR="009806E1">
        <w:rPr>
          <w:rFonts w:ascii="Times New Roman" w:hAnsi="Times New Roman"/>
          <w:b w:val="0"/>
          <w:color w:val="000000"/>
          <w:sz w:val="24"/>
          <w:szCs w:val="24"/>
        </w:rPr>
        <w:t>vé</w:t>
      </w:r>
      <w:r w:rsidRPr="0031469F">
        <w:rPr>
          <w:rFonts w:ascii="Times New Roman" w:hAnsi="Times New Roman"/>
          <w:b w:val="0"/>
          <w:color w:val="000000"/>
          <w:sz w:val="24"/>
          <w:szCs w:val="24"/>
        </w:rPr>
        <w:t>rového riešeni</w:t>
      </w:r>
      <w:r w:rsidR="0028353B">
        <w:rPr>
          <w:rFonts w:ascii="Times New Roman" w:hAnsi="Times New Roman"/>
          <w:b w:val="0"/>
          <w:color w:val="000000"/>
          <w:sz w:val="24"/>
          <w:szCs w:val="24"/>
        </w:rPr>
        <w:t>a</w:t>
      </w:r>
      <w:r w:rsidRPr="0031469F">
        <w:rPr>
          <w:rFonts w:ascii="Times New Roman" w:hAnsi="Times New Roman"/>
          <w:b w:val="0"/>
          <w:color w:val="000000"/>
          <w:sz w:val="24"/>
          <w:szCs w:val="24"/>
        </w:rPr>
        <w:t xml:space="preserve"> </w:t>
      </w:r>
      <w:r w:rsidRPr="0031469F">
        <w:rPr>
          <w:rFonts w:ascii="Times New Roman" w:hAnsi="Times New Roman"/>
          <w:b w:val="0"/>
          <w:bCs/>
          <w:color w:val="000000"/>
          <w:sz w:val="24"/>
          <w:szCs w:val="24"/>
        </w:rPr>
        <w:t xml:space="preserve">LOTUS NOTES, ktoré </w:t>
      </w:r>
      <w:r w:rsidRPr="0031469F">
        <w:rPr>
          <w:rFonts w:ascii="Times New Roman" w:hAnsi="Times New Roman"/>
          <w:b w:val="0"/>
          <w:color w:val="000000"/>
          <w:sz w:val="24"/>
          <w:szCs w:val="24"/>
        </w:rPr>
        <w:t>všetky kľúčové informácie prezentuje v jedinom ľahko ovládateľnom prostredí</w:t>
      </w:r>
      <w:r w:rsidRPr="0031469F">
        <w:rPr>
          <w:rFonts w:ascii="Times New Roman" w:hAnsi="Times New Roman"/>
          <w:b w:val="0"/>
          <w:bCs/>
          <w:color w:val="000000"/>
          <w:sz w:val="24"/>
          <w:szCs w:val="24"/>
        </w:rPr>
        <w:t xml:space="preserve"> s možnosťou využitia </w:t>
      </w:r>
      <w:r w:rsidRPr="0031469F">
        <w:rPr>
          <w:rFonts w:ascii="Times New Roman" w:hAnsi="Times New Roman"/>
          <w:b w:val="0"/>
          <w:color w:val="000000"/>
          <w:sz w:val="24"/>
          <w:szCs w:val="24"/>
        </w:rPr>
        <w:t>skupinových intranetových aplikácií</w:t>
      </w:r>
      <w:r w:rsidR="002467F5">
        <w:rPr>
          <w:rFonts w:ascii="Times New Roman" w:hAnsi="Times New Roman"/>
          <w:b w:val="0"/>
          <w:color w:val="000000"/>
          <w:sz w:val="24"/>
          <w:szCs w:val="24"/>
        </w:rPr>
        <w:t>,</w:t>
      </w:r>
      <w:r w:rsidRPr="0031469F">
        <w:rPr>
          <w:rFonts w:ascii="Times New Roman" w:hAnsi="Times New Roman"/>
          <w:b w:val="0"/>
          <w:color w:val="000000"/>
          <w:sz w:val="24"/>
          <w:szCs w:val="24"/>
        </w:rPr>
        <w:t xml:space="preserve"> bolo organizované periodické školenie zamestnancov. Ďalšie zvyšovanie IT zručnosti bolo organizované z dôvodu zvyšovania efektívneho a komplexného využívania prostredia MS Office, ktorého sa zúčastnil</w:t>
      </w:r>
      <w:r w:rsidR="0028353B">
        <w:rPr>
          <w:rFonts w:ascii="Times New Roman" w:hAnsi="Times New Roman"/>
          <w:b w:val="0"/>
          <w:color w:val="000000"/>
          <w:sz w:val="24"/>
          <w:szCs w:val="24"/>
        </w:rPr>
        <w:t>a</w:t>
      </w:r>
      <w:r w:rsidRPr="0031469F">
        <w:rPr>
          <w:rFonts w:ascii="Times New Roman" w:hAnsi="Times New Roman"/>
          <w:b w:val="0"/>
          <w:color w:val="000000"/>
          <w:sz w:val="24"/>
          <w:szCs w:val="24"/>
        </w:rPr>
        <w:t xml:space="preserve"> viac ako polovica zamestnancov </w:t>
      </w:r>
      <w:r w:rsidR="00C70FEF">
        <w:rPr>
          <w:rFonts w:ascii="Times New Roman" w:hAnsi="Times New Roman"/>
          <w:b w:val="0"/>
          <w:color w:val="000000"/>
          <w:sz w:val="24"/>
          <w:szCs w:val="24"/>
        </w:rPr>
        <w:t>ÚJD SR</w:t>
      </w:r>
      <w:r w:rsidRPr="0031469F">
        <w:rPr>
          <w:rFonts w:ascii="Times New Roman" w:hAnsi="Times New Roman"/>
          <w:b w:val="0"/>
          <w:color w:val="000000"/>
          <w:sz w:val="24"/>
          <w:szCs w:val="24"/>
        </w:rPr>
        <w:t xml:space="preserve">. Súhrnná suma výdavkov vynaložená na oblasť vzdelávania </w:t>
      </w:r>
      <w:r w:rsidR="002467F5">
        <w:rPr>
          <w:rFonts w:ascii="Times New Roman" w:hAnsi="Times New Roman"/>
          <w:b w:val="0"/>
          <w:color w:val="000000"/>
          <w:sz w:val="24"/>
          <w:szCs w:val="24"/>
        </w:rPr>
        <w:t xml:space="preserve">v oblasti </w:t>
      </w:r>
      <w:r w:rsidRPr="0031469F">
        <w:rPr>
          <w:rFonts w:ascii="Times New Roman" w:hAnsi="Times New Roman"/>
          <w:b w:val="0"/>
          <w:color w:val="000000"/>
          <w:sz w:val="24"/>
          <w:szCs w:val="24"/>
        </w:rPr>
        <w:t>informatika činila</w:t>
      </w:r>
      <w:r w:rsidRPr="0031469F">
        <w:rPr>
          <w:rFonts w:ascii="Times New Roman" w:hAnsi="Times New Roman"/>
          <w:b w:val="0"/>
          <w:sz w:val="24"/>
          <w:szCs w:val="24"/>
        </w:rPr>
        <w:t xml:space="preserve"> </w:t>
      </w:r>
      <w:r w:rsidRPr="0031469F">
        <w:rPr>
          <w:rFonts w:ascii="Times New Roman" w:hAnsi="Times New Roman"/>
          <w:b w:val="0"/>
          <w:color w:val="000000"/>
          <w:sz w:val="24"/>
          <w:szCs w:val="24"/>
        </w:rPr>
        <w:t>cca 11</w:t>
      </w:r>
      <w:r w:rsidR="0031469F">
        <w:rPr>
          <w:rFonts w:ascii="Times New Roman" w:hAnsi="Times New Roman"/>
          <w:b w:val="0"/>
          <w:color w:val="000000"/>
          <w:sz w:val="24"/>
          <w:szCs w:val="24"/>
        </w:rPr>
        <w:t> 000 eur</w:t>
      </w:r>
      <w:r w:rsidRPr="0031469F">
        <w:rPr>
          <w:rFonts w:ascii="Times New Roman" w:hAnsi="Times New Roman"/>
          <w:b w:val="0"/>
          <w:color w:val="000000"/>
          <w:sz w:val="24"/>
          <w:szCs w:val="24"/>
        </w:rPr>
        <w:t>.</w:t>
      </w:r>
    </w:p>
    <w:p w:rsidR="00F6405D" w:rsidRPr="00304764" w:rsidP="0031469F">
      <w:pPr>
        <w:bidi w:val="0"/>
        <w:jc w:val="both"/>
        <w:rPr>
          <w:rFonts w:ascii="Times New Roman" w:hAnsi="Times New Roman"/>
          <w:szCs w:val="24"/>
        </w:rPr>
      </w:pPr>
      <w:r w:rsidRPr="00AC4D47">
        <w:rPr>
          <w:rFonts w:ascii="Times New Roman" w:hAnsi="Times New Roman"/>
          <w:color w:val="000000"/>
          <w:szCs w:val="24"/>
        </w:rPr>
        <w:t>Ú</w:t>
      </w:r>
      <w:r w:rsidR="0031469F">
        <w:rPr>
          <w:rFonts w:ascii="Times New Roman" w:hAnsi="Times New Roman"/>
          <w:color w:val="000000"/>
          <w:szCs w:val="24"/>
        </w:rPr>
        <w:t>JD SR</w:t>
      </w:r>
      <w:r w:rsidRPr="00AC4D47">
        <w:rPr>
          <w:rFonts w:ascii="Times New Roman" w:hAnsi="Times New Roman"/>
          <w:color w:val="000000"/>
          <w:szCs w:val="24"/>
        </w:rPr>
        <w:t xml:space="preserve"> ako samostatný ústredný orgán štátnej správy dosiahol kvalitou práce svojich zamestnancov stav, ktorý je pozitívne hodnotený v domácom prostredí, ale aj v zahraničí, čo dokazuje vysokú odbornú úroveň a profesionalitu zamestnancov dozorného orgánu.</w:t>
      </w:r>
      <w:r w:rsidRPr="00BA6328">
        <w:rPr>
          <w:rFonts w:ascii="Times New Roman" w:hAnsi="Times New Roman"/>
          <w:color w:val="000000"/>
          <w:szCs w:val="24"/>
        </w:rPr>
        <w:t xml:space="preserve"> </w:t>
      </w:r>
    </w:p>
    <w:p w:rsidR="0031469F" w:rsidRPr="00CA372E" w:rsidP="0031469F">
      <w:pPr>
        <w:pStyle w:val="Heading1"/>
        <w:numPr>
          <w:numId w:val="0"/>
        </w:numPr>
        <w:tabs>
          <w:tab w:val="clear" w:pos="5747"/>
        </w:tabs>
        <w:bidi w:val="0"/>
        <w:ind w:left="357" w:firstLine="0"/>
        <w:jc w:val="both"/>
        <w:rPr>
          <w:rFonts w:ascii="Times New Roman" w:hAnsi="Times New Roman"/>
          <w:sz w:val="24"/>
          <w:szCs w:val="24"/>
        </w:rPr>
      </w:pPr>
    </w:p>
    <w:p w:rsidR="0031469F" w:rsidRPr="0031469F" w:rsidP="0031469F">
      <w:pPr>
        <w:bidi w:val="0"/>
        <w:rPr>
          <w:rFonts w:ascii="Times New Roman" w:hAnsi="Times New Roman"/>
          <w:lang w:eastAsia="cs-CZ"/>
        </w:rPr>
      </w:pPr>
    </w:p>
    <w:p w:rsidR="00E00EC8" w:rsidRPr="007056F0" w:rsidP="0039424A">
      <w:pPr>
        <w:pStyle w:val="Heading1"/>
        <w:tabs>
          <w:tab w:val="num" w:pos="851"/>
          <w:tab w:val="clear" w:pos="5747"/>
        </w:tabs>
        <w:bidi w:val="0"/>
        <w:ind w:left="357" w:hanging="357"/>
        <w:jc w:val="both"/>
        <w:rPr>
          <w:rFonts w:ascii="Times New Roman" w:hAnsi="Times New Roman"/>
        </w:rPr>
      </w:pPr>
      <w:bookmarkStart w:id="102" w:name="_Toc320719745"/>
      <w:r>
        <w:rPr>
          <w:rFonts w:ascii="Times New Roman" w:hAnsi="Times New Roman"/>
        </w:rPr>
        <w:t>R</w:t>
      </w:r>
      <w:r w:rsidRPr="00E51585">
        <w:rPr>
          <w:rFonts w:ascii="Times New Roman" w:hAnsi="Times New Roman"/>
        </w:rPr>
        <w:t>OZVOJ DOZORNÝCH ČINNOSTÍ</w:t>
      </w:r>
      <w:bookmarkEnd w:id="102"/>
    </w:p>
    <w:p w:rsidR="00E00EC8" w:rsidP="00E00EC8">
      <w:pPr>
        <w:autoSpaceDE w:val="0"/>
        <w:autoSpaceDN w:val="0"/>
        <w:bidi w:val="0"/>
        <w:adjustRightInd w:val="0"/>
        <w:jc w:val="both"/>
        <w:rPr>
          <w:rFonts w:ascii="Times New Roman" w:hAnsi="Times New Roman"/>
          <w:color w:val="333333"/>
          <w:szCs w:val="24"/>
        </w:rPr>
      </w:pPr>
    </w:p>
    <w:p w:rsidR="004017B4" w:rsidRPr="009D092A" w:rsidP="0031469F">
      <w:pPr>
        <w:autoSpaceDE w:val="0"/>
        <w:autoSpaceDN w:val="0"/>
        <w:bidi w:val="0"/>
        <w:adjustRightInd w:val="0"/>
        <w:jc w:val="both"/>
        <w:rPr>
          <w:rFonts w:ascii="Times New Roman" w:hAnsi="Times New Roman"/>
          <w:szCs w:val="24"/>
        </w:rPr>
      </w:pPr>
      <w:r w:rsidRPr="009D092A">
        <w:rPr>
          <w:rFonts w:ascii="Times New Roman" w:hAnsi="Times New Roman"/>
          <w:szCs w:val="24"/>
        </w:rPr>
        <w:t>Využívanie výsledkov výskumu a vývoja významne napomáha pri hodnotiacej činnosti a vydávaní rozhodnutí ÚJD SR. K výmene a rozvoju znalostí a skúseností zamestnancov ÚJD</w:t>
      </w:r>
      <w:r w:rsidR="002467F5">
        <w:rPr>
          <w:rFonts w:ascii="Times New Roman" w:hAnsi="Times New Roman"/>
          <w:szCs w:val="24"/>
        </w:rPr>
        <w:t> </w:t>
      </w:r>
      <w:r w:rsidRPr="009D092A">
        <w:rPr>
          <w:rFonts w:ascii="Times New Roman" w:hAnsi="Times New Roman"/>
          <w:szCs w:val="24"/>
        </w:rPr>
        <w:t>SR prispieva aj ich aktívna účasť v medzinárodných expertných tímoch.</w:t>
      </w:r>
    </w:p>
    <w:p w:rsidR="004017B4" w:rsidRPr="009D092A" w:rsidP="0031469F">
      <w:pPr>
        <w:autoSpaceDE w:val="0"/>
        <w:autoSpaceDN w:val="0"/>
        <w:bidi w:val="0"/>
        <w:adjustRightInd w:val="0"/>
        <w:jc w:val="both"/>
        <w:rPr>
          <w:rFonts w:ascii="Times New Roman" w:hAnsi="Times New Roman"/>
          <w:szCs w:val="24"/>
        </w:rPr>
      </w:pPr>
    </w:p>
    <w:p w:rsidR="004017B4" w:rsidRPr="009D092A" w:rsidP="002467F5">
      <w:pPr>
        <w:tabs>
          <w:tab w:val="left" w:pos="284"/>
        </w:tabs>
        <w:autoSpaceDE w:val="0"/>
        <w:autoSpaceDN w:val="0"/>
        <w:bidi w:val="0"/>
        <w:adjustRightInd w:val="0"/>
        <w:jc w:val="both"/>
        <w:rPr>
          <w:rFonts w:ascii="Times New Roman" w:hAnsi="Times New Roman"/>
          <w:szCs w:val="24"/>
        </w:rPr>
      </w:pPr>
      <w:r w:rsidRPr="009D092A">
        <w:rPr>
          <w:rFonts w:ascii="Times New Roman" w:hAnsi="Times New Roman"/>
          <w:szCs w:val="24"/>
        </w:rPr>
        <w:t xml:space="preserve">V roku 2011 bolo úspešne ukončená úloha “Jadrová bezpečnosť – výskumno-vývojová podpora rozhodovania pri výkone dozoru nad jadrovou bezpečnosťou – II. stupeň“. V rámci rozvoja vedy a výskumu v období rokov 2008-2011 sa v nej pre potreby ÚJD SR riešil súbor čiastkových úloh so zameraním na poskytnutie výskumno-vývojovej podpory pre výkon štátneho dozoru nad bezpečnosťou JZ. Výsledkom riešenia sú viaceré analýzy, návrhy metodík, validácie postupov hodnotenia bezpečnosti a používaných analytických výpočtových programov. Tieto výstupy prispejú k zvýšeniu kvality havarijnej pripravenosti, úrovne overovania osobitnej odbornej spôsobilosti zamestnancov </w:t>
      </w:r>
      <w:r w:rsidR="001F29FE">
        <w:rPr>
          <w:rFonts w:ascii="Times New Roman" w:hAnsi="Times New Roman"/>
          <w:szCs w:val="24"/>
        </w:rPr>
        <w:t>JZ</w:t>
      </w:r>
      <w:r w:rsidRPr="009D092A">
        <w:rPr>
          <w:rFonts w:ascii="Times New Roman" w:hAnsi="Times New Roman"/>
          <w:szCs w:val="24"/>
        </w:rPr>
        <w:t xml:space="preserve"> a ho</w:t>
      </w:r>
      <w:r w:rsidR="002467F5">
        <w:rPr>
          <w:rFonts w:ascii="Times New Roman" w:hAnsi="Times New Roman"/>
          <w:szCs w:val="24"/>
        </w:rPr>
        <w:t xml:space="preserve">dnotenia jadrovej bezpečnosti. </w:t>
      </w:r>
    </w:p>
    <w:p w:rsidR="004017B4" w:rsidRPr="009D092A" w:rsidP="008205B1">
      <w:pPr>
        <w:autoSpaceDE w:val="0"/>
        <w:autoSpaceDN w:val="0"/>
        <w:bidi w:val="0"/>
        <w:adjustRightInd w:val="0"/>
        <w:jc w:val="both"/>
        <w:rPr>
          <w:rFonts w:ascii="Times New Roman" w:hAnsi="Times New Roman"/>
          <w:szCs w:val="24"/>
        </w:rPr>
      </w:pPr>
      <w:r w:rsidRPr="009D092A">
        <w:rPr>
          <w:rFonts w:ascii="Times New Roman" w:hAnsi="Times New Roman"/>
          <w:szCs w:val="24"/>
        </w:rPr>
        <w:t>ÚJD SR pokračoval v riešení medzinárodného vedecko-technického projektu SARNET2 (ang</w:t>
      </w:r>
      <w:r w:rsidR="0077492E">
        <w:rPr>
          <w:rFonts w:ascii="Times New Roman" w:hAnsi="Times New Roman"/>
          <w:szCs w:val="24"/>
        </w:rPr>
        <w:t>l</w:t>
      </w:r>
      <w:r w:rsidRPr="009D092A">
        <w:rPr>
          <w:rFonts w:ascii="Times New Roman" w:hAnsi="Times New Roman"/>
          <w:szCs w:val="24"/>
        </w:rPr>
        <w:t>. Severe Accident Research Network 2), ktorý je súčasťou 7. rámcového programu EK. ÚJD SR sa podieľa najmä na úlohách súvisiacich s overovaním a validáciou výpočtového programu ASTEC. Je to integrálny výpočtový program určený na modelovanie ťažkých havárií najmä pre potreby podpory PSA druhej úrovne. V rámci projektu SARNET2 sa ÚJD</w:t>
      </w:r>
      <w:r w:rsidR="005826D8">
        <w:rPr>
          <w:rFonts w:ascii="Times New Roman" w:hAnsi="Times New Roman"/>
          <w:szCs w:val="24"/>
        </w:rPr>
        <w:t> </w:t>
      </w:r>
      <w:r w:rsidRPr="009D092A">
        <w:rPr>
          <w:rFonts w:ascii="Times New Roman" w:hAnsi="Times New Roman"/>
          <w:szCs w:val="24"/>
        </w:rPr>
        <w:t>SR zameriava na aplikácie programu ASTEC pre reaktory VVER</w:t>
      </w:r>
      <w:r w:rsidR="009E756F">
        <w:rPr>
          <w:rFonts w:ascii="Times New Roman" w:hAnsi="Times New Roman"/>
          <w:szCs w:val="24"/>
        </w:rPr>
        <w:t xml:space="preserve"> </w:t>
      </w:r>
      <w:r w:rsidRPr="009D092A">
        <w:rPr>
          <w:rFonts w:ascii="Times New Roman" w:hAnsi="Times New Roman"/>
          <w:szCs w:val="24"/>
        </w:rPr>
        <w:t xml:space="preserve">440/V-213 a porovnávacie analýzy s výpočtovým programom MELCOR 1.8.5. Do skončenia </w:t>
      </w:r>
      <w:r w:rsidR="0028353B">
        <w:rPr>
          <w:rFonts w:ascii="Times New Roman" w:hAnsi="Times New Roman"/>
          <w:szCs w:val="24"/>
        </w:rPr>
        <w:t>2.</w:t>
      </w:r>
      <w:r w:rsidRPr="009D092A">
        <w:rPr>
          <w:rFonts w:ascii="Times New Roman" w:hAnsi="Times New Roman"/>
          <w:szCs w:val="24"/>
        </w:rPr>
        <w:t xml:space="preserve"> projektu prepočítal ÚJD SR s</w:t>
      </w:r>
      <w:r w:rsidR="009E756F">
        <w:rPr>
          <w:rFonts w:ascii="Times New Roman" w:hAnsi="Times New Roman"/>
          <w:szCs w:val="24"/>
        </w:rPr>
        <w:t> najnovšou verziou programu ASTEC</w:t>
      </w:r>
      <w:r w:rsidRPr="009D092A">
        <w:rPr>
          <w:rFonts w:ascii="Times New Roman" w:hAnsi="Times New Roman"/>
          <w:szCs w:val="24"/>
        </w:rPr>
        <w:t xml:space="preserve"> havarijný scenár úplnej straty napájania a niekoľko jeho variantov, s cieľom správne definovať podmienky pre štart modulu degradácie aktívnej zóny a modelovať činnosť hydroakumulátorov. Okrem toho je ÚJD SR čiastočne zapojený aj do riešenia úloh súvisiacich s problematikou ochrannej obálky jadrových reaktorov. </w:t>
      </w:r>
      <w:r w:rsidRPr="009D092A">
        <w:rPr>
          <w:rFonts w:ascii="Times New Roman" w:hAnsi="Times New Roman"/>
          <w:bCs/>
          <w:szCs w:val="24"/>
        </w:rPr>
        <w:t xml:space="preserve">Výsledky modelovania experimentálnych údajov pre </w:t>
      </w:r>
      <w:r w:rsidRPr="009D092A">
        <w:rPr>
          <w:rFonts w:ascii="Times New Roman" w:hAnsi="Times New Roman"/>
          <w:szCs w:val="24"/>
        </w:rPr>
        <w:t>pád sprchovej kvapky, ktoré vykonal ÚJD SR</w:t>
      </w:r>
      <w:r w:rsidRPr="009D092A">
        <w:rPr>
          <w:rFonts w:ascii="Times New Roman" w:hAnsi="Times New Roman"/>
          <w:bCs/>
          <w:szCs w:val="24"/>
        </w:rPr>
        <w:t xml:space="preserve"> výpočtovým programom ASTEC a COCOSYS boli súčasťou spoločného príspevku riešiteľov tejto úlohy na medzinárodnej konferencii NURETH-14 v Toronte (</w:t>
      </w:r>
      <w:r w:rsidRPr="009D092A">
        <w:rPr>
          <w:rFonts w:ascii="Times New Roman" w:hAnsi="Times New Roman"/>
          <w:i/>
          <w:szCs w:val="24"/>
          <w:lang w:val="en-US"/>
        </w:rPr>
        <w:t>J. Malet et.al., Spray model validation on single droplet heat and mass transfers for containment applications – SARNET-2 benchmark, NURETH14-255, Toronto, Ontario, Canada, September 25-30, 2011</w:t>
      </w:r>
      <w:r w:rsidRPr="009D092A">
        <w:rPr>
          <w:rFonts w:ascii="Times New Roman" w:hAnsi="Times New Roman"/>
          <w:bCs/>
          <w:szCs w:val="24"/>
        </w:rPr>
        <w:t>).</w:t>
      </w:r>
    </w:p>
    <w:p w:rsidR="004017B4" w:rsidRPr="009D092A" w:rsidP="004017B4">
      <w:pPr>
        <w:autoSpaceDE w:val="0"/>
        <w:autoSpaceDN w:val="0"/>
        <w:bidi w:val="0"/>
        <w:adjustRightInd w:val="0"/>
        <w:rPr>
          <w:rFonts w:ascii="Times New Roman" w:hAnsi="Times New Roman"/>
          <w:szCs w:val="24"/>
        </w:rPr>
      </w:pPr>
    </w:p>
    <w:p w:rsidR="004017B4" w:rsidRPr="009D092A" w:rsidP="008205B1">
      <w:pPr>
        <w:autoSpaceDE w:val="0"/>
        <w:autoSpaceDN w:val="0"/>
        <w:bidi w:val="0"/>
        <w:adjustRightInd w:val="0"/>
        <w:jc w:val="both"/>
        <w:rPr>
          <w:rFonts w:ascii="Times New Roman" w:hAnsi="Times New Roman"/>
          <w:szCs w:val="24"/>
        </w:rPr>
      </w:pPr>
      <w:r w:rsidRPr="009D092A">
        <w:rPr>
          <w:rFonts w:ascii="Times New Roman" w:hAnsi="Times New Roman"/>
          <w:szCs w:val="24"/>
        </w:rPr>
        <w:t xml:space="preserve">V rámci programu vedecko-technickej spolupráce pokračovala vzájomná výmena skúseností a poznatkov medzi ÚJD SR a nemeckou spoločnosťou GRS v oblasti termicko-hydraulických analýz odozvy ochrannej obálky </w:t>
      </w:r>
      <w:r w:rsidR="008205B1">
        <w:rPr>
          <w:rFonts w:ascii="Times New Roman" w:hAnsi="Times New Roman"/>
          <w:szCs w:val="24"/>
        </w:rPr>
        <w:t>A</w:t>
      </w:r>
      <w:r w:rsidRPr="009D092A">
        <w:rPr>
          <w:rFonts w:ascii="Times New Roman" w:hAnsi="Times New Roman"/>
          <w:szCs w:val="24"/>
        </w:rPr>
        <w:t>E. V roku 2011 bola zameraná na analýzu šírenia a autokatalytickej rekombinácie vodíka v hermetickej zóne pri nadprojektových haváriách. Zamestnanci ÚJD SR spracovali termicko-hydraulickú analýzu odozvy ochrannej obálky VVER-440/V</w:t>
      </w:r>
      <w:r w:rsidR="0028353B">
        <w:rPr>
          <w:rFonts w:ascii="Times New Roman" w:hAnsi="Times New Roman"/>
          <w:szCs w:val="24"/>
        </w:rPr>
        <w:t>-</w:t>
      </w:r>
      <w:r w:rsidRPr="009D092A">
        <w:rPr>
          <w:rFonts w:ascii="Times New Roman" w:hAnsi="Times New Roman"/>
          <w:szCs w:val="24"/>
        </w:rPr>
        <w:t>213 s barbotážnym kondenzátorom na reprezentatívnu nadprojektovú haváriu s veľkým únikom chladiva a uvoľnením vodíka do hermetickej zóny. Výpočty urobili s nemeckým výpočtovým programom COCOSYS</w:t>
      </w:r>
      <w:r w:rsidR="0028353B">
        <w:rPr>
          <w:rFonts w:ascii="Times New Roman" w:hAnsi="Times New Roman"/>
          <w:szCs w:val="24"/>
        </w:rPr>
        <w:t>.</w:t>
      </w:r>
      <w:r w:rsidRPr="009D092A">
        <w:rPr>
          <w:rFonts w:ascii="Times New Roman" w:hAnsi="Times New Roman"/>
          <w:szCs w:val="24"/>
        </w:rPr>
        <w:t xml:space="preserve"> Pasívne autokatalytické rekombinátory (PAR) vodíka modelovali pomocou zjednodušeného modelu v programe COCOSYS pre predpokladaný typ a umiestnenie PAR v hermetickej zóne </w:t>
      </w:r>
      <w:r w:rsidR="008205B1">
        <w:rPr>
          <w:rFonts w:ascii="Times New Roman" w:hAnsi="Times New Roman"/>
          <w:szCs w:val="24"/>
        </w:rPr>
        <w:t>A</w:t>
      </w:r>
      <w:r w:rsidRPr="009D092A">
        <w:rPr>
          <w:rFonts w:ascii="Times New Roman" w:hAnsi="Times New Roman"/>
          <w:szCs w:val="24"/>
        </w:rPr>
        <w:t>E s</w:t>
      </w:r>
      <w:r w:rsidR="003B3AFF">
        <w:rPr>
          <w:rFonts w:ascii="Times New Roman" w:hAnsi="Times New Roman"/>
          <w:szCs w:val="24"/>
        </w:rPr>
        <w:t> </w:t>
      </w:r>
      <w:r w:rsidRPr="009D092A">
        <w:rPr>
          <w:rFonts w:ascii="Times New Roman" w:hAnsi="Times New Roman"/>
          <w:szCs w:val="24"/>
        </w:rPr>
        <w:t>VVER</w:t>
      </w:r>
      <w:r w:rsidR="003B3AFF">
        <w:rPr>
          <w:rFonts w:ascii="Times New Roman" w:hAnsi="Times New Roman"/>
          <w:szCs w:val="24"/>
        </w:rPr>
        <w:t xml:space="preserve"> </w:t>
      </w:r>
      <w:r w:rsidRPr="009D092A">
        <w:rPr>
          <w:rFonts w:ascii="Times New Roman" w:hAnsi="Times New Roman"/>
          <w:szCs w:val="24"/>
        </w:rPr>
        <w:t>440/V</w:t>
      </w:r>
      <w:r w:rsidR="0028353B">
        <w:rPr>
          <w:rFonts w:ascii="Times New Roman" w:hAnsi="Times New Roman"/>
          <w:szCs w:val="24"/>
        </w:rPr>
        <w:t>-</w:t>
      </w:r>
      <w:r w:rsidRPr="009D092A">
        <w:rPr>
          <w:rFonts w:ascii="Times New Roman" w:hAnsi="Times New Roman"/>
          <w:szCs w:val="24"/>
        </w:rPr>
        <w:t>213. Výsledky analýzy sú zdokumentované v technickej správe ÚJD SR vydanej v júli 2011. Ukazujú, že PAR účinne chránia ochrannú obálku pred pretlakovaním.</w:t>
      </w:r>
    </w:p>
    <w:p w:rsidR="004017B4" w:rsidRPr="009D092A" w:rsidP="004017B4">
      <w:pPr>
        <w:pStyle w:val="BodyText"/>
        <w:suppressAutoHyphens/>
        <w:bidi w:val="0"/>
        <w:rPr>
          <w:rFonts w:ascii="Times New Roman" w:hAnsi="Times New Roman"/>
        </w:rPr>
      </w:pPr>
    </w:p>
    <w:p w:rsidR="004017B4" w:rsidRPr="009D092A" w:rsidP="008205B1">
      <w:pPr>
        <w:autoSpaceDE w:val="0"/>
        <w:autoSpaceDN w:val="0"/>
        <w:bidi w:val="0"/>
        <w:adjustRightInd w:val="0"/>
        <w:jc w:val="both"/>
        <w:rPr>
          <w:rFonts w:ascii="Times New Roman" w:hAnsi="Times New Roman"/>
          <w:szCs w:val="24"/>
        </w:rPr>
      </w:pPr>
      <w:r w:rsidRPr="009D092A">
        <w:rPr>
          <w:rFonts w:ascii="Times New Roman" w:hAnsi="Times New Roman"/>
          <w:szCs w:val="24"/>
        </w:rPr>
        <w:t>Ďalšie skúsenosti a technické informácie získava ÚJD SR účasťou v pracovných skupinách OECD/NEA. V rámci pracovných skupín sú organizované rôzne medzinárodné pracovné stretnutia a konferencie so zameraním sa na riešenie aktuálnych otázok bezpečnosti</w:t>
      </w:r>
      <w:r w:rsidR="001F29FE">
        <w:rPr>
          <w:rFonts w:ascii="Times New Roman" w:hAnsi="Times New Roman"/>
          <w:szCs w:val="24"/>
        </w:rPr>
        <w:t xml:space="preserve"> JZ</w:t>
      </w:r>
      <w:r w:rsidRPr="009D092A">
        <w:rPr>
          <w:rFonts w:ascii="Times New Roman" w:hAnsi="Times New Roman"/>
          <w:szCs w:val="24"/>
        </w:rPr>
        <w:t>, výmenu skúseností a vzájomnú pomoc. Experti ÚJD SR vypracovali, respektíve posudzovali sadu dokumentov, odborných referátov, návrhov a koncepcií. Činnosť v skupinách prispieva k ich odbornému rastu, informovanosti, výmene skúseností, poznatkov a znalostí v oblasti rozvoja jadrovej bezpečnosti a uplatnení týchto poznatkov v praxi.</w:t>
      </w:r>
    </w:p>
    <w:p w:rsidR="004017B4" w:rsidRPr="009D092A" w:rsidP="004017B4">
      <w:pPr>
        <w:autoSpaceDE w:val="0"/>
        <w:autoSpaceDN w:val="0"/>
        <w:bidi w:val="0"/>
        <w:adjustRightInd w:val="0"/>
        <w:rPr>
          <w:rFonts w:ascii="Times New Roman" w:hAnsi="Times New Roman"/>
          <w:szCs w:val="24"/>
        </w:rPr>
      </w:pPr>
    </w:p>
    <w:p w:rsidR="004017B4" w:rsidRPr="009D092A" w:rsidP="004017B4">
      <w:pPr>
        <w:pStyle w:val="BodyText"/>
        <w:bidi w:val="0"/>
        <w:rPr>
          <w:rFonts w:ascii="Times New Roman" w:hAnsi="Times New Roman"/>
        </w:rPr>
      </w:pPr>
      <w:r w:rsidRPr="009D092A">
        <w:rPr>
          <w:rFonts w:ascii="Times New Roman" w:hAnsi="Times New Roman"/>
        </w:rPr>
        <w:t xml:space="preserve">V rámci spolupráce dozorných orgánov krajín prevádzkujúcich </w:t>
      </w:r>
      <w:r w:rsidR="008205B1">
        <w:rPr>
          <w:rFonts w:ascii="Times New Roman" w:hAnsi="Times New Roman"/>
          <w:lang w:val="sk-SK"/>
        </w:rPr>
        <w:t>A</w:t>
      </w:r>
      <w:r w:rsidRPr="009D092A">
        <w:rPr>
          <w:rFonts w:ascii="Times New Roman" w:hAnsi="Times New Roman"/>
        </w:rPr>
        <w:t>E s VVER</w:t>
      </w:r>
      <w:r w:rsidR="003B3AFF">
        <w:rPr>
          <w:rFonts w:ascii="Times New Roman" w:hAnsi="Times New Roman"/>
          <w:lang w:val="sk-SK"/>
        </w:rPr>
        <w:t xml:space="preserve"> reaktorom</w:t>
      </w:r>
      <w:r w:rsidRPr="009D092A">
        <w:rPr>
          <w:rFonts w:ascii="Times New Roman" w:hAnsi="Times New Roman"/>
        </w:rPr>
        <w:t xml:space="preserve"> (VVER Fórum) sa ÚJD SR podieľa na plnení úloh viacerých pracovných skupín. Hlavným cieľom pracovných skupín v rokoch 2010 až 2012 je podpora národných dozorov v ich dozorných činnostiach. Zameriavajú sa na výmenu národných skúseností v oblasti zvyšovania bezpečnosti </w:t>
      </w:r>
      <w:r w:rsidR="00DA5FA4">
        <w:rPr>
          <w:rFonts w:ascii="Times New Roman" w:hAnsi="Times New Roman"/>
          <w:lang w:val="sk-SK"/>
        </w:rPr>
        <w:t>A</w:t>
      </w:r>
      <w:r w:rsidRPr="009D092A">
        <w:rPr>
          <w:rFonts w:ascii="Times New Roman" w:hAnsi="Times New Roman"/>
        </w:rPr>
        <w:t xml:space="preserve">E, analýz a klasifikácie prevádzkových udalostí, integrovaného rozhodovacieho procesu a mnohých ďalších, čo významne prispieva k zvyšovaniu úrovne jadrovej bezpečnosti a ochrany pred nepriaznivými účinkami ionizujúceho žiarenia. </w:t>
      </w:r>
    </w:p>
    <w:p w:rsidR="004017B4" w:rsidP="004017B4">
      <w:pPr>
        <w:autoSpaceDE w:val="0"/>
        <w:autoSpaceDN w:val="0"/>
        <w:bidi w:val="0"/>
        <w:adjustRightInd w:val="0"/>
        <w:rPr>
          <w:rFonts w:ascii="Times New Roman" w:hAnsi="Times New Roman"/>
          <w:szCs w:val="24"/>
        </w:rPr>
      </w:pPr>
    </w:p>
    <w:p w:rsidR="00BC73CA" w:rsidRPr="009D092A" w:rsidP="004017B4">
      <w:pPr>
        <w:autoSpaceDE w:val="0"/>
        <w:autoSpaceDN w:val="0"/>
        <w:bidi w:val="0"/>
        <w:adjustRightInd w:val="0"/>
        <w:rPr>
          <w:rFonts w:ascii="Times New Roman" w:hAnsi="Times New Roman"/>
          <w:szCs w:val="24"/>
        </w:rPr>
      </w:pPr>
    </w:p>
    <w:p w:rsidR="00E00EC8" w:rsidP="0039424A">
      <w:pPr>
        <w:pStyle w:val="Heading1"/>
        <w:tabs>
          <w:tab w:val="num" w:pos="851"/>
          <w:tab w:val="clear" w:pos="5747"/>
        </w:tabs>
        <w:bidi w:val="0"/>
        <w:ind w:left="357" w:hanging="357"/>
        <w:jc w:val="both"/>
        <w:rPr>
          <w:rFonts w:ascii="Times New Roman" w:hAnsi="Times New Roman"/>
        </w:rPr>
      </w:pPr>
      <w:bookmarkStart w:id="103" w:name="_Toc320719746"/>
      <w:r>
        <w:rPr>
          <w:rFonts w:ascii="Times New Roman" w:hAnsi="Times New Roman"/>
        </w:rPr>
        <w:t xml:space="preserve">systém manažérstva </w:t>
      </w:r>
      <w:r w:rsidRPr="007056F0">
        <w:rPr>
          <w:rFonts w:ascii="Times New Roman" w:hAnsi="Times New Roman"/>
        </w:rPr>
        <w:t>kvality</w:t>
      </w:r>
      <w:r>
        <w:rPr>
          <w:rFonts w:ascii="Times New Roman" w:hAnsi="Times New Roman"/>
        </w:rPr>
        <w:t xml:space="preserve"> ÚJD SR</w:t>
      </w:r>
      <w:bookmarkEnd w:id="103"/>
    </w:p>
    <w:p w:rsidR="00C566FA" w:rsidRPr="00C566FA" w:rsidP="00C566FA">
      <w:pPr>
        <w:bidi w:val="0"/>
        <w:rPr>
          <w:rFonts w:ascii="Times New Roman" w:hAnsi="Times New Roman"/>
          <w:lang w:eastAsia="cs-CZ"/>
        </w:rPr>
      </w:pPr>
    </w:p>
    <w:p w:rsidR="004017B4" w:rsidP="00BC73CA">
      <w:pPr>
        <w:bidi w:val="0"/>
        <w:spacing w:after="120"/>
        <w:jc w:val="both"/>
        <w:rPr>
          <w:rFonts w:ascii="Times New Roman" w:hAnsi="Times New Roman"/>
        </w:rPr>
      </w:pPr>
      <w:r>
        <w:rPr>
          <w:rFonts w:ascii="Times New Roman" w:hAnsi="Times New Roman"/>
        </w:rPr>
        <w:t xml:space="preserve">Manažérsky systém ÚJD SR je </w:t>
      </w:r>
      <w:r w:rsidRPr="001D1425">
        <w:rPr>
          <w:rFonts w:ascii="Times New Roman" w:hAnsi="Times New Roman"/>
        </w:rPr>
        <w:t>v</w:t>
      </w:r>
      <w:r>
        <w:rPr>
          <w:rFonts w:ascii="Times New Roman" w:hAnsi="Times New Roman"/>
        </w:rPr>
        <w:t>ybudovaný v </w:t>
      </w:r>
      <w:r w:rsidRPr="001D1425">
        <w:rPr>
          <w:rFonts w:ascii="Times New Roman" w:hAnsi="Times New Roman"/>
        </w:rPr>
        <w:t>súlade</w:t>
      </w:r>
      <w:r>
        <w:rPr>
          <w:rFonts w:ascii="Times New Roman" w:hAnsi="Times New Roman"/>
        </w:rPr>
        <w:t xml:space="preserve"> </w:t>
      </w:r>
      <w:r w:rsidRPr="001D1425">
        <w:rPr>
          <w:rFonts w:ascii="Times New Roman" w:hAnsi="Times New Roman"/>
        </w:rPr>
        <w:t>s</w:t>
      </w:r>
      <w:r>
        <w:rPr>
          <w:rFonts w:ascii="Times New Roman" w:hAnsi="Times New Roman"/>
        </w:rPr>
        <w:t> </w:t>
      </w:r>
      <w:r w:rsidRPr="001D1425">
        <w:rPr>
          <w:rFonts w:ascii="Times New Roman" w:hAnsi="Times New Roman"/>
        </w:rPr>
        <w:t>požiadavkami</w:t>
      </w:r>
      <w:r>
        <w:rPr>
          <w:rFonts w:ascii="Times New Roman" w:hAnsi="Times New Roman"/>
        </w:rPr>
        <w:t xml:space="preserve"> </w:t>
      </w:r>
      <w:r w:rsidRPr="001D1425">
        <w:rPr>
          <w:rFonts w:ascii="Times New Roman" w:hAnsi="Times New Roman"/>
        </w:rPr>
        <w:t>normy</w:t>
      </w:r>
      <w:r>
        <w:rPr>
          <w:rFonts w:ascii="Times New Roman" w:hAnsi="Times New Roman"/>
        </w:rPr>
        <w:t xml:space="preserve"> </w:t>
      </w:r>
      <w:r w:rsidRPr="001D1425">
        <w:rPr>
          <w:rFonts w:ascii="Times New Roman" w:hAnsi="Times New Roman"/>
        </w:rPr>
        <w:t>EN ISO 9001:2008</w:t>
      </w:r>
      <w:r>
        <w:rPr>
          <w:rFonts w:ascii="Times New Roman" w:hAnsi="Times New Roman"/>
        </w:rPr>
        <w:t xml:space="preserve"> a doplnený o špecifické požiadavky kladené </w:t>
      </w:r>
      <w:r w:rsidRPr="001D1425">
        <w:rPr>
          <w:rFonts w:ascii="Times New Roman" w:hAnsi="Times New Roman"/>
        </w:rPr>
        <w:t>MAAE</w:t>
      </w:r>
      <w:r>
        <w:rPr>
          <w:rFonts w:ascii="Times New Roman" w:hAnsi="Times New Roman"/>
        </w:rPr>
        <w:t xml:space="preserve"> na oblasť zabezpečovania jadrovej bezpečnosti</w:t>
      </w:r>
      <w:r w:rsidRPr="001D1425">
        <w:rPr>
          <w:rFonts w:ascii="Times New Roman" w:hAnsi="Times New Roman"/>
        </w:rPr>
        <w:t>.</w:t>
      </w:r>
    </w:p>
    <w:p w:rsidR="004017B4" w:rsidP="00BC73CA">
      <w:pPr>
        <w:bidi w:val="0"/>
        <w:spacing w:after="120"/>
        <w:jc w:val="both"/>
        <w:rPr>
          <w:rFonts w:ascii="Times New Roman" w:hAnsi="Times New Roman"/>
        </w:rPr>
      </w:pPr>
      <w:r>
        <w:rPr>
          <w:rFonts w:ascii="Times New Roman" w:hAnsi="Times New Roman"/>
        </w:rPr>
        <w:t>Poradným orgánom predsedu ÚJD SR je Rada pre manažérsky systém, ktorá vo svojej pôsobnosti posudzuje koncepciu rozvoja manažérskeho systému, otázky jeho vývoja a</w:t>
      </w:r>
      <w:r w:rsidR="005826D8">
        <w:rPr>
          <w:rFonts w:ascii="Times New Roman" w:hAnsi="Times New Roman"/>
        </w:rPr>
        <w:t> </w:t>
      </w:r>
      <w:r>
        <w:rPr>
          <w:rFonts w:ascii="Times New Roman" w:hAnsi="Times New Roman"/>
        </w:rPr>
        <w:t>uplatňovania</w:t>
      </w:r>
      <w:r w:rsidR="005826D8">
        <w:rPr>
          <w:rFonts w:ascii="Times New Roman" w:hAnsi="Times New Roman"/>
        </w:rPr>
        <w:t xml:space="preserve">, </w:t>
      </w:r>
      <w:r>
        <w:rPr>
          <w:rFonts w:ascii="Times New Roman" w:hAnsi="Times New Roman"/>
        </w:rPr>
        <w:t>potrebu vykonania previerok</w:t>
      </w:r>
      <w:r w:rsidRPr="005F5661">
        <w:rPr>
          <w:rFonts w:ascii="Times New Roman" w:hAnsi="Times New Roman"/>
        </w:rPr>
        <w:t xml:space="preserve"> </w:t>
      </w:r>
      <w:r>
        <w:rPr>
          <w:rFonts w:ascii="Times New Roman" w:hAnsi="Times New Roman"/>
        </w:rPr>
        <w:t>ich podmienky a</w:t>
      </w:r>
      <w:r w:rsidR="005826D8">
        <w:rPr>
          <w:rFonts w:ascii="Times New Roman" w:hAnsi="Times New Roman"/>
        </w:rPr>
        <w:t> </w:t>
      </w:r>
      <w:r>
        <w:rPr>
          <w:rFonts w:ascii="Times New Roman" w:hAnsi="Times New Roman"/>
        </w:rPr>
        <w:t>požiadavky</w:t>
      </w:r>
      <w:r w:rsidR="005826D8">
        <w:rPr>
          <w:rFonts w:ascii="Times New Roman" w:hAnsi="Times New Roman"/>
        </w:rPr>
        <w:t>,</w:t>
      </w:r>
      <w:r>
        <w:rPr>
          <w:rFonts w:ascii="Times New Roman" w:hAnsi="Times New Roman"/>
        </w:rPr>
        <w:t xml:space="preserve"> správy z auditov, hodnotení a porovnávacích štúdií</w:t>
      </w:r>
      <w:r w:rsidR="005826D8">
        <w:rPr>
          <w:rFonts w:ascii="Times New Roman" w:hAnsi="Times New Roman"/>
        </w:rPr>
        <w:t>,</w:t>
      </w:r>
      <w:r>
        <w:rPr>
          <w:rFonts w:ascii="Times New Roman" w:hAnsi="Times New Roman"/>
        </w:rPr>
        <w:t xml:space="preserve"> otázky spolupráce, výmeny skúseností a dobrej praxe v rámci implementácie manažérskeho systému v štátnej správe SR i v zahraničí</w:t>
      </w:r>
      <w:r w:rsidRPr="005F5661">
        <w:rPr>
          <w:rFonts w:ascii="Times New Roman" w:hAnsi="Times New Roman"/>
        </w:rPr>
        <w:t xml:space="preserve"> </w:t>
      </w:r>
      <w:r>
        <w:rPr>
          <w:rFonts w:ascii="Times New Roman" w:hAnsi="Times New Roman"/>
        </w:rPr>
        <w:t>a tiež  navrhuje postupy v jeho zlepšovaní a zvyš</w:t>
      </w:r>
      <w:r w:rsidR="00BC73CA">
        <w:rPr>
          <w:rFonts w:ascii="Times New Roman" w:hAnsi="Times New Roman"/>
        </w:rPr>
        <w:t>ovaní efektívnosti a účinnosti.</w:t>
      </w:r>
    </w:p>
    <w:p w:rsidR="004017B4" w:rsidP="00BC73CA">
      <w:pPr>
        <w:bidi w:val="0"/>
        <w:spacing w:after="120"/>
        <w:jc w:val="both"/>
        <w:rPr>
          <w:rFonts w:ascii="Times New Roman" w:hAnsi="Times New Roman"/>
        </w:rPr>
      </w:pPr>
      <w:r>
        <w:rPr>
          <w:rFonts w:ascii="Times New Roman" w:hAnsi="Times New Roman"/>
        </w:rPr>
        <w:t>V roku 2011 boli v súlade s plánom auditov manažérskeho systému vykonané dva špecificky zamerané čiastkové interné audity. Audity nezistili žiadne významné nedostatky a potvrdili, že činnosti vykonávané na ÚJD SR sú riadené platnými smernicami a postupmi manažérskeho systému. Okrem interných auditov sú smernice manažérskeho systému každoročne preskúmavané vlastníkmi jednotlivých procesov, pričom vlastníci preverujú predmetnú aktuálnosť procesu, súlad so súvisiacou dokumentáciou a posudzujú aj možnosti zlepšovania proceso</w:t>
      </w:r>
      <w:r w:rsidR="00BC73CA">
        <w:rPr>
          <w:rFonts w:ascii="Times New Roman" w:hAnsi="Times New Roman"/>
        </w:rPr>
        <w:t>v a ich efektívnosť a účinnosť.</w:t>
      </w:r>
    </w:p>
    <w:p w:rsidR="004017B4" w:rsidP="00BC73CA">
      <w:pPr>
        <w:bidi w:val="0"/>
        <w:spacing w:after="120"/>
        <w:jc w:val="both"/>
        <w:rPr>
          <w:rFonts w:ascii="Times New Roman" w:hAnsi="Times New Roman"/>
        </w:rPr>
      </w:pPr>
      <w:r>
        <w:rPr>
          <w:rFonts w:ascii="Times New Roman" w:hAnsi="Times New Roman"/>
        </w:rPr>
        <w:t xml:space="preserve">ÚJD SR vykonal samohodnotenie podľa metodiky integrovaného posúdenia dozornej činnosti MAAE (angl. IRRS – Integrated Regulatory Review Service), ktoré je podmienkou konania misie MAAE </w:t>
      </w:r>
      <w:r w:rsidR="008205B1">
        <w:rPr>
          <w:rFonts w:ascii="Times New Roman" w:hAnsi="Times New Roman"/>
        </w:rPr>
        <w:t>v</w:t>
      </w:r>
      <w:r>
        <w:rPr>
          <w:rFonts w:ascii="Times New Roman" w:hAnsi="Times New Roman"/>
        </w:rPr>
        <w:t xml:space="preserve"> S</w:t>
      </w:r>
      <w:r w:rsidR="008205B1">
        <w:rPr>
          <w:rFonts w:ascii="Times New Roman" w:hAnsi="Times New Roman"/>
        </w:rPr>
        <w:t>R</w:t>
      </w:r>
      <w:r>
        <w:rPr>
          <w:rFonts w:ascii="Times New Roman" w:hAnsi="Times New Roman"/>
        </w:rPr>
        <w:t xml:space="preserve"> v roku 2012. Samohodnotenie bolo zamerané na infraštruktúru výkonu dozoru nad jadrovou bezpečnosťou. Pokrylo všeobecné, špecifické i technické požiadavky MAAE. Vo vzťahu k </w:t>
      </w:r>
      <w:r w:rsidR="008205B1">
        <w:rPr>
          <w:rFonts w:ascii="Times New Roman" w:hAnsi="Times New Roman"/>
        </w:rPr>
        <w:t>JZ</w:t>
      </w:r>
      <w:r>
        <w:rPr>
          <w:rFonts w:ascii="Times New Roman" w:hAnsi="Times New Roman"/>
        </w:rPr>
        <w:t xml:space="preserve"> bolo samohodnotenie obmedzené na </w:t>
      </w:r>
      <w:r w:rsidR="008205B1">
        <w:rPr>
          <w:rFonts w:ascii="Times New Roman" w:hAnsi="Times New Roman"/>
        </w:rPr>
        <w:t>AE</w:t>
      </w:r>
      <w:r>
        <w:rPr>
          <w:rFonts w:ascii="Times New Roman" w:hAnsi="Times New Roman"/>
        </w:rPr>
        <w:t xml:space="preserve">, zariadenia na spracovanie a úpravu </w:t>
      </w:r>
      <w:r w:rsidR="008205B1">
        <w:rPr>
          <w:rFonts w:ascii="Times New Roman" w:hAnsi="Times New Roman"/>
        </w:rPr>
        <w:t xml:space="preserve">RAO </w:t>
      </w:r>
      <w:r w:rsidR="00BC73CA">
        <w:rPr>
          <w:rFonts w:ascii="Times New Roman" w:hAnsi="Times New Roman"/>
        </w:rPr>
        <w:t>a vyraďovanie.</w:t>
      </w:r>
    </w:p>
    <w:p w:rsidR="004017B4" w:rsidP="00BC73CA">
      <w:pPr>
        <w:bidi w:val="0"/>
        <w:spacing w:after="120"/>
        <w:jc w:val="both"/>
        <w:rPr>
          <w:rFonts w:ascii="Times New Roman" w:hAnsi="Times New Roman"/>
        </w:rPr>
      </w:pPr>
      <w:r>
        <w:rPr>
          <w:rFonts w:ascii="Times New Roman" w:hAnsi="Times New Roman"/>
        </w:rPr>
        <w:t>Celkové preskúmanie systému manažérstva kvality vedením organizácie, na vyhodnotení ktorého sa podieľajú všetci vlastníci procesov, nakoniec posudzuje Rada pre manažérsky systém ÚJD SR. Výstupný d</w:t>
      </w:r>
      <w:r w:rsidRPr="00894B70">
        <w:rPr>
          <w:rFonts w:ascii="Times New Roman" w:hAnsi="Times New Roman"/>
        </w:rPr>
        <w:t xml:space="preserve">okument </w:t>
      </w:r>
      <w:r>
        <w:rPr>
          <w:rFonts w:ascii="Times New Roman" w:hAnsi="Times New Roman"/>
        </w:rPr>
        <w:t xml:space="preserve">je integrálnym hodnotením </w:t>
      </w:r>
      <w:r w:rsidRPr="00894B70">
        <w:rPr>
          <w:rFonts w:ascii="Times New Roman" w:hAnsi="Times New Roman"/>
        </w:rPr>
        <w:t>stav</w:t>
      </w:r>
      <w:r>
        <w:rPr>
          <w:rFonts w:ascii="Times New Roman" w:hAnsi="Times New Roman"/>
        </w:rPr>
        <w:t>u</w:t>
      </w:r>
      <w:r w:rsidRPr="00894B70">
        <w:rPr>
          <w:rFonts w:ascii="Times New Roman" w:hAnsi="Times New Roman"/>
        </w:rPr>
        <w:t xml:space="preserve"> plnenia pol</w:t>
      </w:r>
      <w:r>
        <w:rPr>
          <w:rFonts w:ascii="Times New Roman" w:hAnsi="Times New Roman"/>
        </w:rPr>
        <w:t>itiky a cieľov kvality, výsledkov</w:t>
      </w:r>
      <w:r w:rsidRPr="00894B70">
        <w:rPr>
          <w:rFonts w:ascii="Times New Roman" w:hAnsi="Times New Roman"/>
        </w:rPr>
        <w:t xml:space="preserve"> vnútorných auditov, pravidelného prehodnotenia smerníc kvality</w:t>
      </w:r>
      <w:r>
        <w:rPr>
          <w:rFonts w:ascii="Times New Roman" w:hAnsi="Times New Roman"/>
        </w:rPr>
        <w:t>,</w:t>
      </w:r>
      <w:r w:rsidRPr="00894B70">
        <w:rPr>
          <w:rFonts w:ascii="Times New Roman" w:hAnsi="Times New Roman"/>
        </w:rPr>
        <w:t xml:space="preserve"> </w:t>
      </w:r>
      <w:r>
        <w:rPr>
          <w:rFonts w:ascii="Times New Roman" w:hAnsi="Times New Roman"/>
        </w:rPr>
        <w:t>plnenia</w:t>
      </w:r>
      <w:r w:rsidRPr="00894B70">
        <w:rPr>
          <w:rFonts w:ascii="Times New Roman" w:hAnsi="Times New Roman"/>
        </w:rPr>
        <w:t xml:space="preserve"> súvisiacich požiadaviek, popis</w:t>
      </w:r>
      <w:r>
        <w:rPr>
          <w:rFonts w:ascii="Times New Roman" w:hAnsi="Times New Roman"/>
        </w:rPr>
        <w:t>uje</w:t>
      </w:r>
      <w:r w:rsidRPr="00894B70">
        <w:rPr>
          <w:rFonts w:ascii="Times New Roman" w:hAnsi="Times New Roman"/>
        </w:rPr>
        <w:t xml:space="preserve"> výkonnos</w:t>
      </w:r>
      <w:r>
        <w:rPr>
          <w:rFonts w:ascii="Times New Roman" w:hAnsi="Times New Roman"/>
        </w:rPr>
        <w:t>ť</w:t>
      </w:r>
      <w:r w:rsidRPr="00894B70">
        <w:rPr>
          <w:rFonts w:ascii="Times New Roman" w:hAnsi="Times New Roman"/>
        </w:rPr>
        <w:t xml:space="preserve"> procesov, </w:t>
      </w:r>
      <w:r>
        <w:rPr>
          <w:rFonts w:ascii="Times New Roman" w:hAnsi="Times New Roman"/>
        </w:rPr>
        <w:t>zhodu</w:t>
      </w:r>
      <w:r w:rsidRPr="00894B70">
        <w:rPr>
          <w:rFonts w:ascii="Times New Roman" w:hAnsi="Times New Roman"/>
        </w:rPr>
        <w:t xml:space="preserve"> produktu, popis stavu preventívnych a nápravných činností a zmien s</w:t>
      </w:r>
      <w:r>
        <w:rPr>
          <w:rFonts w:ascii="Times New Roman" w:hAnsi="Times New Roman"/>
        </w:rPr>
        <w:t> </w:t>
      </w:r>
      <w:r w:rsidRPr="00894B70">
        <w:rPr>
          <w:rFonts w:ascii="Times New Roman" w:hAnsi="Times New Roman"/>
        </w:rPr>
        <w:t>potenciálnym</w:t>
      </w:r>
      <w:r>
        <w:rPr>
          <w:rFonts w:ascii="Times New Roman" w:hAnsi="Times New Roman"/>
        </w:rPr>
        <w:t xml:space="preserve"> vplyvom </w:t>
      </w:r>
      <w:r w:rsidR="005826D8">
        <w:rPr>
          <w:rFonts w:ascii="Times New Roman" w:hAnsi="Times New Roman"/>
        </w:rPr>
        <w:t xml:space="preserve">na </w:t>
      </w:r>
      <w:r>
        <w:rPr>
          <w:rFonts w:ascii="Times New Roman" w:hAnsi="Times New Roman"/>
        </w:rPr>
        <w:t>manažérsky systém, pričom</w:t>
      </w:r>
      <w:r w:rsidRPr="00894B70">
        <w:rPr>
          <w:rFonts w:ascii="Times New Roman" w:hAnsi="Times New Roman"/>
        </w:rPr>
        <w:t xml:space="preserve"> uvádza aj odporúčania na zlepšenie </w:t>
      </w:r>
      <w:r>
        <w:rPr>
          <w:rFonts w:ascii="Times New Roman" w:hAnsi="Times New Roman"/>
        </w:rPr>
        <w:t>procesov a činností a </w:t>
      </w:r>
      <w:r w:rsidRPr="00894B70">
        <w:rPr>
          <w:rFonts w:ascii="Times New Roman" w:hAnsi="Times New Roman"/>
        </w:rPr>
        <w:t>zlepšeni</w:t>
      </w:r>
      <w:r>
        <w:rPr>
          <w:rFonts w:ascii="Times New Roman" w:hAnsi="Times New Roman"/>
        </w:rPr>
        <w:t>e produktu súvisiace</w:t>
      </w:r>
      <w:r w:rsidRPr="00894B70">
        <w:rPr>
          <w:rFonts w:ascii="Times New Roman" w:hAnsi="Times New Roman"/>
        </w:rPr>
        <w:t xml:space="preserve"> s</w:t>
      </w:r>
      <w:r>
        <w:rPr>
          <w:rFonts w:ascii="Times New Roman" w:hAnsi="Times New Roman"/>
        </w:rPr>
        <w:t xml:space="preserve"> oprávnenými </w:t>
      </w:r>
      <w:r w:rsidRPr="00894B70">
        <w:rPr>
          <w:rFonts w:ascii="Times New Roman" w:hAnsi="Times New Roman"/>
        </w:rPr>
        <w:t>požiadavkami</w:t>
      </w:r>
      <w:r>
        <w:rPr>
          <w:rFonts w:ascii="Times New Roman" w:hAnsi="Times New Roman"/>
        </w:rPr>
        <w:t xml:space="preserve"> zainteresovaných strán </w:t>
      </w:r>
      <w:r w:rsidRPr="00894B70">
        <w:rPr>
          <w:rFonts w:ascii="Times New Roman" w:hAnsi="Times New Roman"/>
        </w:rPr>
        <w:t>a</w:t>
      </w:r>
      <w:r>
        <w:rPr>
          <w:rFonts w:ascii="Times New Roman" w:hAnsi="Times New Roman"/>
        </w:rPr>
        <w:t> </w:t>
      </w:r>
      <w:r w:rsidRPr="00894B70">
        <w:rPr>
          <w:rFonts w:ascii="Times New Roman" w:hAnsi="Times New Roman"/>
        </w:rPr>
        <w:t>potrebný</w:t>
      </w:r>
      <w:r>
        <w:rPr>
          <w:rFonts w:ascii="Times New Roman" w:hAnsi="Times New Roman"/>
        </w:rPr>
        <w:t>mi z</w:t>
      </w:r>
      <w:r w:rsidRPr="00894B70">
        <w:rPr>
          <w:rFonts w:ascii="Times New Roman" w:hAnsi="Times New Roman"/>
        </w:rPr>
        <w:t>droj</w:t>
      </w:r>
      <w:r>
        <w:rPr>
          <w:rFonts w:ascii="Times New Roman" w:hAnsi="Times New Roman"/>
        </w:rPr>
        <w:t>mi</w:t>
      </w:r>
      <w:r w:rsidRPr="00894B70">
        <w:rPr>
          <w:rFonts w:ascii="Times New Roman" w:hAnsi="Times New Roman"/>
        </w:rPr>
        <w:t>.</w:t>
      </w:r>
    </w:p>
    <w:p w:rsidR="004017B4" w:rsidP="008205B1">
      <w:pPr>
        <w:bidi w:val="0"/>
        <w:jc w:val="both"/>
        <w:rPr>
          <w:rFonts w:ascii="Times New Roman" w:hAnsi="Times New Roman"/>
        </w:rPr>
      </w:pPr>
    </w:p>
    <w:p w:rsidR="004017B4" w:rsidP="008205B1">
      <w:pPr>
        <w:bidi w:val="0"/>
        <w:jc w:val="both"/>
        <w:rPr>
          <w:rFonts w:ascii="Times New Roman" w:hAnsi="Times New Roman"/>
        </w:rPr>
      </w:pPr>
    </w:p>
    <w:p w:rsidR="000817E6"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BC73CA"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A372E" w:rsidP="004017B4">
      <w:pPr>
        <w:bidi w:val="0"/>
        <w:rPr>
          <w:rFonts w:ascii="Times New Roman" w:hAnsi="Times New Roman"/>
        </w:rPr>
      </w:pPr>
    </w:p>
    <w:p w:rsidR="00CD5B53" w:rsidP="004017B4">
      <w:pPr>
        <w:bidi w:val="0"/>
        <w:rPr>
          <w:rFonts w:ascii="Times New Roman" w:hAnsi="Times New Roman"/>
        </w:rPr>
      </w:pPr>
    </w:p>
    <w:p w:rsidR="00CD5B53" w:rsidP="004017B4">
      <w:pPr>
        <w:bidi w:val="0"/>
        <w:rPr>
          <w:rFonts w:ascii="Times New Roman" w:hAnsi="Times New Roman"/>
        </w:rPr>
      </w:pPr>
    </w:p>
    <w:p w:rsidR="00CD5B53" w:rsidP="004017B4">
      <w:pPr>
        <w:bidi w:val="0"/>
        <w:rPr>
          <w:rFonts w:ascii="Times New Roman" w:hAnsi="Times New Roman"/>
        </w:rPr>
      </w:pPr>
    </w:p>
    <w:p w:rsidR="00CD5B53" w:rsidP="004017B4">
      <w:pPr>
        <w:bidi w:val="0"/>
        <w:rPr>
          <w:rFonts w:ascii="Times New Roman" w:hAnsi="Times New Roman"/>
        </w:rPr>
      </w:pPr>
    </w:p>
    <w:p w:rsidR="00CD5B53" w:rsidP="004017B4">
      <w:pPr>
        <w:bidi w:val="0"/>
        <w:rPr>
          <w:rFonts w:ascii="Times New Roman" w:hAnsi="Times New Roman"/>
        </w:rPr>
      </w:pPr>
    </w:p>
    <w:p w:rsidR="00CA372E" w:rsidP="004017B4">
      <w:pPr>
        <w:bidi w:val="0"/>
        <w:rPr>
          <w:rFonts w:ascii="Times New Roman" w:hAnsi="Times New Roman"/>
        </w:rPr>
      </w:pPr>
    </w:p>
    <w:p w:rsidR="00EE50DE" w:rsidRPr="009E74BF">
      <w:pPr>
        <w:pStyle w:val="TOC1"/>
        <w:bidi w:val="0"/>
        <w:rPr>
          <w:rFonts w:ascii="Calibri" w:hAnsi="Calibri"/>
          <w:b w:val="0"/>
          <w:caps w:val="0"/>
          <w:noProof/>
          <w:sz w:val="22"/>
          <w:szCs w:val="22"/>
        </w:rPr>
      </w:pPr>
      <w:r w:rsidR="00E00EC8">
        <w:rPr>
          <w:rFonts w:ascii="Arial" w:hAnsi="Arial"/>
          <w:bCs/>
          <w:i/>
          <w:iCs/>
          <w:szCs w:val="26"/>
          <w:u w:val="single"/>
        </w:rPr>
        <w:fldChar w:fldCharType="begin"/>
      </w:r>
      <w:r w:rsidR="00E00EC8">
        <w:rPr>
          <w:rFonts w:ascii="Arial" w:hAnsi="Arial"/>
          <w:bCs/>
          <w:i/>
          <w:iCs/>
          <w:szCs w:val="26"/>
          <w:u w:val="single"/>
        </w:rPr>
        <w:instrText xml:space="preserve"> TOC \o "1-4" \h \z </w:instrText>
      </w:r>
      <w:r w:rsidR="00E00EC8">
        <w:rPr>
          <w:rFonts w:ascii="Arial" w:hAnsi="Arial"/>
          <w:bCs/>
          <w:i/>
          <w:iCs/>
          <w:szCs w:val="26"/>
          <w:u w:val="single"/>
        </w:rPr>
        <w:fldChar w:fldCharType="separate"/>
      </w:r>
      <w:hyperlink w:anchor="_Toc320719708" w:history="1">
        <w:r w:rsidRPr="00DD27FA">
          <w:rPr>
            <w:rStyle w:val="Hyperlink"/>
            <w:rFonts w:ascii="Times New Roman" w:hAnsi="Times New Roman"/>
            <w:noProof/>
          </w:rPr>
          <w:t>1.</w:t>
        </w:r>
        <w:r w:rsidRPr="009E74BF">
          <w:rPr>
            <w:rFonts w:ascii="Calibri" w:hAnsi="Calibri"/>
            <w:b w:val="0"/>
            <w:caps w:val="0"/>
            <w:noProof/>
            <w:sz w:val="22"/>
            <w:szCs w:val="22"/>
          </w:rPr>
          <w:tab/>
        </w:r>
        <w:r w:rsidRPr="00DD27FA">
          <w:rPr>
            <w:rStyle w:val="Hyperlink"/>
            <w:rFonts w:ascii="Times New Roman" w:hAnsi="Times New Roman"/>
            <w:noProof/>
          </w:rPr>
          <w:t>Výkon dozoru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_Toc320719708 \h </w:instrText>
        </w:r>
        <w:r>
          <w:rPr>
            <w:rFonts w:ascii="Times New Roman" w:hAnsi="Times New Roman"/>
            <w:noProof/>
            <w:webHidden/>
          </w:rPr>
          <w:fldChar w:fldCharType="separate"/>
        </w:r>
        <w:r w:rsidR="006E24EC">
          <w:rPr>
            <w:rFonts w:ascii="Times New Roman" w:hAnsi="Times New Roman"/>
            <w:noProof/>
            <w:webHidden/>
          </w:rPr>
          <w:t>1</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09" w:history="1">
        <w:r w:rsidRPr="00DD27FA">
          <w:rPr>
            <w:rStyle w:val="Hyperlink"/>
            <w:rFonts w:ascii="Times New Roman" w:hAnsi="Times New Roman"/>
            <w:noProof/>
          </w:rPr>
          <w:t>1.1.</w:t>
        </w:r>
        <w:r w:rsidRPr="009E74BF">
          <w:rPr>
            <w:rFonts w:ascii="Calibri" w:hAnsi="Calibri"/>
            <w:smallCaps w:val="0"/>
            <w:noProof/>
            <w:sz w:val="22"/>
            <w:szCs w:val="22"/>
          </w:rPr>
          <w:tab/>
        </w:r>
        <w:r w:rsidRPr="00DD27FA">
          <w:rPr>
            <w:rStyle w:val="Hyperlink"/>
            <w:rFonts w:ascii="Times New Roman" w:hAnsi="Times New Roman"/>
            <w:noProof/>
          </w:rPr>
          <w:t>Legislatívna činnosť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_Toc320719709 \h </w:instrText>
        </w:r>
        <w:r>
          <w:rPr>
            <w:rFonts w:ascii="Times New Roman" w:hAnsi="Times New Roman"/>
            <w:noProof/>
            <w:webHidden/>
          </w:rPr>
          <w:fldChar w:fldCharType="separate"/>
        </w:r>
        <w:r w:rsidR="006E24EC">
          <w:rPr>
            <w:rFonts w:ascii="Times New Roman" w:hAnsi="Times New Roman"/>
            <w:noProof/>
            <w:webHidden/>
          </w:rPr>
          <w:t>2</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10" w:history="1">
        <w:r w:rsidRPr="00DD27FA">
          <w:rPr>
            <w:rStyle w:val="Hyperlink"/>
            <w:rFonts w:ascii="Times New Roman" w:hAnsi="Times New Roman"/>
            <w:noProof/>
          </w:rPr>
          <w:t>1.2.</w:t>
        </w:r>
        <w:r w:rsidRPr="009E74BF">
          <w:rPr>
            <w:rFonts w:ascii="Calibri" w:hAnsi="Calibri"/>
            <w:smallCaps w:val="0"/>
            <w:noProof/>
            <w:sz w:val="22"/>
            <w:szCs w:val="22"/>
          </w:rPr>
          <w:tab/>
        </w:r>
        <w:r w:rsidRPr="00DD27FA">
          <w:rPr>
            <w:rStyle w:val="Hyperlink"/>
            <w:rFonts w:ascii="Times New Roman" w:hAnsi="Times New Roman"/>
            <w:noProof/>
          </w:rPr>
          <w:t>Vydávanie povolení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_Toc320719710 \h </w:instrText>
        </w:r>
        <w:r>
          <w:rPr>
            <w:rFonts w:ascii="Times New Roman" w:hAnsi="Times New Roman"/>
            <w:noProof/>
            <w:webHidden/>
          </w:rPr>
          <w:fldChar w:fldCharType="separate"/>
        </w:r>
        <w:r w:rsidR="006E24EC">
          <w:rPr>
            <w:rFonts w:ascii="Times New Roman" w:hAnsi="Times New Roman"/>
            <w:noProof/>
            <w:webHidden/>
          </w:rPr>
          <w:t>3</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11" w:history="1">
        <w:r w:rsidRPr="00DD27FA">
          <w:rPr>
            <w:rStyle w:val="Hyperlink"/>
            <w:rFonts w:ascii="Times New Roman" w:hAnsi="Times New Roman"/>
            <w:noProof/>
          </w:rPr>
          <w:t>1.3.</w:t>
        </w:r>
        <w:r w:rsidRPr="009E74BF">
          <w:rPr>
            <w:rFonts w:ascii="Calibri" w:hAnsi="Calibri"/>
            <w:smallCaps w:val="0"/>
            <w:noProof/>
            <w:sz w:val="22"/>
            <w:szCs w:val="22"/>
          </w:rPr>
          <w:tab/>
        </w:r>
        <w:r w:rsidRPr="00DD27FA">
          <w:rPr>
            <w:rStyle w:val="Hyperlink"/>
            <w:rFonts w:ascii="Times New Roman" w:hAnsi="Times New Roman"/>
            <w:noProof/>
          </w:rPr>
          <w:t>Posudzovacia a hodnotiaca činnosť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_Toc320719711 \h </w:instrText>
        </w:r>
        <w:r>
          <w:rPr>
            <w:rFonts w:ascii="Times New Roman" w:hAnsi="Times New Roman"/>
            <w:noProof/>
            <w:webHidden/>
          </w:rPr>
          <w:fldChar w:fldCharType="separate"/>
        </w:r>
        <w:r w:rsidR="006E24EC">
          <w:rPr>
            <w:rFonts w:ascii="Times New Roman" w:hAnsi="Times New Roman"/>
            <w:noProof/>
            <w:webHidden/>
          </w:rPr>
          <w:t>3</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12" w:history="1">
        <w:r w:rsidRPr="00DD27FA">
          <w:rPr>
            <w:rStyle w:val="Hyperlink"/>
            <w:rFonts w:ascii="Times New Roman" w:hAnsi="Times New Roman"/>
            <w:noProof/>
          </w:rPr>
          <w:t>1.4.</w:t>
        </w:r>
        <w:r w:rsidRPr="009E74BF">
          <w:rPr>
            <w:rFonts w:ascii="Calibri" w:hAnsi="Calibri"/>
            <w:smallCaps w:val="0"/>
            <w:noProof/>
            <w:sz w:val="22"/>
            <w:szCs w:val="22"/>
          </w:rPr>
          <w:tab/>
        </w:r>
        <w:r w:rsidRPr="00DD27FA">
          <w:rPr>
            <w:rStyle w:val="Hyperlink"/>
            <w:rFonts w:ascii="Times New Roman" w:hAnsi="Times New Roman"/>
            <w:noProof/>
          </w:rPr>
          <w:t>Inšpekčná činnosť a vynucovanie práva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_Toc320719712 \h </w:instrText>
        </w:r>
        <w:r>
          <w:rPr>
            <w:rFonts w:ascii="Times New Roman" w:hAnsi="Times New Roman"/>
            <w:noProof/>
            <w:webHidden/>
          </w:rPr>
          <w:fldChar w:fldCharType="separate"/>
        </w:r>
        <w:r w:rsidR="006E24EC">
          <w:rPr>
            <w:rFonts w:ascii="Times New Roman" w:hAnsi="Times New Roman"/>
            <w:noProof/>
            <w:webHidden/>
          </w:rPr>
          <w:t>5</w:t>
        </w:r>
        <w:r>
          <w:rPr>
            <w:rFonts w:ascii="Times New Roman" w:hAnsi="Times New Roman"/>
            <w:noProof/>
            <w:webHidden/>
          </w:rPr>
          <w:fldChar w:fldCharType="end"/>
        </w:r>
      </w:hyperlink>
    </w:p>
    <w:p w:rsidR="00EE50DE" w:rsidRPr="009E74BF">
      <w:pPr>
        <w:pStyle w:val="TOC3"/>
        <w:tabs>
          <w:tab w:val="left" w:pos="1440"/>
          <w:tab w:val="right" w:leader="dot" w:pos="9060"/>
        </w:tabs>
        <w:bidi w:val="0"/>
        <w:rPr>
          <w:rFonts w:ascii="Calibri" w:hAnsi="Calibri"/>
          <w:i w:val="0"/>
          <w:iCs w:val="0"/>
          <w:noProof/>
          <w:sz w:val="22"/>
          <w:szCs w:val="22"/>
        </w:rPr>
      </w:pPr>
      <w:hyperlink w:anchor="_Toc320719713" w:history="1">
        <w:r w:rsidRPr="00DD27FA">
          <w:rPr>
            <w:rStyle w:val="Hyperlink"/>
            <w:rFonts w:ascii="Times New Roman" w:hAnsi="Times New Roman"/>
            <w:noProof/>
          </w:rPr>
          <w:t>1.4.1.</w:t>
        </w:r>
        <w:r w:rsidRPr="009E74BF">
          <w:rPr>
            <w:rFonts w:ascii="Calibri" w:hAnsi="Calibri"/>
            <w:i w:val="0"/>
            <w:iCs w:val="0"/>
            <w:noProof/>
            <w:sz w:val="22"/>
            <w:szCs w:val="22"/>
          </w:rPr>
          <w:tab/>
        </w:r>
        <w:r w:rsidRPr="00DD27FA">
          <w:rPr>
            <w:rStyle w:val="Hyperlink"/>
            <w:rFonts w:ascii="Times New Roman" w:hAnsi="Times New Roman"/>
            <w:noProof/>
          </w:rPr>
          <w:t>Inšpekčná činnosť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_Toc320719713 \h </w:instrText>
        </w:r>
        <w:r>
          <w:rPr>
            <w:rFonts w:ascii="Times New Roman" w:hAnsi="Times New Roman"/>
            <w:noProof/>
            <w:webHidden/>
          </w:rPr>
          <w:fldChar w:fldCharType="separate"/>
        </w:r>
        <w:r w:rsidR="006E24EC">
          <w:rPr>
            <w:rFonts w:ascii="Times New Roman" w:hAnsi="Times New Roman"/>
            <w:noProof/>
            <w:webHidden/>
          </w:rPr>
          <w:t>5</w:t>
        </w:r>
        <w:r>
          <w:rPr>
            <w:rFonts w:ascii="Times New Roman" w:hAnsi="Times New Roman"/>
            <w:noProof/>
            <w:webHidden/>
          </w:rPr>
          <w:fldChar w:fldCharType="end"/>
        </w:r>
      </w:hyperlink>
    </w:p>
    <w:p w:rsidR="00EE50DE" w:rsidRPr="009E74BF">
      <w:pPr>
        <w:pStyle w:val="TOC3"/>
        <w:tabs>
          <w:tab w:val="left" w:pos="1440"/>
          <w:tab w:val="right" w:leader="dot" w:pos="9060"/>
        </w:tabs>
        <w:bidi w:val="0"/>
        <w:rPr>
          <w:rFonts w:ascii="Calibri" w:hAnsi="Calibri"/>
          <w:i w:val="0"/>
          <w:iCs w:val="0"/>
          <w:noProof/>
          <w:sz w:val="22"/>
          <w:szCs w:val="22"/>
        </w:rPr>
      </w:pPr>
      <w:hyperlink w:anchor="_Toc320719714" w:history="1">
        <w:r w:rsidRPr="00DD27FA">
          <w:rPr>
            <w:rStyle w:val="Hyperlink"/>
            <w:rFonts w:ascii="Times New Roman" w:hAnsi="Times New Roman"/>
            <w:noProof/>
          </w:rPr>
          <w:t>1.4.2.</w:t>
        </w:r>
        <w:r w:rsidRPr="009E74BF">
          <w:rPr>
            <w:rFonts w:ascii="Calibri" w:hAnsi="Calibri"/>
            <w:i w:val="0"/>
            <w:iCs w:val="0"/>
            <w:noProof/>
            <w:sz w:val="22"/>
            <w:szCs w:val="22"/>
          </w:rPr>
          <w:tab/>
        </w:r>
        <w:r w:rsidRPr="00DD27FA">
          <w:rPr>
            <w:rStyle w:val="Hyperlink"/>
            <w:rFonts w:ascii="Times New Roman" w:hAnsi="Times New Roman"/>
            <w:noProof/>
          </w:rPr>
          <w:t>Vynucovanie práva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_Toc320719714 \h </w:instrText>
        </w:r>
        <w:r>
          <w:rPr>
            <w:rFonts w:ascii="Times New Roman" w:hAnsi="Times New Roman"/>
            <w:noProof/>
            <w:webHidden/>
          </w:rPr>
          <w:fldChar w:fldCharType="separate"/>
        </w:r>
        <w:r w:rsidR="006E24EC">
          <w:rPr>
            <w:rFonts w:ascii="Times New Roman" w:hAnsi="Times New Roman"/>
            <w:noProof/>
            <w:webHidden/>
          </w:rPr>
          <w:t>5</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15" w:history="1">
        <w:r w:rsidRPr="00DD27FA">
          <w:rPr>
            <w:rStyle w:val="Hyperlink"/>
            <w:rFonts w:ascii="Times New Roman" w:hAnsi="Times New Roman"/>
            <w:noProof/>
          </w:rPr>
          <w:t>1.5.</w:t>
        </w:r>
        <w:r w:rsidRPr="009E74BF">
          <w:rPr>
            <w:rFonts w:ascii="Calibri" w:hAnsi="Calibri"/>
            <w:smallCaps w:val="0"/>
            <w:noProof/>
            <w:sz w:val="22"/>
            <w:szCs w:val="22"/>
          </w:rPr>
          <w:tab/>
        </w:r>
        <w:r w:rsidRPr="00DD27FA">
          <w:rPr>
            <w:rStyle w:val="Hyperlink"/>
            <w:rFonts w:ascii="Times New Roman" w:hAnsi="Times New Roman"/>
            <w:noProof/>
          </w:rPr>
          <w:t>Hodnotenie stavu jadrovej bezpečnosti na AE a JZ v Slovenskej republike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_Toc320719715 \h </w:instrText>
        </w:r>
        <w:r>
          <w:rPr>
            <w:rFonts w:ascii="Times New Roman" w:hAnsi="Times New Roman"/>
            <w:noProof/>
            <w:webHidden/>
          </w:rPr>
          <w:fldChar w:fldCharType="separate"/>
        </w:r>
        <w:r w:rsidR="006E24EC">
          <w:rPr>
            <w:rFonts w:ascii="Times New Roman" w:hAnsi="Times New Roman"/>
            <w:noProof/>
            <w:webHidden/>
          </w:rPr>
          <w:t>6</w:t>
        </w:r>
        <w:r>
          <w:rPr>
            <w:rFonts w:ascii="Times New Roman" w:hAnsi="Times New Roman"/>
            <w:noProof/>
            <w:webHidden/>
          </w:rPr>
          <w:fldChar w:fldCharType="end"/>
        </w:r>
      </w:hyperlink>
    </w:p>
    <w:p w:rsidR="00EE50DE" w:rsidRPr="009E74BF">
      <w:pPr>
        <w:pStyle w:val="TOC3"/>
        <w:tabs>
          <w:tab w:val="left" w:pos="1440"/>
          <w:tab w:val="right" w:leader="dot" w:pos="9060"/>
        </w:tabs>
        <w:bidi w:val="0"/>
        <w:rPr>
          <w:rFonts w:ascii="Calibri" w:hAnsi="Calibri"/>
          <w:i w:val="0"/>
          <w:iCs w:val="0"/>
          <w:noProof/>
          <w:sz w:val="22"/>
          <w:szCs w:val="22"/>
        </w:rPr>
      </w:pPr>
      <w:hyperlink w:anchor="_Toc320719716" w:history="1">
        <w:r w:rsidRPr="00DD27FA">
          <w:rPr>
            <w:rStyle w:val="Hyperlink"/>
            <w:rFonts w:ascii="Times New Roman" w:hAnsi="Times New Roman"/>
            <w:noProof/>
          </w:rPr>
          <w:t>1.5.1.</w:t>
        </w:r>
        <w:r w:rsidRPr="009E74BF">
          <w:rPr>
            <w:rFonts w:ascii="Calibri" w:hAnsi="Calibri"/>
            <w:i w:val="0"/>
            <w:iCs w:val="0"/>
            <w:noProof/>
            <w:sz w:val="22"/>
            <w:szCs w:val="22"/>
          </w:rPr>
          <w:tab/>
        </w:r>
        <w:r w:rsidRPr="00DD27FA">
          <w:rPr>
            <w:rStyle w:val="Hyperlink"/>
            <w:rFonts w:ascii="Times New Roman" w:hAnsi="Times New Roman"/>
            <w:noProof/>
          </w:rPr>
          <w:t>Atómové elektrárne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_Toc320719716 \h </w:instrText>
        </w:r>
        <w:r>
          <w:rPr>
            <w:rFonts w:ascii="Times New Roman" w:hAnsi="Times New Roman"/>
            <w:noProof/>
            <w:webHidden/>
          </w:rPr>
          <w:fldChar w:fldCharType="separate"/>
        </w:r>
        <w:r w:rsidR="006E24EC">
          <w:rPr>
            <w:rFonts w:ascii="Times New Roman" w:hAnsi="Times New Roman"/>
            <w:noProof/>
            <w:webHidden/>
          </w:rPr>
          <w:t>6</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17" w:history="1">
        <w:r w:rsidRPr="00DD27FA">
          <w:rPr>
            <w:rStyle w:val="Hyperlink"/>
            <w:rFonts w:ascii="Times New Roman" w:hAnsi="Times New Roman"/>
            <w:noProof/>
          </w:rPr>
          <w:t>1.5.1.1.</w:t>
        </w:r>
        <w:r w:rsidRPr="009E74BF">
          <w:rPr>
            <w:rFonts w:ascii="Calibri" w:hAnsi="Calibri"/>
            <w:noProof/>
            <w:sz w:val="22"/>
            <w:szCs w:val="22"/>
          </w:rPr>
          <w:tab/>
        </w:r>
        <w:r w:rsidRPr="00DD27FA">
          <w:rPr>
            <w:rStyle w:val="Hyperlink"/>
            <w:rFonts w:ascii="Times New Roman" w:hAnsi="Times New Roman"/>
            <w:noProof/>
          </w:rPr>
          <w:t>Prevádzkované atómové elektrárne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_Toc320719717 \h </w:instrText>
        </w:r>
        <w:r>
          <w:rPr>
            <w:rFonts w:ascii="Times New Roman" w:hAnsi="Times New Roman"/>
            <w:noProof/>
            <w:webHidden/>
          </w:rPr>
          <w:fldChar w:fldCharType="separate"/>
        </w:r>
        <w:r w:rsidR="006E24EC">
          <w:rPr>
            <w:rFonts w:ascii="Times New Roman" w:hAnsi="Times New Roman"/>
            <w:noProof/>
            <w:webHidden/>
          </w:rPr>
          <w:t>6</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18" w:history="1">
        <w:r w:rsidRPr="00DD27FA">
          <w:rPr>
            <w:rStyle w:val="Hyperlink"/>
            <w:rFonts w:ascii="Times New Roman" w:hAnsi="Times New Roman"/>
            <w:noProof/>
          </w:rPr>
          <w:t>1.5.1.2.</w:t>
        </w:r>
        <w:r w:rsidRPr="009E74BF">
          <w:rPr>
            <w:rFonts w:ascii="Calibri" w:hAnsi="Calibri"/>
            <w:noProof/>
            <w:sz w:val="22"/>
            <w:szCs w:val="22"/>
          </w:rPr>
          <w:tab/>
        </w:r>
        <w:r w:rsidRPr="00DD27FA">
          <w:rPr>
            <w:rStyle w:val="Hyperlink"/>
            <w:rFonts w:ascii="Times New Roman" w:hAnsi="Times New Roman"/>
            <w:noProof/>
          </w:rPr>
          <w:t>Atómové elektrárne vo výstavbe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_Toc320719718 \h </w:instrText>
        </w:r>
        <w:r>
          <w:rPr>
            <w:rFonts w:ascii="Times New Roman" w:hAnsi="Times New Roman"/>
            <w:noProof/>
            <w:webHidden/>
          </w:rPr>
          <w:fldChar w:fldCharType="separate"/>
        </w:r>
        <w:r w:rsidR="006E24EC">
          <w:rPr>
            <w:rFonts w:ascii="Times New Roman" w:hAnsi="Times New Roman"/>
            <w:noProof/>
            <w:webHidden/>
          </w:rPr>
          <w:t>8</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19" w:history="1">
        <w:r w:rsidRPr="00DD27FA">
          <w:rPr>
            <w:rStyle w:val="Hyperlink"/>
            <w:rFonts w:ascii="Times New Roman" w:hAnsi="Times New Roman"/>
            <w:noProof/>
          </w:rPr>
          <w:t>1.5.1.3.</w:t>
        </w:r>
        <w:r w:rsidRPr="009E74BF">
          <w:rPr>
            <w:rFonts w:ascii="Calibri" w:hAnsi="Calibri"/>
            <w:noProof/>
            <w:sz w:val="22"/>
            <w:szCs w:val="22"/>
          </w:rPr>
          <w:tab/>
        </w:r>
        <w:r w:rsidRPr="00DD27FA">
          <w:rPr>
            <w:rStyle w:val="Hyperlink"/>
            <w:rFonts w:ascii="Times New Roman" w:hAnsi="Times New Roman"/>
            <w:noProof/>
          </w:rPr>
          <w:t>Atómové elektrárne vo vyraďovaní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_Toc320719719 \h </w:instrText>
        </w:r>
        <w:r>
          <w:rPr>
            <w:rFonts w:ascii="Times New Roman" w:hAnsi="Times New Roman"/>
            <w:noProof/>
            <w:webHidden/>
          </w:rPr>
          <w:fldChar w:fldCharType="separate"/>
        </w:r>
        <w:r w:rsidR="006E24EC">
          <w:rPr>
            <w:rFonts w:ascii="Times New Roman" w:hAnsi="Times New Roman"/>
            <w:noProof/>
            <w:webHidden/>
          </w:rPr>
          <w:t>9</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20" w:history="1">
        <w:r w:rsidRPr="00DD27FA">
          <w:rPr>
            <w:rStyle w:val="Hyperlink"/>
            <w:rFonts w:ascii="Times New Roman" w:hAnsi="Times New Roman"/>
            <w:noProof/>
          </w:rPr>
          <w:t>1.5.1.4.</w:t>
        </w:r>
        <w:r w:rsidRPr="009E74BF">
          <w:rPr>
            <w:rFonts w:ascii="Calibri" w:hAnsi="Calibri"/>
            <w:noProof/>
            <w:sz w:val="22"/>
            <w:szCs w:val="22"/>
          </w:rPr>
          <w:tab/>
        </w:r>
        <w:r w:rsidRPr="00DD27FA">
          <w:rPr>
            <w:rStyle w:val="Hyperlink"/>
            <w:rFonts w:ascii="Times New Roman" w:hAnsi="Times New Roman"/>
            <w:noProof/>
          </w:rPr>
          <w:t>Záťažové testy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_Toc320719720 \h </w:instrText>
        </w:r>
        <w:r>
          <w:rPr>
            <w:rFonts w:ascii="Times New Roman" w:hAnsi="Times New Roman"/>
            <w:noProof/>
            <w:webHidden/>
          </w:rPr>
          <w:fldChar w:fldCharType="separate"/>
        </w:r>
        <w:r w:rsidR="006E24EC">
          <w:rPr>
            <w:rFonts w:ascii="Times New Roman" w:hAnsi="Times New Roman"/>
            <w:noProof/>
            <w:webHidden/>
          </w:rPr>
          <w:t>10</w:t>
        </w:r>
        <w:r>
          <w:rPr>
            <w:rFonts w:ascii="Times New Roman" w:hAnsi="Times New Roman"/>
            <w:noProof/>
            <w:webHidden/>
          </w:rPr>
          <w:fldChar w:fldCharType="end"/>
        </w:r>
      </w:hyperlink>
    </w:p>
    <w:p w:rsidR="00EE50DE" w:rsidRPr="009E74BF">
      <w:pPr>
        <w:pStyle w:val="TOC3"/>
        <w:tabs>
          <w:tab w:val="left" w:pos="1440"/>
          <w:tab w:val="right" w:leader="dot" w:pos="9060"/>
        </w:tabs>
        <w:bidi w:val="0"/>
        <w:rPr>
          <w:rFonts w:ascii="Calibri" w:hAnsi="Calibri"/>
          <w:i w:val="0"/>
          <w:iCs w:val="0"/>
          <w:noProof/>
          <w:sz w:val="22"/>
          <w:szCs w:val="22"/>
        </w:rPr>
      </w:pPr>
      <w:hyperlink w:anchor="_Toc320719721" w:history="1">
        <w:r w:rsidRPr="00DD27FA">
          <w:rPr>
            <w:rStyle w:val="Hyperlink"/>
            <w:rFonts w:ascii="Times New Roman" w:hAnsi="Times New Roman"/>
            <w:noProof/>
          </w:rPr>
          <w:t>1.5.2.</w:t>
        </w:r>
        <w:r w:rsidRPr="009E74BF">
          <w:rPr>
            <w:rFonts w:ascii="Calibri" w:hAnsi="Calibri"/>
            <w:i w:val="0"/>
            <w:iCs w:val="0"/>
            <w:noProof/>
            <w:sz w:val="22"/>
            <w:szCs w:val="22"/>
          </w:rPr>
          <w:tab/>
        </w:r>
        <w:r w:rsidRPr="00DD27FA">
          <w:rPr>
            <w:rStyle w:val="Hyperlink"/>
            <w:rFonts w:ascii="Times New Roman" w:hAnsi="Times New Roman"/>
            <w:noProof/>
          </w:rPr>
          <w:t>Iné jadrové zariadenia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_Toc320719721 \h </w:instrText>
        </w:r>
        <w:r>
          <w:rPr>
            <w:rFonts w:ascii="Times New Roman" w:hAnsi="Times New Roman"/>
            <w:noProof/>
            <w:webHidden/>
          </w:rPr>
          <w:fldChar w:fldCharType="separate"/>
        </w:r>
        <w:r w:rsidR="006E24EC">
          <w:rPr>
            <w:rFonts w:ascii="Times New Roman" w:hAnsi="Times New Roman"/>
            <w:noProof/>
            <w:webHidden/>
          </w:rPr>
          <w:t>11</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22" w:history="1">
        <w:r w:rsidRPr="00DD27FA">
          <w:rPr>
            <w:rStyle w:val="Hyperlink"/>
            <w:rFonts w:ascii="Times New Roman" w:hAnsi="Times New Roman"/>
            <w:noProof/>
          </w:rPr>
          <w:t>1.5.2.1.</w:t>
        </w:r>
        <w:r w:rsidRPr="009E74BF">
          <w:rPr>
            <w:rFonts w:ascii="Calibri" w:hAnsi="Calibri"/>
            <w:noProof/>
            <w:sz w:val="22"/>
            <w:szCs w:val="22"/>
          </w:rPr>
          <w:tab/>
        </w:r>
        <w:r w:rsidRPr="00DD27FA">
          <w:rPr>
            <w:rStyle w:val="Hyperlink"/>
            <w:rFonts w:ascii="Times New Roman" w:hAnsi="Times New Roman"/>
            <w:noProof/>
          </w:rPr>
          <w:t>Iné jadrové zariadenia v prevádzke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_Toc320719722 \h </w:instrText>
        </w:r>
        <w:r>
          <w:rPr>
            <w:rFonts w:ascii="Times New Roman" w:hAnsi="Times New Roman"/>
            <w:noProof/>
            <w:webHidden/>
          </w:rPr>
          <w:fldChar w:fldCharType="separate"/>
        </w:r>
        <w:r w:rsidR="006E24EC">
          <w:rPr>
            <w:rFonts w:ascii="Times New Roman" w:hAnsi="Times New Roman"/>
            <w:noProof/>
            <w:webHidden/>
          </w:rPr>
          <w:t>11</w:t>
        </w:r>
        <w:r>
          <w:rPr>
            <w:rFonts w:ascii="Times New Roman" w:hAnsi="Times New Roman"/>
            <w:noProof/>
            <w:webHidden/>
          </w:rPr>
          <w:fldChar w:fldCharType="end"/>
        </w:r>
      </w:hyperlink>
    </w:p>
    <w:p w:rsidR="00EE50DE" w:rsidRPr="009E74BF">
      <w:pPr>
        <w:pStyle w:val="TOC4"/>
        <w:tabs>
          <w:tab w:val="left" w:pos="1680"/>
          <w:tab w:val="right" w:leader="dot" w:pos="9060"/>
        </w:tabs>
        <w:bidi w:val="0"/>
        <w:rPr>
          <w:rFonts w:ascii="Calibri" w:hAnsi="Calibri"/>
          <w:noProof/>
          <w:sz w:val="22"/>
          <w:szCs w:val="22"/>
        </w:rPr>
      </w:pPr>
      <w:hyperlink w:anchor="_Toc320719723" w:history="1">
        <w:r w:rsidRPr="00DD27FA">
          <w:rPr>
            <w:rStyle w:val="Hyperlink"/>
            <w:rFonts w:ascii="Times New Roman" w:hAnsi="Times New Roman"/>
            <w:noProof/>
          </w:rPr>
          <w:t>1.5.2.2.</w:t>
        </w:r>
        <w:r w:rsidRPr="009E74BF">
          <w:rPr>
            <w:rFonts w:ascii="Calibri" w:hAnsi="Calibri"/>
            <w:noProof/>
            <w:sz w:val="22"/>
            <w:szCs w:val="22"/>
          </w:rPr>
          <w:tab/>
        </w:r>
        <w:r w:rsidRPr="00DD27FA">
          <w:rPr>
            <w:rStyle w:val="Hyperlink"/>
            <w:rFonts w:ascii="Times New Roman" w:hAnsi="Times New Roman"/>
            <w:noProof/>
          </w:rPr>
          <w:t>Iné jadrové zariadenia vo vyraďovaní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_Toc320719723 \h </w:instrText>
        </w:r>
        <w:r>
          <w:rPr>
            <w:rFonts w:ascii="Times New Roman" w:hAnsi="Times New Roman"/>
            <w:noProof/>
            <w:webHidden/>
          </w:rPr>
          <w:fldChar w:fldCharType="separate"/>
        </w:r>
        <w:r w:rsidR="006E24EC">
          <w:rPr>
            <w:rFonts w:ascii="Times New Roman" w:hAnsi="Times New Roman"/>
            <w:noProof/>
            <w:webHidden/>
          </w:rPr>
          <w:t>13</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24" w:history="1">
        <w:r w:rsidRPr="00DD27FA">
          <w:rPr>
            <w:rStyle w:val="Hyperlink"/>
            <w:rFonts w:ascii="Times New Roman" w:hAnsi="Times New Roman"/>
            <w:noProof/>
          </w:rPr>
          <w:t>2.</w:t>
        </w:r>
        <w:r w:rsidRPr="009E74BF">
          <w:rPr>
            <w:rFonts w:ascii="Calibri" w:hAnsi="Calibri"/>
            <w:b w:val="0"/>
            <w:caps w:val="0"/>
            <w:noProof/>
            <w:sz w:val="22"/>
            <w:szCs w:val="22"/>
          </w:rPr>
          <w:tab/>
        </w:r>
        <w:r w:rsidRPr="00DD27FA">
          <w:rPr>
            <w:rStyle w:val="Hyperlink"/>
            <w:rFonts w:ascii="Times New Roman" w:hAnsi="Times New Roman"/>
            <w:noProof/>
          </w:rPr>
          <w:t>PÔSOBNOSŤ STAVEBNÉHO ÚRADU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_Toc320719724 \h </w:instrText>
        </w:r>
        <w:r>
          <w:rPr>
            <w:rFonts w:ascii="Times New Roman" w:hAnsi="Times New Roman"/>
            <w:noProof/>
            <w:webHidden/>
          </w:rPr>
          <w:fldChar w:fldCharType="separate"/>
        </w:r>
        <w:r w:rsidR="006E24EC">
          <w:rPr>
            <w:rFonts w:ascii="Times New Roman" w:hAnsi="Times New Roman"/>
            <w:noProof/>
            <w:webHidden/>
          </w:rPr>
          <w:t>14</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25" w:history="1">
        <w:r w:rsidRPr="00DD27FA">
          <w:rPr>
            <w:rStyle w:val="Hyperlink"/>
            <w:rFonts w:ascii="Times New Roman" w:hAnsi="Times New Roman"/>
            <w:noProof/>
          </w:rPr>
          <w:t>3.</w:t>
        </w:r>
        <w:r w:rsidRPr="009E74BF">
          <w:rPr>
            <w:rFonts w:ascii="Calibri" w:hAnsi="Calibri"/>
            <w:b w:val="0"/>
            <w:caps w:val="0"/>
            <w:noProof/>
            <w:sz w:val="22"/>
            <w:szCs w:val="22"/>
          </w:rPr>
          <w:tab/>
        </w:r>
        <w:r w:rsidRPr="00DD27FA">
          <w:rPr>
            <w:rStyle w:val="Hyperlink"/>
            <w:rFonts w:ascii="Times New Roman" w:hAnsi="Times New Roman"/>
            <w:noProof/>
          </w:rPr>
          <w:t>jadrovÉ materiálY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_Toc320719725 \h </w:instrText>
        </w:r>
        <w:r>
          <w:rPr>
            <w:rFonts w:ascii="Times New Roman" w:hAnsi="Times New Roman"/>
            <w:noProof/>
            <w:webHidden/>
          </w:rPr>
          <w:fldChar w:fldCharType="separate"/>
        </w:r>
        <w:r w:rsidR="006E24EC">
          <w:rPr>
            <w:rFonts w:ascii="Times New Roman" w:hAnsi="Times New Roman"/>
            <w:noProof/>
            <w:webHidden/>
          </w:rPr>
          <w:t>14</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26" w:history="1">
        <w:r w:rsidRPr="00DD27FA">
          <w:rPr>
            <w:rStyle w:val="Hyperlink"/>
            <w:rFonts w:ascii="Times New Roman" w:hAnsi="Times New Roman"/>
            <w:noProof/>
          </w:rPr>
          <w:t>3.1.</w:t>
        </w:r>
        <w:r w:rsidRPr="009E74BF">
          <w:rPr>
            <w:rFonts w:ascii="Calibri" w:hAnsi="Calibri"/>
            <w:smallCaps w:val="0"/>
            <w:noProof/>
            <w:sz w:val="22"/>
            <w:szCs w:val="22"/>
          </w:rPr>
          <w:tab/>
        </w:r>
        <w:r w:rsidRPr="00DD27FA">
          <w:rPr>
            <w:rStyle w:val="Hyperlink"/>
            <w:rFonts w:ascii="Times New Roman" w:hAnsi="Times New Roman"/>
            <w:noProof/>
          </w:rPr>
          <w:t>Evidencia a kontrola jadrových materiálov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_Toc320719726 \h </w:instrText>
        </w:r>
        <w:r>
          <w:rPr>
            <w:rFonts w:ascii="Times New Roman" w:hAnsi="Times New Roman"/>
            <w:noProof/>
            <w:webHidden/>
          </w:rPr>
          <w:fldChar w:fldCharType="separate"/>
        </w:r>
        <w:r w:rsidR="006E24EC">
          <w:rPr>
            <w:rFonts w:ascii="Times New Roman" w:hAnsi="Times New Roman"/>
            <w:noProof/>
            <w:webHidden/>
          </w:rPr>
          <w:t>14</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27" w:history="1">
        <w:r w:rsidRPr="00DD27FA">
          <w:rPr>
            <w:rStyle w:val="Hyperlink"/>
            <w:rFonts w:ascii="Times New Roman" w:hAnsi="Times New Roman"/>
            <w:noProof/>
          </w:rPr>
          <w:t>3.2.</w:t>
        </w:r>
        <w:r w:rsidRPr="009E74BF">
          <w:rPr>
            <w:rFonts w:ascii="Calibri" w:hAnsi="Calibri"/>
            <w:smallCaps w:val="0"/>
            <w:noProof/>
            <w:sz w:val="22"/>
            <w:szCs w:val="22"/>
          </w:rPr>
          <w:tab/>
        </w:r>
        <w:r w:rsidRPr="00DD27FA">
          <w:rPr>
            <w:rStyle w:val="Hyperlink"/>
            <w:rFonts w:ascii="Times New Roman" w:hAnsi="Times New Roman"/>
            <w:noProof/>
          </w:rPr>
          <w:t>Preprava JM</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_Toc320719727 \h </w:instrText>
        </w:r>
        <w:r>
          <w:rPr>
            <w:rFonts w:ascii="Times New Roman" w:hAnsi="Times New Roman"/>
            <w:noProof/>
            <w:webHidden/>
          </w:rPr>
          <w:fldChar w:fldCharType="separate"/>
        </w:r>
        <w:r w:rsidR="006E24EC">
          <w:rPr>
            <w:rFonts w:ascii="Times New Roman" w:hAnsi="Times New Roman"/>
            <w:noProof/>
            <w:webHidden/>
          </w:rPr>
          <w:t>15</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28" w:history="1">
        <w:r w:rsidRPr="00DD27FA">
          <w:rPr>
            <w:rStyle w:val="Hyperlink"/>
            <w:rFonts w:ascii="Times New Roman" w:hAnsi="Times New Roman"/>
            <w:noProof/>
          </w:rPr>
          <w:t>3.3.</w:t>
        </w:r>
        <w:r w:rsidRPr="009E74BF">
          <w:rPr>
            <w:rFonts w:ascii="Calibri" w:hAnsi="Calibri"/>
            <w:smallCaps w:val="0"/>
            <w:noProof/>
            <w:sz w:val="22"/>
            <w:szCs w:val="22"/>
          </w:rPr>
          <w:tab/>
        </w:r>
        <w:r w:rsidRPr="00DD27FA">
          <w:rPr>
            <w:rStyle w:val="Hyperlink"/>
            <w:rFonts w:ascii="Times New Roman" w:hAnsi="Times New Roman"/>
            <w:noProof/>
          </w:rPr>
          <w:t>Nezákonné nakladanie s jadrovými a rádioaktívnymi materiálmi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_Toc320719728 \h </w:instrText>
        </w:r>
        <w:r>
          <w:rPr>
            <w:rFonts w:ascii="Times New Roman" w:hAnsi="Times New Roman"/>
            <w:noProof/>
            <w:webHidden/>
          </w:rPr>
          <w:fldChar w:fldCharType="separate"/>
        </w:r>
        <w:r w:rsidR="006E24EC">
          <w:rPr>
            <w:rFonts w:ascii="Times New Roman" w:hAnsi="Times New Roman"/>
            <w:noProof/>
            <w:webHidden/>
          </w:rPr>
          <w:t>15</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29" w:history="1">
        <w:r w:rsidRPr="00DD27FA">
          <w:rPr>
            <w:rStyle w:val="Hyperlink"/>
            <w:rFonts w:ascii="Times New Roman" w:hAnsi="Times New Roman"/>
            <w:noProof/>
          </w:rPr>
          <w:t>3.4.</w:t>
        </w:r>
        <w:r w:rsidRPr="009E74BF">
          <w:rPr>
            <w:rFonts w:ascii="Calibri" w:hAnsi="Calibri"/>
            <w:smallCaps w:val="0"/>
            <w:noProof/>
            <w:sz w:val="22"/>
            <w:szCs w:val="22"/>
          </w:rPr>
          <w:tab/>
        </w:r>
        <w:r w:rsidRPr="00DD27FA">
          <w:rPr>
            <w:rStyle w:val="Hyperlink"/>
            <w:rFonts w:ascii="Times New Roman" w:hAnsi="Times New Roman"/>
            <w:noProof/>
          </w:rPr>
          <w:t>Kontrola skladovania čerstvého a vyhoretého jadrového paliva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_Toc320719729 \h </w:instrText>
        </w:r>
        <w:r>
          <w:rPr>
            <w:rFonts w:ascii="Times New Roman" w:hAnsi="Times New Roman"/>
            <w:noProof/>
            <w:webHidden/>
          </w:rPr>
          <w:fldChar w:fldCharType="separate"/>
        </w:r>
        <w:r w:rsidR="006E24EC">
          <w:rPr>
            <w:rFonts w:ascii="Times New Roman" w:hAnsi="Times New Roman"/>
            <w:noProof/>
            <w:webHidden/>
          </w:rPr>
          <w:t>15</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30" w:history="1">
        <w:r w:rsidRPr="00DD27FA">
          <w:rPr>
            <w:rStyle w:val="Hyperlink"/>
            <w:rFonts w:ascii="Times New Roman" w:hAnsi="Times New Roman"/>
            <w:noProof/>
          </w:rPr>
          <w:t>4.</w:t>
        </w:r>
        <w:r w:rsidRPr="009E74BF">
          <w:rPr>
            <w:rFonts w:ascii="Calibri" w:hAnsi="Calibri"/>
            <w:b w:val="0"/>
            <w:caps w:val="0"/>
            <w:noProof/>
            <w:sz w:val="22"/>
            <w:szCs w:val="22"/>
          </w:rPr>
          <w:tab/>
        </w:r>
        <w:r w:rsidRPr="00DD27FA">
          <w:rPr>
            <w:rStyle w:val="Hyperlink"/>
            <w:rFonts w:ascii="Times New Roman" w:hAnsi="Times New Roman"/>
            <w:noProof/>
          </w:rPr>
          <w:t>Fyzická BEZPEČNOSŤ jadrových zariadení a Jadrových materiálov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_Toc320719730 \h </w:instrText>
        </w:r>
        <w:r>
          <w:rPr>
            <w:rFonts w:ascii="Times New Roman" w:hAnsi="Times New Roman"/>
            <w:noProof/>
            <w:webHidden/>
          </w:rPr>
          <w:fldChar w:fldCharType="separate"/>
        </w:r>
        <w:r w:rsidR="006E24EC">
          <w:rPr>
            <w:rFonts w:ascii="Times New Roman" w:hAnsi="Times New Roman"/>
            <w:noProof/>
            <w:webHidden/>
          </w:rPr>
          <w:t>16</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31" w:history="1">
        <w:r w:rsidRPr="00DD27FA">
          <w:rPr>
            <w:rStyle w:val="Hyperlink"/>
            <w:rFonts w:ascii="Times New Roman" w:hAnsi="Times New Roman"/>
            <w:noProof/>
          </w:rPr>
          <w:t>5.</w:t>
        </w:r>
        <w:r w:rsidRPr="009E74BF">
          <w:rPr>
            <w:rFonts w:ascii="Calibri" w:hAnsi="Calibri"/>
            <w:b w:val="0"/>
            <w:caps w:val="0"/>
            <w:noProof/>
            <w:sz w:val="22"/>
            <w:szCs w:val="22"/>
          </w:rPr>
          <w:tab/>
        </w:r>
        <w:r w:rsidRPr="00DD27FA">
          <w:rPr>
            <w:rStyle w:val="Hyperlink"/>
            <w:rFonts w:ascii="Times New Roman" w:hAnsi="Times New Roman"/>
            <w:noProof/>
          </w:rPr>
          <w:t>Havarijné  plánovanie a pripravenosť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_Toc320719731 \h </w:instrText>
        </w:r>
        <w:r>
          <w:rPr>
            <w:rFonts w:ascii="Times New Roman" w:hAnsi="Times New Roman"/>
            <w:noProof/>
            <w:webHidden/>
          </w:rPr>
          <w:fldChar w:fldCharType="separate"/>
        </w:r>
        <w:r w:rsidR="006E24EC">
          <w:rPr>
            <w:rFonts w:ascii="Times New Roman" w:hAnsi="Times New Roman"/>
            <w:noProof/>
            <w:webHidden/>
          </w:rPr>
          <w:t>17</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2" w:history="1">
        <w:r w:rsidRPr="00DD27FA">
          <w:rPr>
            <w:rStyle w:val="Hyperlink"/>
            <w:rFonts w:ascii="Times New Roman" w:hAnsi="Times New Roman"/>
            <w:noProof/>
          </w:rPr>
          <w:t>5.1.</w:t>
        </w:r>
        <w:r w:rsidRPr="009E74BF">
          <w:rPr>
            <w:rFonts w:ascii="Calibri" w:hAnsi="Calibri"/>
            <w:smallCaps w:val="0"/>
            <w:noProof/>
            <w:sz w:val="22"/>
            <w:szCs w:val="22"/>
          </w:rPr>
          <w:tab/>
        </w:r>
        <w:r w:rsidRPr="00DD27FA">
          <w:rPr>
            <w:rStyle w:val="Hyperlink"/>
            <w:rFonts w:ascii="Times New Roman" w:hAnsi="Times New Roman"/>
            <w:noProof/>
          </w:rPr>
          <w:t>Vnútorné havarijné plánovanie a pripravenosť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_Toc320719732 \h </w:instrText>
        </w:r>
        <w:r>
          <w:rPr>
            <w:rFonts w:ascii="Times New Roman" w:hAnsi="Times New Roman"/>
            <w:noProof/>
            <w:webHidden/>
          </w:rPr>
          <w:fldChar w:fldCharType="separate"/>
        </w:r>
        <w:r w:rsidR="006E24EC">
          <w:rPr>
            <w:rFonts w:ascii="Times New Roman" w:hAnsi="Times New Roman"/>
            <w:noProof/>
            <w:webHidden/>
          </w:rPr>
          <w:t>17</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3" w:history="1">
        <w:r w:rsidRPr="00DD27FA">
          <w:rPr>
            <w:rStyle w:val="Hyperlink"/>
            <w:rFonts w:ascii="Times New Roman" w:hAnsi="Times New Roman"/>
            <w:noProof/>
          </w:rPr>
          <w:t>5.2.</w:t>
        </w:r>
        <w:r w:rsidRPr="009E74BF">
          <w:rPr>
            <w:rFonts w:ascii="Calibri" w:hAnsi="Calibri"/>
            <w:smallCaps w:val="0"/>
            <w:noProof/>
            <w:sz w:val="22"/>
            <w:szCs w:val="22"/>
          </w:rPr>
          <w:tab/>
        </w:r>
        <w:r w:rsidRPr="00DD27FA">
          <w:rPr>
            <w:rStyle w:val="Hyperlink"/>
            <w:rFonts w:ascii="Times New Roman" w:hAnsi="Times New Roman"/>
            <w:noProof/>
          </w:rPr>
          <w:t>Vonkajšie havarijné plánovanie a pripravenosť</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_Toc320719733 \h </w:instrText>
        </w:r>
        <w:r>
          <w:rPr>
            <w:rFonts w:ascii="Times New Roman" w:hAnsi="Times New Roman"/>
            <w:noProof/>
            <w:webHidden/>
          </w:rPr>
          <w:fldChar w:fldCharType="separate"/>
        </w:r>
        <w:r w:rsidR="006E24EC">
          <w:rPr>
            <w:rFonts w:ascii="Times New Roman" w:hAnsi="Times New Roman"/>
            <w:noProof/>
            <w:webHidden/>
          </w:rPr>
          <w:t>17</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4" w:history="1">
        <w:r w:rsidRPr="00DD27FA">
          <w:rPr>
            <w:rStyle w:val="Hyperlink"/>
            <w:rFonts w:ascii="Times New Roman" w:hAnsi="Times New Roman"/>
            <w:noProof/>
          </w:rPr>
          <w:t>5.3.</w:t>
        </w:r>
        <w:r w:rsidRPr="009E74BF">
          <w:rPr>
            <w:rFonts w:ascii="Calibri" w:hAnsi="Calibri"/>
            <w:smallCaps w:val="0"/>
            <w:noProof/>
            <w:sz w:val="22"/>
            <w:szCs w:val="22"/>
          </w:rPr>
          <w:tab/>
        </w:r>
        <w:r w:rsidRPr="00DD27FA">
          <w:rPr>
            <w:rStyle w:val="Hyperlink"/>
            <w:rFonts w:ascii="Times New Roman" w:hAnsi="Times New Roman"/>
            <w:noProof/>
          </w:rPr>
          <w:t>Inšpekcie v oblasti havarijného plánovania a pripravenosti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_Toc320719734 \h </w:instrText>
        </w:r>
        <w:r>
          <w:rPr>
            <w:rFonts w:ascii="Times New Roman" w:hAnsi="Times New Roman"/>
            <w:noProof/>
            <w:webHidden/>
          </w:rPr>
          <w:fldChar w:fldCharType="separate"/>
        </w:r>
        <w:r w:rsidR="006E24EC">
          <w:rPr>
            <w:rFonts w:ascii="Times New Roman" w:hAnsi="Times New Roman"/>
            <w:noProof/>
            <w:webHidden/>
          </w:rPr>
          <w:t>18</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5" w:history="1">
        <w:r w:rsidRPr="00DD27FA">
          <w:rPr>
            <w:rStyle w:val="Hyperlink"/>
            <w:rFonts w:ascii="Times New Roman" w:hAnsi="Times New Roman"/>
            <w:noProof/>
          </w:rPr>
          <w:t>5.4.</w:t>
        </w:r>
        <w:r w:rsidRPr="009E74BF">
          <w:rPr>
            <w:rFonts w:ascii="Calibri" w:hAnsi="Calibri"/>
            <w:smallCaps w:val="0"/>
            <w:noProof/>
            <w:sz w:val="22"/>
            <w:szCs w:val="22"/>
          </w:rPr>
          <w:tab/>
        </w:r>
        <w:r w:rsidRPr="00DD27FA">
          <w:rPr>
            <w:rStyle w:val="Hyperlink"/>
            <w:rFonts w:ascii="Times New Roman" w:hAnsi="Times New Roman"/>
            <w:noProof/>
          </w:rPr>
          <w:t>Medzinárodné cvičenia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_Toc320719735 \h </w:instrText>
        </w:r>
        <w:r>
          <w:rPr>
            <w:rFonts w:ascii="Times New Roman" w:hAnsi="Times New Roman"/>
            <w:noProof/>
            <w:webHidden/>
          </w:rPr>
          <w:fldChar w:fldCharType="separate"/>
        </w:r>
        <w:r w:rsidR="006E24EC">
          <w:rPr>
            <w:rFonts w:ascii="Times New Roman" w:hAnsi="Times New Roman"/>
            <w:noProof/>
            <w:webHidden/>
          </w:rPr>
          <w:t>18</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6" w:history="1">
        <w:r w:rsidRPr="00DD27FA">
          <w:rPr>
            <w:rStyle w:val="Hyperlink"/>
            <w:rFonts w:ascii="Times New Roman" w:hAnsi="Times New Roman"/>
            <w:noProof/>
          </w:rPr>
          <w:t>5.5.</w:t>
        </w:r>
        <w:r w:rsidRPr="009E74BF">
          <w:rPr>
            <w:rFonts w:ascii="Calibri" w:hAnsi="Calibri"/>
            <w:smallCaps w:val="0"/>
            <w:noProof/>
            <w:sz w:val="22"/>
            <w:szCs w:val="22"/>
          </w:rPr>
          <w:tab/>
        </w:r>
        <w:r w:rsidRPr="00DD27FA">
          <w:rPr>
            <w:rStyle w:val="Hyperlink"/>
            <w:rFonts w:ascii="Times New Roman" w:hAnsi="Times New Roman"/>
            <w:noProof/>
          </w:rPr>
          <w:t>Odozva na haváriu v AE Fukušima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_Toc320719736 \h </w:instrText>
        </w:r>
        <w:r>
          <w:rPr>
            <w:rFonts w:ascii="Times New Roman" w:hAnsi="Times New Roman"/>
            <w:noProof/>
            <w:webHidden/>
          </w:rPr>
          <w:fldChar w:fldCharType="separate"/>
        </w:r>
        <w:r w:rsidR="006E24EC">
          <w:rPr>
            <w:rFonts w:ascii="Times New Roman" w:hAnsi="Times New Roman"/>
            <w:noProof/>
            <w:webHidden/>
          </w:rPr>
          <w:t>18</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37" w:history="1">
        <w:r w:rsidRPr="00DD27FA">
          <w:rPr>
            <w:rStyle w:val="Hyperlink"/>
            <w:rFonts w:ascii="Times New Roman" w:hAnsi="Times New Roman"/>
            <w:noProof/>
          </w:rPr>
          <w:t>6.</w:t>
        </w:r>
        <w:r w:rsidRPr="009E74BF">
          <w:rPr>
            <w:rFonts w:ascii="Calibri" w:hAnsi="Calibri"/>
            <w:b w:val="0"/>
            <w:caps w:val="0"/>
            <w:noProof/>
            <w:sz w:val="22"/>
            <w:szCs w:val="22"/>
          </w:rPr>
          <w:tab/>
        </w:r>
        <w:r w:rsidRPr="00DD27FA">
          <w:rPr>
            <w:rStyle w:val="Hyperlink"/>
            <w:rFonts w:ascii="Times New Roman" w:hAnsi="Times New Roman"/>
            <w:noProof/>
          </w:rPr>
          <w:t>Medzinárodné aktivity</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_Toc320719737 \h </w:instrText>
        </w:r>
        <w:r>
          <w:rPr>
            <w:rFonts w:ascii="Times New Roman" w:hAnsi="Times New Roman"/>
            <w:noProof/>
            <w:webHidden/>
          </w:rPr>
          <w:fldChar w:fldCharType="separate"/>
        </w:r>
        <w:r w:rsidR="006E24EC">
          <w:rPr>
            <w:rFonts w:ascii="Times New Roman" w:hAnsi="Times New Roman"/>
            <w:noProof/>
            <w:webHidden/>
          </w:rPr>
          <w:t>18</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8" w:history="1">
        <w:r w:rsidRPr="00DD27FA">
          <w:rPr>
            <w:rStyle w:val="Hyperlink"/>
            <w:rFonts w:ascii="Times New Roman" w:hAnsi="Times New Roman"/>
            <w:noProof/>
          </w:rPr>
          <w:t>6.1.</w:t>
        </w:r>
        <w:r w:rsidRPr="009E74BF">
          <w:rPr>
            <w:rFonts w:ascii="Calibri" w:hAnsi="Calibri"/>
            <w:smallCaps w:val="0"/>
            <w:noProof/>
            <w:sz w:val="22"/>
            <w:szCs w:val="22"/>
          </w:rPr>
          <w:tab/>
        </w:r>
        <w:r w:rsidRPr="00DD27FA">
          <w:rPr>
            <w:rStyle w:val="Hyperlink"/>
            <w:rFonts w:ascii="Times New Roman" w:hAnsi="Times New Roman"/>
            <w:noProof/>
          </w:rPr>
          <w:t>Európske záležitosti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_Toc320719738 \h </w:instrText>
        </w:r>
        <w:r>
          <w:rPr>
            <w:rFonts w:ascii="Times New Roman" w:hAnsi="Times New Roman"/>
            <w:noProof/>
            <w:webHidden/>
          </w:rPr>
          <w:fldChar w:fldCharType="separate"/>
        </w:r>
        <w:r w:rsidR="006E24EC">
          <w:rPr>
            <w:rFonts w:ascii="Times New Roman" w:hAnsi="Times New Roman"/>
            <w:noProof/>
            <w:webHidden/>
          </w:rPr>
          <w:t>18</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39" w:history="1">
        <w:r w:rsidRPr="00DD27FA">
          <w:rPr>
            <w:rStyle w:val="Hyperlink"/>
            <w:rFonts w:ascii="Times New Roman" w:hAnsi="Times New Roman"/>
            <w:noProof/>
          </w:rPr>
          <w:t>6.2.</w:t>
        </w:r>
        <w:r w:rsidRPr="009E74BF">
          <w:rPr>
            <w:rFonts w:ascii="Calibri" w:hAnsi="Calibri"/>
            <w:smallCaps w:val="0"/>
            <w:noProof/>
            <w:sz w:val="22"/>
            <w:szCs w:val="22"/>
          </w:rPr>
          <w:tab/>
        </w:r>
        <w:r w:rsidRPr="00DD27FA">
          <w:rPr>
            <w:rStyle w:val="Hyperlink"/>
            <w:rFonts w:ascii="Times New Roman" w:hAnsi="Times New Roman"/>
            <w:bCs/>
            <w:noProof/>
          </w:rPr>
          <w:t>Členstvo a spolupráca s medzinárodnými organizáciami</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_Toc320719739 \h </w:instrText>
        </w:r>
        <w:r>
          <w:rPr>
            <w:rFonts w:ascii="Times New Roman" w:hAnsi="Times New Roman"/>
            <w:noProof/>
            <w:webHidden/>
          </w:rPr>
          <w:fldChar w:fldCharType="separate"/>
        </w:r>
        <w:r w:rsidR="006E24EC">
          <w:rPr>
            <w:rFonts w:ascii="Times New Roman" w:hAnsi="Times New Roman"/>
            <w:noProof/>
            <w:webHidden/>
          </w:rPr>
          <w:t>20</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40" w:history="1">
        <w:r w:rsidRPr="00DD27FA">
          <w:rPr>
            <w:rStyle w:val="Hyperlink"/>
            <w:rFonts w:ascii="Times New Roman" w:hAnsi="Times New Roman"/>
            <w:noProof/>
          </w:rPr>
          <w:t>6.3.</w:t>
        </w:r>
        <w:r w:rsidRPr="009E74BF">
          <w:rPr>
            <w:rFonts w:ascii="Calibri" w:hAnsi="Calibri"/>
            <w:smallCaps w:val="0"/>
            <w:noProof/>
            <w:sz w:val="22"/>
            <w:szCs w:val="22"/>
          </w:rPr>
          <w:tab/>
        </w:r>
        <w:r w:rsidRPr="00DD27FA">
          <w:rPr>
            <w:rStyle w:val="Hyperlink"/>
            <w:rFonts w:ascii="Times New Roman" w:hAnsi="Times New Roman"/>
            <w:bCs/>
            <w:noProof/>
          </w:rPr>
          <w:t>Plnenie záväzkov vyplývajúcich z medzinárodných zmluvných dokumentov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_Toc320719740 \h </w:instrText>
        </w:r>
        <w:r>
          <w:rPr>
            <w:rFonts w:ascii="Times New Roman" w:hAnsi="Times New Roman"/>
            <w:noProof/>
            <w:webHidden/>
          </w:rPr>
          <w:fldChar w:fldCharType="separate"/>
        </w:r>
        <w:r w:rsidR="006E24EC">
          <w:rPr>
            <w:rFonts w:ascii="Times New Roman" w:hAnsi="Times New Roman"/>
            <w:noProof/>
            <w:webHidden/>
          </w:rPr>
          <w:t>22</w:t>
        </w:r>
        <w:r>
          <w:rPr>
            <w:rFonts w:ascii="Times New Roman" w:hAnsi="Times New Roman"/>
            <w:noProof/>
            <w:webHidden/>
          </w:rPr>
          <w:fldChar w:fldCharType="end"/>
        </w:r>
      </w:hyperlink>
    </w:p>
    <w:p w:rsidR="00EE50DE" w:rsidRPr="009E74BF">
      <w:pPr>
        <w:pStyle w:val="TOC2"/>
        <w:tabs>
          <w:tab w:val="left" w:pos="960"/>
          <w:tab w:val="right" w:leader="dot" w:pos="9060"/>
        </w:tabs>
        <w:bidi w:val="0"/>
        <w:rPr>
          <w:rFonts w:ascii="Calibri" w:hAnsi="Calibri"/>
          <w:smallCaps w:val="0"/>
          <w:noProof/>
          <w:sz w:val="22"/>
          <w:szCs w:val="22"/>
        </w:rPr>
      </w:pPr>
      <w:hyperlink w:anchor="_Toc320719741" w:history="1">
        <w:r w:rsidRPr="00DD27FA">
          <w:rPr>
            <w:rStyle w:val="Hyperlink"/>
            <w:rFonts w:ascii="Times New Roman" w:hAnsi="Times New Roman"/>
            <w:noProof/>
          </w:rPr>
          <w:t>6.4.</w:t>
        </w:r>
        <w:r w:rsidRPr="009E74BF">
          <w:rPr>
            <w:rFonts w:ascii="Calibri" w:hAnsi="Calibri"/>
            <w:smallCaps w:val="0"/>
            <w:noProof/>
            <w:sz w:val="22"/>
            <w:szCs w:val="22"/>
          </w:rPr>
          <w:tab/>
        </w:r>
        <w:r w:rsidRPr="00DD27FA">
          <w:rPr>
            <w:rStyle w:val="Hyperlink"/>
            <w:rFonts w:ascii="Times New Roman" w:hAnsi="Times New Roman"/>
            <w:noProof/>
          </w:rPr>
          <w:t>Bilaterálna spolupráca</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_Toc320719741 \h </w:instrText>
        </w:r>
        <w:r>
          <w:rPr>
            <w:rFonts w:ascii="Times New Roman" w:hAnsi="Times New Roman"/>
            <w:noProof/>
            <w:webHidden/>
          </w:rPr>
          <w:fldChar w:fldCharType="separate"/>
        </w:r>
        <w:r w:rsidR="006E24EC">
          <w:rPr>
            <w:rFonts w:ascii="Times New Roman" w:hAnsi="Times New Roman"/>
            <w:noProof/>
            <w:webHidden/>
          </w:rPr>
          <w:t>22</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42" w:history="1">
        <w:r w:rsidRPr="00DD27FA">
          <w:rPr>
            <w:rStyle w:val="Hyperlink"/>
            <w:rFonts w:ascii="Times New Roman" w:hAnsi="Times New Roman"/>
            <w:noProof/>
          </w:rPr>
          <w:t>7.</w:t>
        </w:r>
        <w:r w:rsidRPr="009E74BF">
          <w:rPr>
            <w:rFonts w:ascii="Calibri" w:hAnsi="Calibri"/>
            <w:b w:val="0"/>
            <w:caps w:val="0"/>
            <w:noProof/>
            <w:sz w:val="22"/>
            <w:szCs w:val="22"/>
          </w:rPr>
          <w:tab/>
        </w:r>
        <w:r w:rsidRPr="00DD27FA">
          <w:rPr>
            <w:rStyle w:val="Hyperlink"/>
            <w:rFonts w:ascii="Times New Roman" w:hAnsi="Times New Roman"/>
            <w:noProof/>
          </w:rPr>
          <w:t>Komunikácia s verejnosťou</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_Toc320719742 \h </w:instrText>
        </w:r>
        <w:r>
          <w:rPr>
            <w:rFonts w:ascii="Times New Roman" w:hAnsi="Times New Roman"/>
            <w:noProof/>
            <w:webHidden/>
          </w:rPr>
          <w:fldChar w:fldCharType="separate"/>
        </w:r>
        <w:r w:rsidR="006E24EC">
          <w:rPr>
            <w:rFonts w:ascii="Times New Roman" w:hAnsi="Times New Roman"/>
            <w:noProof/>
            <w:webHidden/>
          </w:rPr>
          <w:t>23</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43" w:history="1">
        <w:r w:rsidRPr="00DD27FA">
          <w:rPr>
            <w:rStyle w:val="Hyperlink"/>
            <w:rFonts w:ascii="Times New Roman" w:hAnsi="Times New Roman"/>
            <w:noProof/>
          </w:rPr>
          <w:t>8.</w:t>
        </w:r>
        <w:r w:rsidRPr="009E74BF">
          <w:rPr>
            <w:rFonts w:ascii="Calibri" w:hAnsi="Calibri"/>
            <w:b w:val="0"/>
            <w:caps w:val="0"/>
            <w:noProof/>
            <w:sz w:val="22"/>
            <w:szCs w:val="22"/>
          </w:rPr>
          <w:tab/>
        </w:r>
        <w:r w:rsidRPr="00DD27FA">
          <w:rPr>
            <w:rStyle w:val="Hyperlink"/>
            <w:rFonts w:ascii="Times New Roman" w:hAnsi="Times New Roman"/>
            <w:noProof/>
          </w:rPr>
          <w:t>Ekonomické údaje</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_Toc320719743 \h </w:instrText>
        </w:r>
        <w:r>
          <w:rPr>
            <w:rFonts w:ascii="Times New Roman" w:hAnsi="Times New Roman"/>
            <w:noProof/>
            <w:webHidden/>
          </w:rPr>
          <w:fldChar w:fldCharType="separate"/>
        </w:r>
        <w:r w:rsidR="006E24EC">
          <w:rPr>
            <w:rFonts w:ascii="Times New Roman" w:hAnsi="Times New Roman"/>
            <w:noProof/>
            <w:webHidden/>
          </w:rPr>
          <w:t>24</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44" w:history="1">
        <w:r w:rsidRPr="00DD27FA">
          <w:rPr>
            <w:rStyle w:val="Hyperlink"/>
            <w:rFonts w:ascii="Times New Roman" w:hAnsi="Times New Roman"/>
            <w:noProof/>
          </w:rPr>
          <w:t>9.</w:t>
        </w:r>
        <w:r w:rsidRPr="009E74BF">
          <w:rPr>
            <w:rFonts w:ascii="Calibri" w:hAnsi="Calibri"/>
            <w:b w:val="0"/>
            <w:caps w:val="0"/>
            <w:noProof/>
            <w:sz w:val="22"/>
            <w:szCs w:val="22"/>
          </w:rPr>
          <w:tab/>
        </w:r>
        <w:r w:rsidRPr="00DD27FA">
          <w:rPr>
            <w:rStyle w:val="Hyperlink"/>
            <w:rFonts w:ascii="Times New Roman" w:hAnsi="Times New Roman"/>
            <w:noProof/>
          </w:rPr>
          <w:t>Riadenie ľudských zdrojov a  vzdelávanie zamestnancov</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_Toc320719744 \h </w:instrText>
        </w:r>
        <w:r>
          <w:rPr>
            <w:rFonts w:ascii="Times New Roman" w:hAnsi="Times New Roman"/>
            <w:noProof/>
            <w:webHidden/>
          </w:rPr>
          <w:fldChar w:fldCharType="separate"/>
        </w:r>
        <w:r w:rsidR="006E24EC">
          <w:rPr>
            <w:rFonts w:ascii="Times New Roman" w:hAnsi="Times New Roman"/>
            <w:noProof/>
            <w:webHidden/>
          </w:rPr>
          <w:t>27</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45" w:history="1">
        <w:r w:rsidRPr="00DD27FA">
          <w:rPr>
            <w:rStyle w:val="Hyperlink"/>
            <w:rFonts w:ascii="Times New Roman" w:hAnsi="Times New Roman"/>
            <w:noProof/>
          </w:rPr>
          <w:t>10.</w:t>
        </w:r>
        <w:r w:rsidRPr="009E74BF">
          <w:rPr>
            <w:rFonts w:ascii="Calibri" w:hAnsi="Calibri"/>
            <w:b w:val="0"/>
            <w:caps w:val="0"/>
            <w:noProof/>
            <w:sz w:val="22"/>
            <w:szCs w:val="22"/>
          </w:rPr>
          <w:tab/>
        </w:r>
        <w:r w:rsidRPr="00DD27FA">
          <w:rPr>
            <w:rStyle w:val="Hyperlink"/>
            <w:rFonts w:ascii="Times New Roman" w:hAnsi="Times New Roman"/>
            <w:noProof/>
          </w:rPr>
          <w:t>ROZVOJ DOZORNÝCH ČINNOSTÍ</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_Toc320719745 \h </w:instrText>
        </w:r>
        <w:r>
          <w:rPr>
            <w:rFonts w:ascii="Times New Roman" w:hAnsi="Times New Roman"/>
            <w:noProof/>
            <w:webHidden/>
          </w:rPr>
          <w:fldChar w:fldCharType="separate"/>
        </w:r>
        <w:r w:rsidR="006E24EC">
          <w:rPr>
            <w:rFonts w:ascii="Times New Roman" w:hAnsi="Times New Roman"/>
            <w:noProof/>
            <w:webHidden/>
          </w:rPr>
          <w:t>28</w:t>
        </w:r>
        <w:r>
          <w:rPr>
            <w:rFonts w:ascii="Times New Roman" w:hAnsi="Times New Roman"/>
            <w:noProof/>
            <w:webHidden/>
          </w:rPr>
          <w:fldChar w:fldCharType="end"/>
        </w:r>
      </w:hyperlink>
    </w:p>
    <w:p w:rsidR="00EE50DE" w:rsidRPr="009E74BF">
      <w:pPr>
        <w:pStyle w:val="TOC1"/>
        <w:bidi w:val="0"/>
        <w:rPr>
          <w:rFonts w:ascii="Calibri" w:hAnsi="Calibri"/>
          <w:b w:val="0"/>
          <w:caps w:val="0"/>
          <w:noProof/>
          <w:sz w:val="22"/>
          <w:szCs w:val="22"/>
        </w:rPr>
      </w:pPr>
      <w:hyperlink w:anchor="_Toc320719746" w:history="1">
        <w:r w:rsidRPr="00DD27FA">
          <w:rPr>
            <w:rStyle w:val="Hyperlink"/>
            <w:rFonts w:ascii="Times New Roman" w:hAnsi="Times New Roman"/>
            <w:noProof/>
          </w:rPr>
          <w:t>11.</w:t>
        </w:r>
        <w:r w:rsidRPr="009E74BF">
          <w:rPr>
            <w:rFonts w:ascii="Calibri" w:hAnsi="Calibri"/>
            <w:b w:val="0"/>
            <w:caps w:val="0"/>
            <w:noProof/>
            <w:sz w:val="22"/>
            <w:szCs w:val="22"/>
          </w:rPr>
          <w:tab/>
        </w:r>
        <w:r w:rsidRPr="00DD27FA">
          <w:rPr>
            <w:rStyle w:val="Hyperlink"/>
            <w:rFonts w:ascii="Times New Roman" w:hAnsi="Times New Roman"/>
            <w:noProof/>
          </w:rPr>
          <w:t>systém manažérstva kvality ÚJD SR</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_Toc320719746 \h </w:instrText>
        </w:r>
        <w:r>
          <w:rPr>
            <w:rFonts w:ascii="Times New Roman" w:hAnsi="Times New Roman"/>
            <w:noProof/>
            <w:webHidden/>
          </w:rPr>
          <w:fldChar w:fldCharType="separate"/>
        </w:r>
        <w:r w:rsidR="006E24EC">
          <w:rPr>
            <w:rFonts w:ascii="Times New Roman" w:hAnsi="Times New Roman"/>
            <w:noProof/>
            <w:webHidden/>
          </w:rPr>
          <w:t>29</w:t>
        </w:r>
        <w:r>
          <w:rPr>
            <w:rFonts w:ascii="Times New Roman" w:hAnsi="Times New Roman"/>
            <w:noProof/>
            <w:webHidden/>
          </w:rPr>
          <w:fldChar w:fldCharType="end"/>
        </w:r>
      </w:hyperlink>
    </w:p>
    <w:p w:rsidR="00E00EC8" w:rsidP="00E00EC8">
      <w:pPr>
        <w:bidi w:val="0"/>
        <w:rPr>
          <w:rFonts w:ascii="Arial" w:hAnsi="Arial"/>
          <w:b/>
          <w:bCs/>
          <w:i/>
          <w:iCs/>
          <w:caps/>
          <w:szCs w:val="26"/>
          <w:u w:val="single"/>
        </w:rPr>
      </w:pPr>
      <w:r>
        <w:rPr>
          <w:rFonts w:ascii="Arial" w:hAnsi="Arial"/>
          <w:bCs/>
          <w:i/>
          <w:iCs/>
          <w:szCs w:val="26"/>
          <w:u w:val="single"/>
        </w:rPr>
        <w:fldChar w:fldCharType="end"/>
      </w:r>
    </w:p>
    <w:p w:rsidR="00E00EC8" w:rsidP="00E00EC8">
      <w:pPr>
        <w:bidi w:val="0"/>
        <w:rPr>
          <w:rFonts w:ascii="Arial" w:hAnsi="Arial"/>
          <w:b/>
          <w:bCs/>
          <w:i/>
          <w:iCs/>
          <w:caps/>
          <w:szCs w:val="26"/>
          <w:u w:val="single"/>
        </w:rPr>
      </w:pPr>
    </w:p>
    <w:p w:rsidR="00E00EC8" w:rsidP="00E00EC8">
      <w:pPr>
        <w:bidi w:val="0"/>
        <w:rPr>
          <w:rFonts w:ascii="Arial" w:hAnsi="Arial"/>
          <w:b/>
          <w:bCs/>
          <w:i/>
          <w:iCs/>
          <w:caps/>
          <w:szCs w:val="26"/>
          <w:u w:val="single"/>
        </w:rPr>
      </w:pPr>
    </w:p>
    <w:p w:rsidR="00990F7A" w:rsidRPr="001851C6" w:rsidP="00717510">
      <w:pPr>
        <w:bidi w:val="0"/>
        <w:jc w:val="both"/>
        <w:rPr>
          <w:rFonts w:ascii="Times New Roman" w:hAnsi="Times New Roman"/>
          <w:b/>
          <w:i/>
          <w:color w:val="333333"/>
          <w:szCs w:val="24"/>
        </w:rPr>
      </w:pPr>
    </w:p>
    <w:sectPr w:rsidSect="00AC1090">
      <w:footerReference w:type="even" r:id="rId7"/>
      <w:footerReference w:type="default" r:id="rId8"/>
      <w:headerReference w:type="first" r:id="rId9"/>
      <w:pgSz w:w="11906" w:h="16838" w:code="9"/>
      <w:pgMar w:top="1418" w:right="1418" w:bottom="1276" w:left="1418" w:header="709" w:footer="709" w:gutter="0"/>
      <w:lnNumType w:distance="0"/>
      <w:pgNumType w:start="1"/>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Tms Rmn">
    <w:altName w:val="Times New Roman"/>
    <w:panose1 w:val="02020603040505020304"/>
    <w:charset w:val="00"/>
    <w:family w:val="roman"/>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yriadPro-Light">
    <w:panose1 w:val="00000000000000000000"/>
    <w:charset w:val="EE"/>
    <w:family w:val="auto"/>
    <w:pitch w:val="default"/>
    <w:sig w:usb0="00000000" w:usb1="00000000" w:usb2="00000000" w:usb3="00000000" w:csb0="00000002"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33</w:t>
    </w:r>
    <w:r>
      <w:rPr>
        <w:rStyle w:val="PageNumber"/>
        <w:rFonts w:ascii="Times New Roman" w:hAnsi="Times New Roman"/>
      </w:rPr>
      <w:fldChar w:fldCharType="end"/>
    </w:r>
  </w:p>
  <w:p w:rsidR="00ED72FC">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FC">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B07CA">
      <w:rPr>
        <w:rStyle w:val="PageNumber"/>
        <w:rFonts w:ascii="Times New Roman" w:hAnsi="Times New Roman"/>
        <w:noProof/>
      </w:rPr>
      <w:t>1</w:t>
    </w:r>
    <w:r>
      <w:rPr>
        <w:rStyle w:val="PageNumber"/>
        <w:rFonts w:ascii="Times New Roman" w:hAnsi="Times New Roman"/>
      </w:rPr>
      <w:fldChar w:fldCharType="end"/>
    </w:r>
  </w:p>
  <w:p w:rsidR="00ED72FC">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2FC">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8E67CD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8"/>
    <w:multiLevelType w:val="singleLevel"/>
    <w:tmpl w:val="FBA0E1E4"/>
    <w:lvl w:ilvl="0">
      <w:start w:val="1"/>
      <w:numFmt w:val="decimal"/>
      <w:pStyle w:val="ListNumber"/>
      <w:lvlText w:val="%1."/>
      <w:lvlJc w:val="left"/>
      <w:pPr>
        <w:tabs>
          <w:tab w:val="num" w:pos="360"/>
        </w:tabs>
        <w:ind w:left="360" w:hanging="360"/>
      </w:pPr>
      <w:rPr>
        <w:rFonts w:cs="Times New Roman"/>
        <w:rtl w:val="0"/>
        <w:cs w:val="0"/>
      </w:rPr>
    </w:lvl>
  </w:abstractNum>
  <w:abstractNum w:abstractNumId="2">
    <w:nsid w:val="10682292"/>
    <w:multiLevelType w:val="hybridMultilevel"/>
    <w:tmpl w:val="E214A4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57E3446"/>
    <w:multiLevelType w:val="singleLevel"/>
    <w:tmpl w:val="230E3F2C"/>
    <w:lvl w:ilvl="0">
      <w:start w:val="1"/>
      <w:numFmt w:val="decimal"/>
      <w:pStyle w:val="Strong"/>
      <w:lvlText w:val="(%1)"/>
      <w:lvlJc w:val="left"/>
      <w:pPr>
        <w:tabs>
          <w:tab w:val="num" w:pos="567"/>
        </w:tabs>
        <w:ind w:left="567" w:hanging="567"/>
      </w:pPr>
      <w:rPr>
        <w:rFonts w:cs="Times New Roman"/>
        <w:b w:val="0"/>
        <w:i w:val="0"/>
        <w:caps w:val="0"/>
        <w:strike w:val="0"/>
        <w:dstrike w:val="0"/>
        <w:shadow w:val="0"/>
        <w:emboss w:val="0"/>
        <w:imprint w:val="0"/>
        <w:vanish w:val="0"/>
        <w:color w:val="auto"/>
        <w:effect w:val="none"/>
        <w:vertAlign w:val="baseline"/>
        <w:rtl w:val="0"/>
        <w:cs w:val="0"/>
      </w:rPr>
    </w:lvl>
  </w:abstractNum>
  <w:abstractNum w:abstractNumId="4">
    <w:nsid w:val="202F6545"/>
    <w:multiLevelType w:val="hybridMultilevel"/>
    <w:tmpl w:val="441E8542"/>
    <w:lvl w:ilvl="0">
      <w:start w:val="1"/>
      <w:numFmt w:val="lowerLetter"/>
      <w:pStyle w:val="Odrkazkladnhotextu"/>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A757F83"/>
    <w:multiLevelType w:val="multilevel"/>
    <w:tmpl w:val="D6F0443E"/>
    <w:lvl w:ilvl="0">
      <w:start w:val="0"/>
      <w:numFmt w:val="none"/>
      <w:suff w:val="nothing"/>
      <w:lvlJc w:val="left"/>
      <w:rPr>
        <w:rFonts w:cs="Times New Roman" w:hint="default"/>
        <w:rtl w:val="0"/>
        <w:cs w:val="0"/>
      </w:rPr>
    </w:lvl>
    <w:lvl w:ilvl="1">
      <w:start w:val="3"/>
      <w:numFmt w:val="decimal"/>
      <w:lvlText w:val="%1%2."/>
      <w:lvlJc w:val="left"/>
      <w:pPr>
        <w:tabs>
          <w:tab w:val="num" w:pos="851"/>
        </w:tabs>
        <w:ind w:left="851" w:hanging="851"/>
      </w:pPr>
      <w:rPr>
        <w:rFonts w:cs="Times New Roman" w:hint="default"/>
        <w:rtl w:val="0"/>
        <w:cs w:val="0"/>
      </w:rPr>
    </w:lvl>
    <w:lvl w:ilvl="2">
      <w:start w:val="1"/>
      <w:numFmt w:val="decimal"/>
      <w:lvlText w:val="%1%2.%3"/>
      <w:lvlJc w:val="left"/>
      <w:pPr>
        <w:tabs>
          <w:tab w:val="num" w:pos="720"/>
        </w:tabs>
      </w:pPr>
      <w:rPr>
        <w:rFonts w:cs="Times New Roman" w:hint="default"/>
        <w:rtl w:val="0"/>
        <w:cs w:val="0"/>
      </w:rPr>
    </w:lvl>
    <w:lvl w:ilvl="3">
      <w:start w:val="1"/>
      <w:numFmt w:val="decimal"/>
      <w:lvlText w:val="%1%2.%3.%4."/>
      <w:lvlJc w:val="left"/>
      <w:pPr>
        <w:tabs>
          <w:tab w:val="num" w:pos="1080"/>
        </w:tabs>
        <w:ind w:left="851" w:hanging="851"/>
      </w:pPr>
      <w:rPr>
        <w:rFonts w:cs="Times New Roman" w:hint="default"/>
        <w:rtl w:val="0"/>
        <w:cs w:val="0"/>
      </w:rPr>
    </w:lvl>
    <w:lvl w:ilvl="4">
      <w:start w:val="1"/>
      <w:numFmt w:val="none"/>
      <w:suff w:val="nothing"/>
      <w:lvlJc w:val="left"/>
      <w:rPr>
        <w:rFonts w:cs="Times New Roman" w:hint="default"/>
        <w:rtl w:val="0"/>
        <w:cs w:val="0"/>
      </w:rPr>
    </w:lvl>
    <w:lvl w:ilvl="5">
      <w:start w:val="1"/>
      <w:numFmt w:val="none"/>
      <w:suff w:val="nothing"/>
      <w:lvlJc w:val="left"/>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6">
    <w:nsid w:val="2FA20976"/>
    <w:multiLevelType w:val="multilevel"/>
    <w:tmpl w:val="F8429E98"/>
    <w:lvl w:ilvl="0">
      <w:start w:val="1"/>
      <w:numFmt w:val="decimal"/>
      <w:pStyle w:val="Heading1"/>
      <w:lvlText w:val="%1."/>
      <w:lvlJc w:val="left"/>
      <w:pPr>
        <w:tabs>
          <w:tab w:val="num" w:pos="5747"/>
        </w:tabs>
        <w:ind w:left="5747" w:hanging="360"/>
      </w:pPr>
      <w:rPr>
        <w:rFonts w:cs="Times New Roman" w:hint="default"/>
        <w:b/>
        <w:i w:val="0"/>
        <w:sz w:val="28"/>
        <w:szCs w:val="28"/>
        <w:rtl w:val="0"/>
        <w:cs w:val="0"/>
      </w:rPr>
    </w:lvl>
    <w:lvl w:ilvl="1">
      <w:start w:val="1"/>
      <w:numFmt w:val="decimal"/>
      <w:pStyle w:val="Heading2"/>
      <w:lvlText w:val="%1.%2."/>
      <w:lvlJc w:val="left"/>
      <w:pPr>
        <w:tabs>
          <w:tab w:val="num" w:pos="414"/>
        </w:tabs>
        <w:ind w:left="414" w:hanging="414"/>
      </w:pPr>
      <w:rPr>
        <w:rFonts w:ascii="Times New Roman" w:hAnsi="Times New Roman" w:cs="Times New Roman"/>
        <w:b w:val="0"/>
        <w:bCs w:val="0"/>
        <w:i w:val="0"/>
        <w:iCs w:val="0"/>
        <w:caps w:val="0"/>
        <w:smallCaps w:val="0"/>
        <w:strike w:val="0"/>
        <w:dstrike w:val="0"/>
        <w:outline w:val="0"/>
        <w:shadow w:val="0"/>
        <w:emboss w:val="0"/>
        <w:imprint w:val="0"/>
        <w:noProof/>
        <w:vanish w:val="0"/>
        <w:color w:val="auto"/>
        <w:spacing w:val="0"/>
        <w:w w:val="100"/>
        <w:kern w:val="0"/>
        <w:position w:val="0"/>
        <w:sz w:val="24"/>
        <w:szCs w:val="20"/>
        <w:u w:val="none" w:color="auto"/>
        <w:effect w:val="none"/>
        <w:vertAlign w:val="baseline"/>
        <w:rtl w:val="0"/>
        <w:cs w:val="0"/>
        <w:lang w:val="sk-SK" w:eastAsia="sk-SK" w:bidi="ar-SA"/>
      </w:rPr>
    </w:lvl>
    <w:lvl w:ilvl="2">
      <w:start w:val="1"/>
      <w:numFmt w:val="decimal"/>
      <w:pStyle w:val="Heading3"/>
      <w:lvlText w:val="%1.%2.%3."/>
      <w:lvlJc w:val="left"/>
      <w:pPr>
        <w:tabs>
          <w:tab w:val="num" w:pos="1004"/>
        </w:tabs>
        <w:ind w:left="788" w:hanging="504"/>
      </w:pPr>
      <w:rPr>
        <w:rFonts w:ascii="Times New Roman" w:hAnsi="Times New Roman" w:cs="Times New Roman"/>
        <w:b w:val="0"/>
        <w:bCs w:val="0"/>
        <w:i w:val="0"/>
        <w:iCs w:val="0"/>
        <w:caps w:val="0"/>
        <w:smallCaps w:val="0"/>
        <w:strike w:val="0"/>
        <w:dstrike w:val="0"/>
        <w:outline w:val="0"/>
        <w:shadow w:val="0"/>
        <w:emboss w:val="0"/>
        <w:imprint w:val="0"/>
        <w:noProof/>
        <w:vanish w:val="0"/>
        <w:color w:val="auto"/>
        <w:spacing w:val="0"/>
        <w:w w:val="100"/>
        <w:kern w:val="0"/>
        <w:position w:val="0"/>
        <w:sz w:val="24"/>
        <w:szCs w:val="20"/>
        <w:u w:val="none" w:color="auto"/>
        <w:effect w:val="none"/>
        <w:vertAlign w:val="baseline"/>
        <w:rtl w:val="0"/>
        <w:cs w:val="0"/>
        <w:lang w:val="sk-SK" w:eastAsia="sk-SK" w:bidi="ar-SA"/>
      </w:rPr>
    </w:lvl>
    <w:lvl w:ilvl="3">
      <w:start w:val="1"/>
      <w:numFmt w:val="decimal"/>
      <w:pStyle w:val="Heading4"/>
      <w:lvlText w:val="%1.%2.%3.%4."/>
      <w:lvlJc w:val="left"/>
      <w:pPr>
        <w:tabs>
          <w:tab w:val="num" w:pos="1800"/>
        </w:tabs>
        <w:ind w:left="1368" w:hanging="648"/>
      </w:pPr>
      <w:rPr>
        <w:rFonts w:cs="Times New Roman" w:hint="default"/>
        <w:b/>
        <w:i w:val="0"/>
        <w:rtl w:val="0"/>
        <w:cs w:val="0"/>
      </w:rPr>
    </w:lvl>
    <w:lvl w:ilvl="4">
      <w:start w:val="1"/>
      <w:numFmt w:val="decimal"/>
      <w:lvlText w:val="%1.%2.%3.%4.%5."/>
      <w:lvlJc w:val="left"/>
      <w:pPr>
        <w:tabs>
          <w:tab w:val="num" w:pos="2160"/>
        </w:tabs>
        <w:ind w:left="1872" w:hanging="792"/>
      </w:pPr>
      <w:rPr>
        <w:rFonts w:cs="Times New Roman" w:hint="default"/>
        <w:rtl w:val="0"/>
        <w:cs w:val="0"/>
      </w:rPr>
    </w:lvl>
    <w:lvl w:ilvl="5">
      <w:start w:val="1"/>
      <w:numFmt w:val="decimal"/>
      <w:lvlText w:val="%1.%2.%3.%4.%5.%6."/>
      <w:lvlJc w:val="left"/>
      <w:pPr>
        <w:tabs>
          <w:tab w:val="num" w:pos="2520"/>
        </w:tabs>
        <w:ind w:left="2376" w:hanging="936"/>
      </w:pPr>
      <w:rPr>
        <w:rFonts w:cs="Times New Roman" w:hint="default"/>
        <w:rtl w:val="0"/>
        <w:cs w:val="0"/>
      </w:rPr>
    </w:lvl>
    <w:lvl w:ilvl="6">
      <w:start w:val="1"/>
      <w:numFmt w:val="decimal"/>
      <w:lvlText w:val="%1.%2.%3.%4.%5.%6.%7."/>
      <w:lvlJc w:val="left"/>
      <w:pPr>
        <w:tabs>
          <w:tab w:val="num" w:pos="3240"/>
        </w:tabs>
        <w:ind w:left="2880" w:hanging="1080"/>
      </w:pPr>
      <w:rPr>
        <w:rFonts w:cs="Times New Roman" w:hint="default"/>
        <w:rtl w:val="0"/>
        <w:cs w:val="0"/>
      </w:rPr>
    </w:lvl>
    <w:lvl w:ilvl="7">
      <w:start w:val="1"/>
      <w:numFmt w:val="decimal"/>
      <w:lvlText w:val="%1.%2.%3.%4.%5.%6.%7.%8."/>
      <w:lvlJc w:val="left"/>
      <w:pPr>
        <w:tabs>
          <w:tab w:val="num" w:pos="3600"/>
        </w:tabs>
        <w:ind w:left="3384" w:hanging="1224"/>
      </w:pPr>
      <w:rPr>
        <w:rFonts w:cs="Times New Roman" w:hint="default"/>
        <w:rtl w:val="0"/>
        <w:cs w:val="0"/>
      </w:rPr>
    </w:lvl>
    <w:lvl w:ilvl="8">
      <w:start w:val="1"/>
      <w:numFmt w:val="decimal"/>
      <w:lvlText w:val="%1.%2.%3.%4.%5.%6.%7.%8.%9."/>
      <w:lvlJc w:val="left"/>
      <w:pPr>
        <w:tabs>
          <w:tab w:val="num" w:pos="4320"/>
        </w:tabs>
        <w:ind w:left="3960" w:hanging="1440"/>
      </w:pPr>
      <w:rPr>
        <w:rFonts w:cs="Times New Roman" w:hint="default"/>
        <w:rtl w:val="0"/>
        <w:cs w:val="0"/>
      </w:rPr>
    </w:lvl>
  </w:abstractNum>
  <w:abstractNum w:abstractNumId="7">
    <w:nsid w:val="31704D1A"/>
    <w:multiLevelType w:val="hybridMultilevel"/>
    <w:tmpl w:val="64A0D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1B61403"/>
    <w:multiLevelType w:val="hybridMultilevel"/>
    <w:tmpl w:val="B6E05CA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3162DD0"/>
    <w:multiLevelType w:val="hybridMultilevel"/>
    <w:tmpl w:val="5AD2A16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nsid w:val="54E05A4B"/>
    <w:multiLevelType w:val="singleLevel"/>
    <w:tmpl w:val="04050003"/>
    <w:lvl w:ilvl="0">
      <w:start w:val="1"/>
      <w:numFmt w:val="bullet"/>
      <w:pStyle w:val="Todr"/>
      <w:lvlText w:val=""/>
      <w:lvlJc w:val="left"/>
      <w:pPr>
        <w:tabs>
          <w:tab w:val="num" w:pos="360"/>
        </w:tabs>
        <w:ind w:left="360" w:hanging="360"/>
      </w:pPr>
      <w:rPr>
        <w:rFonts w:ascii="Symbol" w:hAnsi="Symbol" w:hint="default"/>
      </w:rPr>
    </w:lvl>
  </w:abstractNum>
  <w:abstractNum w:abstractNumId="11">
    <w:nsid w:val="552E18F2"/>
    <w:multiLevelType w:val="hybridMultilevel"/>
    <w:tmpl w:val="7588812C"/>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3"/>
      <w:numFmt w:val="lowerLetter"/>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7FA77D43"/>
    <w:multiLevelType w:val="hybridMultilevel"/>
    <w:tmpl w:val="F9B4117E"/>
    <w:lvl w:ilvl="0">
      <w:start w:val="1"/>
      <w:numFmt w:val="lowerLetter"/>
      <w:lvlText w:val="%1)"/>
      <w:lvlJc w:val="left"/>
      <w:pPr>
        <w:ind w:left="360" w:hanging="360"/>
      </w:pPr>
      <w:rPr>
        <w:rFonts w:cs="Times New Roman" w:hint="default"/>
        <w:b/>
        <w:i/>
        <w:color w:val="auto"/>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3"/>
  </w:num>
  <w:num w:numId="2">
    <w:abstractNumId w:val="10"/>
  </w:num>
  <w:num w:numId="3">
    <w:abstractNumId w:val="0"/>
  </w:num>
  <w:num w:numId="4">
    <w:abstractNumId w:val="1"/>
  </w:num>
  <w:num w:numId="5">
    <w:abstractNumId w:val="5"/>
  </w:num>
  <w:num w:numId="6">
    <w:abstractNumId w:val="4"/>
  </w:num>
  <w:num w:numId="7">
    <w:abstractNumId w:val="6"/>
  </w:num>
  <w:num w:numId="8">
    <w:abstractNumId w:val="11"/>
  </w:num>
  <w:num w:numId="9">
    <w:abstractNumId w:val="2"/>
  </w:num>
  <w:num w:numId="10">
    <w:abstractNumId w:val="9"/>
  </w:num>
  <w:num w:numId="11">
    <w:abstractNumId w:val="8"/>
  </w:num>
  <w:num w:numId="12">
    <w:abstractNumId w:val="1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662879"/>
    <w:rsid w:val="0000091C"/>
    <w:rsid w:val="00000B13"/>
    <w:rsid w:val="00004408"/>
    <w:rsid w:val="000104F6"/>
    <w:rsid w:val="00011649"/>
    <w:rsid w:val="000169E4"/>
    <w:rsid w:val="0002614E"/>
    <w:rsid w:val="00026224"/>
    <w:rsid w:val="0003209F"/>
    <w:rsid w:val="00034D91"/>
    <w:rsid w:val="00041419"/>
    <w:rsid w:val="00042611"/>
    <w:rsid w:val="0004591B"/>
    <w:rsid w:val="00046B22"/>
    <w:rsid w:val="00056935"/>
    <w:rsid w:val="000579BD"/>
    <w:rsid w:val="00060376"/>
    <w:rsid w:val="000666AB"/>
    <w:rsid w:val="00070AAF"/>
    <w:rsid w:val="000817E6"/>
    <w:rsid w:val="00085A45"/>
    <w:rsid w:val="00085BF1"/>
    <w:rsid w:val="00087853"/>
    <w:rsid w:val="0009273D"/>
    <w:rsid w:val="00097B56"/>
    <w:rsid w:val="000B4909"/>
    <w:rsid w:val="000B4FDD"/>
    <w:rsid w:val="000B74BB"/>
    <w:rsid w:val="000C1E28"/>
    <w:rsid w:val="000C437D"/>
    <w:rsid w:val="000C7857"/>
    <w:rsid w:val="000D1309"/>
    <w:rsid w:val="000E641C"/>
    <w:rsid w:val="000F4674"/>
    <w:rsid w:val="0010120C"/>
    <w:rsid w:val="00104FEB"/>
    <w:rsid w:val="0011764B"/>
    <w:rsid w:val="00123542"/>
    <w:rsid w:val="00132485"/>
    <w:rsid w:val="00135847"/>
    <w:rsid w:val="001404BE"/>
    <w:rsid w:val="00141B51"/>
    <w:rsid w:val="001434DE"/>
    <w:rsid w:val="001440BC"/>
    <w:rsid w:val="0014640C"/>
    <w:rsid w:val="00150CD7"/>
    <w:rsid w:val="00151944"/>
    <w:rsid w:val="001531AB"/>
    <w:rsid w:val="001560C8"/>
    <w:rsid w:val="00164BA1"/>
    <w:rsid w:val="001719CD"/>
    <w:rsid w:val="00173A24"/>
    <w:rsid w:val="00176142"/>
    <w:rsid w:val="0018146B"/>
    <w:rsid w:val="001851C6"/>
    <w:rsid w:val="0019326E"/>
    <w:rsid w:val="00196C31"/>
    <w:rsid w:val="001B1EB1"/>
    <w:rsid w:val="001C03D0"/>
    <w:rsid w:val="001C28DA"/>
    <w:rsid w:val="001C5AAA"/>
    <w:rsid w:val="001D1425"/>
    <w:rsid w:val="001D16CF"/>
    <w:rsid w:val="001D5201"/>
    <w:rsid w:val="001D5587"/>
    <w:rsid w:val="001E03C3"/>
    <w:rsid w:val="001E0E3C"/>
    <w:rsid w:val="001F16C6"/>
    <w:rsid w:val="001F29FE"/>
    <w:rsid w:val="00201276"/>
    <w:rsid w:val="002104B8"/>
    <w:rsid w:val="00211A4F"/>
    <w:rsid w:val="00211DA5"/>
    <w:rsid w:val="002136A6"/>
    <w:rsid w:val="0021433D"/>
    <w:rsid w:val="00215CF6"/>
    <w:rsid w:val="0022135E"/>
    <w:rsid w:val="00223926"/>
    <w:rsid w:val="002250D9"/>
    <w:rsid w:val="00227884"/>
    <w:rsid w:val="00245A2B"/>
    <w:rsid w:val="002467F5"/>
    <w:rsid w:val="00254630"/>
    <w:rsid w:val="0025770A"/>
    <w:rsid w:val="00261794"/>
    <w:rsid w:val="002627C1"/>
    <w:rsid w:val="00265008"/>
    <w:rsid w:val="00273357"/>
    <w:rsid w:val="00281373"/>
    <w:rsid w:val="00282B57"/>
    <w:rsid w:val="0028353B"/>
    <w:rsid w:val="00285268"/>
    <w:rsid w:val="002941F6"/>
    <w:rsid w:val="00295111"/>
    <w:rsid w:val="0029661F"/>
    <w:rsid w:val="002B0147"/>
    <w:rsid w:val="002B0F8F"/>
    <w:rsid w:val="002B2444"/>
    <w:rsid w:val="002B5594"/>
    <w:rsid w:val="002B58F6"/>
    <w:rsid w:val="002B7B62"/>
    <w:rsid w:val="002C1D20"/>
    <w:rsid w:val="002C3275"/>
    <w:rsid w:val="002C34E3"/>
    <w:rsid w:val="002C3FB5"/>
    <w:rsid w:val="002C4CB8"/>
    <w:rsid w:val="002D0074"/>
    <w:rsid w:val="002D0FF8"/>
    <w:rsid w:val="002D50DC"/>
    <w:rsid w:val="002E32CA"/>
    <w:rsid w:val="002F0712"/>
    <w:rsid w:val="002F2E78"/>
    <w:rsid w:val="0030250C"/>
    <w:rsid w:val="0030458D"/>
    <w:rsid w:val="00304764"/>
    <w:rsid w:val="003067A4"/>
    <w:rsid w:val="0031469F"/>
    <w:rsid w:val="00317523"/>
    <w:rsid w:val="00322991"/>
    <w:rsid w:val="00324507"/>
    <w:rsid w:val="003248CF"/>
    <w:rsid w:val="00335FEA"/>
    <w:rsid w:val="0034387A"/>
    <w:rsid w:val="00345CF4"/>
    <w:rsid w:val="00357082"/>
    <w:rsid w:val="00360462"/>
    <w:rsid w:val="00365339"/>
    <w:rsid w:val="00381625"/>
    <w:rsid w:val="00381E93"/>
    <w:rsid w:val="0038289B"/>
    <w:rsid w:val="00384A82"/>
    <w:rsid w:val="00386989"/>
    <w:rsid w:val="003941B1"/>
    <w:rsid w:val="0039424A"/>
    <w:rsid w:val="003943F1"/>
    <w:rsid w:val="003A30AF"/>
    <w:rsid w:val="003A3CBE"/>
    <w:rsid w:val="003B3AFF"/>
    <w:rsid w:val="003B7121"/>
    <w:rsid w:val="003D2AF3"/>
    <w:rsid w:val="003D61B6"/>
    <w:rsid w:val="003E4E5D"/>
    <w:rsid w:val="003F61B2"/>
    <w:rsid w:val="004017B4"/>
    <w:rsid w:val="0040359E"/>
    <w:rsid w:val="00414F4C"/>
    <w:rsid w:val="00415117"/>
    <w:rsid w:val="004222C2"/>
    <w:rsid w:val="0042250B"/>
    <w:rsid w:val="00441695"/>
    <w:rsid w:val="00441A2D"/>
    <w:rsid w:val="004465D2"/>
    <w:rsid w:val="0045181C"/>
    <w:rsid w:val="0045328B"/>
    <w:rsid w:val="00460560"/>
    <w:rsid w:val="004671B2"/>
    <w:rsid w:val="00471CF1"/>
    <w:rsid w:val="00473B88"/>
    <w:rsid w:val="004819B4"/>
    <w:rsid w:val="00483D7E"/>
    <w:rsid w:val="00484F64"/>
    <w:rsid w:val="00487733"/>
    <w:rsid w:val="00491607"/>
    <w:rsid w:val="004924CE"/>
    <w:rsid w:val="00492887"/>
    <w:rsid w:val="00495265"/>
    <w:rsid w:val="004A0A31"/>
    <w:rsid w:val="004A521F"/>
    <w:rsid w:val="004B6974"/>
    <w:rsid w:val="004C6697"/>
    <w:rsid w:val="004D1760"/>
    <w:rsid w:val="004D2DF1"/>
    <w:rsid w:val="004E4FC3"/>
    <w:rsid w:val="004E5DEC"/>
    <w:rsid w:val="004F1661"/>
    <w:rsid w:val="004F3791"/>
    <w:rsid w:val="005008A8"/>
    <w:rsid w:val="0050482D"/>
    <w:rsid w:val="00517ABE"/>
    <w:rsid w:val="00520417"/>
    <w:rsid w:val="0052472B"/>
    <w:rsid w:val="00525972"/>
    <w:rsid w:val="00530B58"/>
    <w:rsid w:val="00531C20"/>
    <w:rsid w:val="005364E5"/>
    <w:rsid w:val="00543F88"/>
    <w:rsid w:val="0054411C"/>
    <w:rsid w:val="005469DD"/>
    <w:rsid w:val="00546B98"/>
    <w:rsid w:val="005504F0"/>
    <w:rsid w:val="005509F3"/>
    <w:rsid w:val="0055237A"/>
    <w:rsid w:val="005575C3"/>
    <w:rsid w:val="005577D7"/>
    <w:rsid w:val="00562395"/>
    <w:rsid w:val="005627E7"/>
    <w:rsid w:val="00565C73"/>
    <w:rsid w:val="00566E06"/>
    <w:rsid w:val="0056709C"/>
    <w:rsid w:val="00571552"/>
    <w:rsid w:val="00572A8C"/>
    <w:rsid w:val="00572DBF"/>
    <w:rsid w:val="00576625"/>
    <w:rsid w:val="005774A5"/>
    <w:rsid w:val="005826D8"/>
    <w:rsid w:val="00585E5B"/>
    <w:rsid w:val="00590452"/>
    <w:rsid w:val="00590CA2"/>
    <w:rsid w:val="00597399"/>
    <w:rsid w:val="005A090E"/>
    <w:rsid w:val="005A361E"/>
    <w:rsid w:val="005A6746"/>
    <w:rsid w:val="005A6DC0"/>
    <w:rsid w:val="005B07CA"/>
    <w:rsid w:val="005B5970"/>
    <w:rsid w:val="005B6B79"/>
    <w:rsid w:val="005B7834"/>
    <w:rsid w:val="005C02A1"/>
    <w:rsid w:val="005D0427"/>
    <w:rsid w:val="005D7D12"/>
    <w:rsid w:val="005E0D06"/>
    <w:rsid w:val="005E1D42"/>
    <w:rsid w:val="005E7ED4"/>
    <w:rsid w:val="005F1A5A"/>
    <w:rsid w:val="005F5661"/>
    <w:rsid w:val="00606BB4"/>
    <w:rsid w:val="00606C0E"/>
    <w:rsid w:val="00611575"/>
    <w:rsid w:val="00624032"/>
    <w:rsid w:val="0062421E"/>
    <w:rsid w:val="00625A5D"/>
    <w:rsid w:val="00632550"/>
    <w:rsid w:val="00637955"/>
    <w:rsid w:val="0064005D"/>
    <w:rsid w:val="00641DAB"/>
    <w:rsid w:val="0064273D"/>
    <w:rsid w:val="00642E7B"/>
    <w:rsid w:val="00645A24"/>
    <w:rsid w:val="00647186"/>
    <w:rsid w:val="006471CD"/>
    <w:rsid w:val="006509E4"/>
    <w:rsid w:val="00655338"/>
    <w:rsid w:val="00662879"/>
    <w:rsid w:val="00666E26"/>
    <w:rsid w:val="00673352"/>
    <w:rsid w:val="00680B07"/>
    <w:rsid w:val="00682909"/>
    <w:rsid w:val="00691244"/>
    <w:rsid w:val="00691826"/>
    <w:rsid w:val="00694789"/>
    <w:rsid w:val="006A1FE2"/>
    <w:rsid w:val="006A4099"/>
    <w:rsid w:val="006A7989"/>
    <w:rsid w:val="006B237E"/>
    <w:rsid w:val="006B5216"/>
    <w:rsid w:val="006C5409"/>
    <w:rsid w:val="006C5A0B"/>
    <w:rsid w:val="006C6E47"/>
    <w:rsid w:val="006D0191"/>
    <w:rsid w:val="006E24EC"/>
    <w:rsid w:val="006F0F0A"/>
    <w:rsid w:val="006F3E4A"/>
    <w:rsid w:val="006F42F4"/>
    <w:rsid w:val="007007AC"/>
    <w:rsid w:val="00704A47"/>
    <w:rsid w:val="007056F0"/>
    <w:rsid w:val="00707AA0"/>
    <w:rsid w:val="00715BCB"/>
    <w:rsid w:val="00717510"/>
    <w:rsid w:val="00725737"/>
    <w:rsid w:val="007335F8"/>
    <w:rsid w:val="00735BB8"/>
    <w:rsid w:val="00746D3F"/>
    <w:rsid w:val="00747CFE"/>
    <w:rsid w:val="00756EB1"/>
    <w:rsid w:val="00757659"/>
    <w:rsid w:val="00764D6F"/>
    <w:rsid w:val="0077239A"/>
    <w:rsid w:val="0077492E"/>
    <w:rsid w:val="00774C8E"/>
    <w:rsid w:val="00781460"/>
    <w:rsid w:val="007827AC"/>
    <w:rsid w:val="007923DE"/>
    <w:rsid w:val="0079365D"/>
    <w:rsid w:val="00794206"/>
    <w:rsid w:val="007954C2"/>
    <w:rsid w:val="007969C2"/>
    <w:rsid w:val="00796AD4"/>
    <w:rsid w:val="007A2587"/>
    <w:rsid w:val="007A4C7A"/>
    <w:rsid w:val="007A79E3"/>
    <w:rsid w:val="007B026E"/>
    <w:rsid w:val="007B337D"/>
    <w:rsid w:val="007B79DB"/>
    <w:rsid w:val="007D61F0"/>
    <w:rsid w:val="007E3021"/>
    <w:rsid w:val="007E377E"/>
    <w:rsid w:val="007E4922"/>
    <w:rsid w:val="007E5A6E"/>
    <w:rsid w:val="007F0665"/>
    <w:rsid w:val="007F6840"/>
    <w:rsid w:val="00804193"/>
    <w:rsid w:val="00810275"/>
    <w:rsid w:val="00811DE9"/>
    <w:rsid w:val="00815954"/>
    <w:rsid w:val="008205B1"/>
    <w:rsid w:val="008243F6"/>
    <w:rsid w:val="0082498E"/>
    <w:rsid w:val="00834697"/>
    <w:rsid w:val="00844E51"/>
    <w:rsid w:val="00845EB6"/>
    <w:rsid w:val="00847B4D"/>
    <w:rsid w:val="00860436"/>
    <w:rsid w:val="008630DD"/>
    <w:rsid w:val="00863A48"/>
    <w:rsid w:val="0086433D"/>
    <w:rsid w:val="008669DF"/>
    <w:rsid w:val="00870C7D"/>
    <w:rsid w:val="00877FEB"/>
    <w:rsid w:val="00880CB9"/>
    <w:rsid w:val="00881F7D"/>
    <w:rsid w:val="00894B39"/>
    <w:rsid w:val="00894B70"/>
    <w:rsid w:val="008A37E2"/>
    <w:rsid w:val="008A395A"/>
    <w:rsid w:val="008B2057"/>
    <w:rsid w:val="008B329D"/>
    <w:rsid w:val="008B6848"/>
    <w:rsid w:val="008C4D22"/>
    <w:rsid w:val="008E5895"/>
    <w:rsid w:val="008E667D"/>
    <w:rsid w:val="008E7D8C"/>
    <w:rsid w:val="008F06B7"/>
    <w:rsid w:val="008F08AA"/>
    <w:rsid w:val="008F3439"/>
    <w:rsid w:val="008F4381"/>
    <w:rsid w:val="008F74FF"/>
    <w:rsid w:val="00903499"/>
    <w:rsid w:val="00904810"/>
    <w:rsid w:val="00906397"/>
    <w:rsid w:val="009119C3"/>
    <w:rsid w:val="00912E34"/>
    <w:rsid w:val="0091547E"/>
    <w:rsid w:val="00917B77"/>
    <w:rsid w:val="0092028B"/>
    <w:rsid w:val="00923EB3"/>
    <w:rsid w:val="009422B6"/>
    <w:rsid w:val="0094432D"/>
    <w:rsid w:val="0094474A"/>
    <w:rsid w:val="00950787"/>
    <w:rsid w:val="009511C6"/>
    <w:rsid w:val="009516E9"/>
    <w:rsid w:val="009617B4"/>
    <w:rsid w:val="00961BF6"/>
    <w:rsid w:val="009631EA"/>
    <w:rsid w:val="00963799"/>
    <w:rsid w:val="009779DC"/>
    <w:rsid w:val="009806E1"/>
    <w:rsid w:val="00981F1F"/>
    <w:rsid w:val="0098282A"/>
    <w:rsid w:val="00983D53"/>
    <w:rsid w:val="00986B9E"/>
    <w:rsid w:val="00986DD0"/>
    <w:rsid w:val="0098758E"/>
    <w:rsid w:val="009876B0"/>
    <w:rsid w:val="00990F7A"/>
    <w:rsid w:val="0099198D"/>
    <w:rsid w:val="009A1C62"/>
    <w:rsid w:val="009A4DFA"/>
    <w:rsid w:val="009B087A"/>
    <w:rsid w:val="009B18CE"/>
    <w:rsid w:val="009B1B07"/>
    <w:rsid w:val="009C32E9"/>
    <w:rsid w:val="009C4AF2"/>
    <w:rsid w:val="009C5101"/>
    <w:rsid w:val="009C78AA"/>
    <w:rsid w:val="009D092A"/>
    <w:rsid w:val="009D6032"/>
    <w:rsid w:val="009E0769"/>
    <w:rsid w:val="009E31B8"/>
    <w:rsid w:val="009E57B5"/>
    <w:rsid w:val="009E5A33"/>
    <w:rsid w:val="009E5E6D"/>
    <w:rsid w:val="009E74BF"/>
    <w:rsid w:val="009E756F"/>
    <w:rsid w:val="009E7F31"/>
    <w:rsid w:val="009F0CDA"/>
    <w:rsid w:val="009F34A8"/>
    <w:rsid w:val="00A003B2"/>
    <w:rsid w:val="00A025CB"/>
    <w:rsid w:val="00A02E0F"/>
    <w:rsid w:val="00A16146"/>
    <w:rsid w:val="00A22DF8"/>
    <w:rsid w:val="00A31646"/>
    <w:rsid w:val="00A3360F"/>
    <w:rsid w:val="00A36751"/>
    <w:rsid w:val="00A36F77"/>
    <w:rsid w:val="00A36F8E"/>
    <w:rsid w:val="00A40D54"/>
    <w:rsid w:val="00A4278F"/>
    <w:rsid w:val="00A4439A"/>
    <w:rsid w:val="00A61807"/>
    <w:rsid w:val="00A703C2"/>
    <w:rsid w:val="00A71AEB"/>
    <w:rsid w:val="00A71C56"/>
    <w:rsid w:val="00A732CD"/>
    <w:rsid w:val="00A8098F"/>
    <w:rsid w:val="00A82B23"/>
    <w:rsid w:val="00A854AB"/>
    <w:rsid w:val="00A86FBB"/>
    <w:rsid w:val="00A90CE4"/>
    <w:rsid w:val="00A9190A"/>
    <w:rsid w:val="00A925E0"/>
    <w:rsid w:val="00A94493"/>
    <w:rsid w:val="00A96349"/>
    <w:rsid w:val="00A97E5C"/>
    <w:rsid w:val="00AA6FD7"/>
    <w:rsid w:val="00AB2262"/>
    <w:rsid w:val="00AB613A"/>
    <w:rsid w:val="00AB616F"/>
    <w:rsid w:val="00AC0260"/>
    <w:rsid w:val="00AC1090"/>
    <w:rsid w:val="00AC32D5"/>
    <w:rsid w:val="00AC4D47"/>
    <w:rsid w:val="00AC7A48"/>
    <w:rsid w:val="00AD38F9"/>
    <w:rsid w:val="00AE3D9D"/>
    <w:rsid w:val="00B028BB"/>
    <w:rsid w:val="00B0513F"/>
    <w:rsid w:val="00B10319"/>
    <w:rsid w:val="00B17CAA"/>
    <w:rsid w:val="00B2037F"/>
    <w:rsid w:val="00B21203"/>
    <w:rsid w:val="00B32508"/>
    <w:rsid w:val="00B354CC"/>
    <w:rsid w:val="00B55EE8"/>
    <w:rsid w:val="00B5627C"/>
    <w:rsid w:val="00B56950"/>
    <w:rsid w:val="00B57460"/>
    <w:rsid w:val="00B61AC5"/>
    <w:rsid w:val="00B64772"/>
    <w:rsid w:val="00B74D11"/>
    <w:rsid w:val="00B76C05"/>
    <w:rsid w:val="00B77ED2"/>
    <w:rsid w:val="00B86F11"/>
    <w:rsid w:val="00B909AC"/>
    <w:rsid w:val="00B922C7"/>
    <w:rsid w:val="00B95079"/>
    <w:rsid w:val="00BA1907"/>
    <w:rsid w:val="00BA2329"/>
    <w:rsid w:val="00BA591B"/>
    <w:rsid w:val="00BA5C69"/>
    <w:rsid w:val="00BA6328"/>
    <w:rsid w:val="00BC0F6F"/>
    <w:rsid w:val="00BC2048"/>
    <w:rsid w:val="00BC3877"/>
    <w:rsid w:val="00BC5608"/>
    <w:rsid w:val="00BC73CA"/>
    <w:rsid w:val="00BD21E3"/>
    <w:rsid w:val="00BD313F"/>
    <w:rsid w:val="00BD528F"/>
    <w:rsid w:val="00BD7C09"/>
    <w:rsid w:val="00BE090E"/>
    <w:rsid w:val="00BE478D"/>
    <w:rsid w:val="00BE51AC"/>
    <w:rsid w:val="00BF349B"/>
    <w:rsid w:val="00BF590D"/>
    <w:rsid w:val="00C0331E"/>
    <w:rsid w:val="00C04E8E"/>
    <w:rsid w:val="00C060EA"/>
    <w:rsid w:val="00C066BB"/>
    <w:rsid w:val="00C164A9"/>
    <w:rsid w:val="00C16765"/>
    <w:rsid w:val="00C24A26"/>
    <w:rsid w:val="00C31E38"/>
    <w:rsid w:val="00C35F03"/>
    <w:rsid w:val="00C40320"/>
    <w:rsid w:val="00C44485"/>
    <w:rsid w:val="00C44BE8"/>
    <w:rsid w:val="00C52983"/>
    <w:rsid w:val="00C52B61"/>
    <w:rsid w:val="00C55B48"/>
    <w:rsid w:val="00C566FA"/>
    <w:rsid w:val="00C64AEC"/>
    <w:rsid w:val="00C66C7C"/>
    <w:rsid w:val="00C70FEF"/>
    <w:rsid w:val="00C74A0F"/>
    <w:rsid w:val="00C765B8"/>
    <w:rsid w:val="00C87A22"/>
    <w:rsid w:val="00C92C6E"/>
    <w:rsid w:val="00C937B0"/>
    <w:rsid w:val="00C95C3A"/>
    <w:rsid w:val="00C97AD0"/>
    <w:rsid w:val="00CA372E"/>
    <w:rsid w:val="00CB3AA9"/>
    <w:rsid w:val="00CC19CC"/>
    <w:rsid w:val="00CC65A2"/>
    <w:rsid w:val="00CC6E19"/>
    <w:rsid w:val="00CD0F92"/>
    <w:rsid w:val="00CD5B53"/>
    <w:rsid w:val="00CD6DDD"/>
    <w:rsid w:val="00CE18CE"/>
    <w:rsid w:val="00CE1C3C"/>
    <w:rsid w:val="00CE5496"/>
    <w:rsid w:val="00CE75A4"/>
    <w:rsid w:val="00CF0163"/>
    <w:rsid w:val="00CF1212"/>
    <w:rsid w:val="00CF12EF"/>
    <w:rsid w:val="00CF2AE9"/>
    <w:rsid w:val="00D03D2C"/>
    <w:rsid w:val="00D106EC"/>
    <w:rsid w:val="00D1646A"/>
    <w:rsid w:val="00D17C9F"/>
    <w:rsid w:val="00D26A35"/>
    <w:rsid w:val="00D36C0F"/>
    <w:rsid w:val="00D37941"/>
    <w:rsid w:val="00D45CD2"/>
    <w:rsid w:val="00D53391"/>
    <w:rsid w:val="00D54AE0"/>
    <w:rsid w:val="00D56370"/>
    <w:rsid w:val="00D61781"/>
    <w:rsid w:val="00D65858"/>
    <w:rsid w:val="00D70434"/>
    <w:rsid w:val="00D75D6E"/>
    <w:rsid w:val="00D768AA"/>
    <w:rsid w:val="00D77779"/>
    <w:rsid w:val="00D808A9"/>
    <w:rsid w:val="00D82F61"/>
    <w:rsid w:val="00D832D4"/>
    <w:rsid w:val="00D84CA6"/>
    <w:rsid w:val="00D90A19"/>
    <w:rsid w:val="00D93181"/>
    <w:rsid w:val="00D95E1F"/>
    <w:rsid w:val="00D97436"/>
    <w:rsid w:val="00D97BC4"/>
    <w:rsid w:val="00DA4911"/>
    <w:rsid w:val="00DA5FA4"/>
    <w:rsid w:val="00DA6AC5"/>
    <w:rsid w:val="00DA7E4A"/>
    <w:rsid w:val="00DC7A78"/>
    <w:rsid w:val="00DD27FA"/>
    <w:rsid w:val="00DE2A7C"/>
    <w:rsid w:val="00DF07F5"/>
    <w:rsid w:val="00DF3B4F"/>
    <w:rsid w:val="00DF47C5"/>
    <w:rsid w:val="00E00EC8"/>
    <w:rsid w:val="00E0293F"/>
    <w:rsid w:val="00E0439A"/>
    <w:rsid w:val="00E04AB3"/>
    <w:rsid w:val="00E06851"/>
    <w:rsid w:val="00E169A4"/>
    <w:rsid w:val="00E245AE"/>
    <w:rsid w:val="00E25911"/>
    <w:rsid w:val="00E41061"/>
    <w:rsid w:val="00E4297E"/>
    <w:rsid w:val="00E44205"/>
    <w:rsid w:val="00E44CC0"/>
    <w:rsid w:val="00E45958"/>
    <w:rsid w:val="00E4612F"/>
    <w:rsid w:val="00E51585"/>
    <w:rsid w:val="00E51969"/>
    <w:rsid w:val="00E700F5"/>
    <w:rsid w:val="00E9414F"/>
    <w:rsid w:val="00E9631B"/>
    <w:rsid w:val="00EA195A"/>
    <w:rsid w:val="00EB3F06"/>
    <w:rsid w:val="00EB55CA"/>
    <w:rsid w:val="00EC0A13"/>
    <w:rsid w:val="00ED06BD"/>
    <w:rsid w:val="00ED4418"/>
    <w:rsid w:val="00ED551E"/>
    <w:rsid w:val="00ED68F9"/>
    <w:rsid w:val="00ED72FC"/>
    <w:rsid w:val="00EE0007"/>
    <w:rsid w:val="00EE50DE"/>
    <w:rsid w:val="00EE5236"/>
    <w:rsid w:val="00EF0065"/>
    <w:rsid w:val="00EF21C1"/>
    <w:rsid w:val="00EF46C5"/>
    <w:rsid w:val="00EF7DC4"/>
    <w:rsid w:val="00F057EE"/>
    <w:rsid w:val="00F12E68"/>
    <w:rsid w:val="00F15E33"/>
    <w:rsid w:val="00F200C1"/>
    <w:rsid w:val="00F2399D"/>
    <w:rsid w:val="00F255CF"/>
    <w:rsid w:val="00F26E7A"/>
    <w:rsid w:val="00F34471"/>
    <w:rsid w:val="00F43A62"/>
    <w:rsid w:val="00F4502A"/>
    <w:rsid w:val="00F4601D"/>
    <w:rsid w:val="00F47B70"/>
    <w:rsid w:val="00F55345"/>
    <w:rsid w:val="00F6405D"/>
    <w:rsid w:val="00F641F8"/>
    <w:rsid w:val="00F705A5"/>
    <w:rsid w:val="00F7166F"/>
    <w:rsid w:val="00F71D73"/>
    <w:rsid w:val="00F745A2"/>
    <w:rsid w:val="00F74CB6"/>
    <w:rsid w:val="00F81869"/>
    <w:rsid w:val="00F8362E"/>
    <w:rsid w:val="00F94FA4"/>
    <w:rsid w:val="00FA4C1C"/>
    <w:rsid w:val="00FB4904"/>
    <w:rsid w:val="00FE0BA7"/>
    <w:rsid w:val="00FE1A6F"/>
    <w:rsid w:val="00FE1B4A"/>
    <w:rsid w:val="00FE29F1"/>
    <w:rsid w:val="00FE419C"/>
    <w:rsid w:val="00FE446E"/>
    <w:rsid w:val="00FE5300"/>
    <w:rsid w:val="00FE5974"/>
    <w:rsid w:val="00FF0D27"/>
    <w:rsid w:val="00FF0DE1"/>
    <w:rsid w:val="00FF2697"/>
    <w:rsid w:val="00FF5B20"/>
    <w:rsid w:val="00FF62B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semiHidden="0" w:uiPriority="0" w:unhideWhenUsed="0" w:qFormat="1"/>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link w:val="Heading1Char"/>
    <w:qFormat/>
    <w:pPr>
      <w:keepNext/>
      <w:numPr>
        <w:numId w:val="7"/>
      </w:numPr>
      <w:tabs>
        <w:tab w:val="num" w:pos="5747"/>
      </w:tabs>
      <w:ind w:left="357" w:hanging="357"/>
      <w:jc w:val="left"/>
      <w:outlineLvl w:val="0"/>
    </w:pPr>
    <w:rPr>
      <w:b/>
      <w:caps/>
      <w:sz w:val="28"/>
      <w:lang w:eastAsia="cs-CZ"/>
    </w:rPr>
  </w:style>
  <w:style w:type="paragraph" w:styleId="Heading2">
    <w:name w:val="heading 2"/>
    <w:basedOn w:val="Normal"/>
    <w:next w:val="Normal"/>
    <w:qFormat/>
    <w:pPr>
      <w:keepNext/>
      <w:numPr>
        <w:ilvl w:val="1"/>
        <w:numId w:val="7"/>
      </w:numPr>
      <w:tabs>
        <w:tab w:val="num" w:pos="414"/>
      </w:tabs>
      <w:ind w:left="414" w:hanging="414"/>
      <w:jc w:val="both"/>
      <w:outlineLvl w:val="1"/>
    </w:pPr>
    <w:rPr>
      <w:b/>
      <w:noProof/>
    </w:rPr>
  </w:style>
  <w:style w:type="paragraph" w:styleId="Heading3">
    <w:name w:val="heading 3"/>
    <w:basedOn w:val="Normal"/>
    <w:next w:val="Normal"/>
    <w:qFormat/>
    <w:pPr>
      <w:keepNext/>
      <w:numPr>
        <w:ilvl w:val="2"/>
        <w:numId w:val="7"/>
      </w:numPr>
      <w:tabs>
        <w:tab w:val="left" w:pos="510"/>
        <w:tab w:val="num" w:pos="1004"/>
      </w:tabs>
      <w:ind w:left="357" w:hanging="357"/>
      <w:jc w:val="both"/>
      <w:outlineLvl w:val="2"/>
    </w:pPr>
    <w:rPr>
      <w:b/>
    </w:rPr>
  </w:style>
  <w:style w:type="paragraph" w:styleId="Heading4">
    <w:name w:val="heading 4"/>
    <w:basedOn w:val="Normal"/>
    <w:next w:val="Normal"/>
    <w:qFormat/>
    <w:pPr>
      <w:keepNext/>
      <w:numPr>
        <w:ilvl w:val="3"/>
        <w:numId w:val="7"/>
      </w:numPr>
      <w:tabs>
        <w:tab w:val="left" w:pos="794"/>
        <w:tab w:val="num" w:pos="1800"/>
      </w:tabs>
      <w:ind w:left="1368" w:hanging="648"/>
      <w:jc w:val="left"/>
      <w:outlineLvl w:val="3"/>
    </w:pPr>
    <w:rPr>
      <w:b/>
      <w:bCs/>
    </w:rPr>
  </w:style>
  <w:style w:type="paragraph" w:styleId="Heading5">
    <w:name w:val="heading 5"/>
    <w:basedOn w:val="Normal"/>
    <w:next w:val="Normal"/>
    <w:qFormat/>
    <w:pPr>
      <w:keepNext/>
      <w:jc w:val="center"/>
      <w:outlineLvl w:val="4"/>
    </w:pPr>
    <w:rPr>
      <w:b/>
      <w:sz w:val="28"/>
    </w:rPr>
  </w:style>
  <w:style w:type="paragraph" w:styleId="Heading6">
    <w:name w:val="heading 6"/>
    <w:basedOn w:val="Normal"/>
    <w:next w:val="Normal"/>
    <w:qFormat/>
    <w:pPr>
      <w:keepNext/>
      <w:jc w:val="both"/>
      <w:outlineLvl w:val="5"/>
    </w:pPr>
    <w:rPr>
      <w:b/>
      <w:sz w:val="28"/>
    </w:rPr>
  </w:style>
  <w:style w:type="paragraph" w:styleId="Heading7">
    <w:name w:val="heading 7"/>
    <w:basedOn w:val="Normal"/>
    <w:next w:val="Normal"/>
    <w:qFormat/>
    <w:pPr>
      <w:keepNext/>
      <w:jc w:val="center"/>
      <w:outlineLvl w:val="6"/>
    </w:pPr>
    <w:rPr>
      <w:bCs/>
      <w:sz w:val="36"/>
    </w:rPr>
  </w:style>
  <w:style w:type="paragraph" w:styleId="Heading8">
    <w:name w:val="heading 8"/>
    <w:basedOn w:val="Normal"/>
    <w:next w:val="Normal"/>
    <w:qFormat/>
    <w:pPr>
      <w:keepNext/>
      <w:tabs>
        <w:tab w:val="num" w:pos="1134"/>
      </w:tabs>
      <w:ind w:left="1134" w:hanging="425"/>
      <w:jc w:val="left"/>
      <w:outlineLvl w:val="7"/>
    </w:p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semiHidden/>
    <w:pPr>
      <w:jc w:val="both"/>
    </w:pPr>
    <w:rPr>
      <w:iCs/>
      <w:noProof/>
    </w:rPr>
  </w:style>
  <w:style w:type="character" w:styleId="Hyperlink">
    <w:name w:val="Hyperlink"/>
    <w:uiPriority w:val="99"/>
    <w:rPr>
      <w:color w:val="0000FF"/>
      <w:u w:val="single"/>
    </w:rPr>
  </w:style>
  <w:style w:type="paragraph" w:styleId="BodyTextIndent3">
    <w:name w:val="Body Text Indent 3"/>
    <w:basedOn w:val="Normal"/>
    <w:semiHidden/>
    <w:pPr>
      <w:ind w:left="993" w:hanging="567"/>
      <w:jc w:val="both"/>
    </w:pPr>
  </w:style>
  <w:style w:type="paragraph" w:styleId="BodyTextIndent">
    <w:name w:val="Body Text Indent"/>
    <w:basedOn w:val="Normal"/>
    <w:link w:val="BodyTextIndentChar"/>
    <w:semiHidden/>
    <w:pPr>
      <w:ind w:left="5954" w:hanging="5954"/>
      <w:jc w:val="left"/>
    </w:pPr>
  </w:style>
  <w:style w:type="paragraph" w:styleId="BodyTextIndent2">
    <w:name w:val="Body Text Indent 2"/>
    <w:basedOn w:val="Normal"/>
    <w:semiHidden/>
    <w:pPr>
      <w:ind w:left="851" w:hanging="851"/>
      <w:jc w:val="both"/>
    </w:pPr>
    <w:rPr>
      <w:b/>
      <w:sz w:val="28"/>
    </w:rPr>
  </w:style>
  <w:style w:type="paragraph" w:customStyle="1" w:styleId="slovanie">
    <w:name w:val="číslovanie"/>
    <w:basedOn w:val="Normal"/>
    <w:pPr>
      <w:numPr>
        <w:numId w:val="1"/>
      </w:numPr>
      <w:tabs>
        <w:tab w:val="num" w:pos="567"/>
      </w:tabs>
      <w:spacing w:after="60"/>
      <w:ind w:left="567" w:hanging="567"/>
      <w:jc w:val="both"/>
    </w:pPr>
    <w:rPr>
      <w:sz w:val="22"/>
    </w:rPr>
  </w:style>
  <w:style w:type="paragraph" w:styleId="Footer">
    <w:name w:val="footer"/>
    <w:basedOn w:val="Normal"/>
    <w:link w:val="FooterChar"/>
    <w:pPr>
      <w:tabs>
        <w:tab w:val="center" w:pos="4153"/>
        <w:tab w:val="right" w:pos="8306"/>
      </w:tabs>
      <w:jc w:val="left"/>
    </w:pPr>
  </w:style>
  <w:style w:type="character" w:styleId="PageNumber">
    <w:name w:val="page number"/>
    <w:basedOn w:val="DefaultParagraphFont"/>
    <w:semiHidden/>
    <w:rPr>
      <w:rFonts w:cs="Times New Roman"/>
      <w:rtl w:val="0"/>
      <w:cs w:val="0"/>
    </w:rPr>
  </w:style>
  <w:style w:type="paragraph" w:customStyle="1" w:styleId="BodyText32">
    <w:name w:val="Body Text 32"/>
    <w:basedOn w:val="Normal"/>
    <w:pPr>
      <w:jc w:val="left"/>
    </w:pPr>
    <w:rPr>
      <w:b/>
    </w:rPr>
  </w:style>
  <w:style w:type="paragraph" w:styleId="BodyText3">
    <w:name w:val="Body Text 3"/>
    <w:basedOn w:val="Normal"/>
    <w:link w:val="BodyText3Char"/>
    <w:semiHidden/>
    <w:pPr>
      <w:spacing w:line="240" w:lineRule="atLeast"/>
      <w:jc w:val="both"/>
    </w:pPr>
    <w:rPr>
      <w:color w:val="000000"/>
    </w:rPr>
  </w:style>
  <w:style w:type="paragraph" w:styleId="BodyText2">
    <w:name w:val="Body Text 2"/>
    <w:basedOn w:val="Normal"/>
    <w:semiHidden/>
    <w:pPr>
      <w:jc w:val="both"/>
    </w:pPr>
  </w:style>
  <w:style w:type="character" w:styleId="Strong">
    <w:name w:val="Strong"/>
    <w:qFormat/>
    <w:rPr>
      <w:b/>
    </w:rPr>
  </w:style>
  <w:style w:type="character" w:styleId="Emphasis">
    <w:name w:val="Emphasis"/>
    <w:qFormat/>
    <w:rPr>
      <w:i/>
    </w:rPr>
  </w:style>
  <w:style w:type="paragraph" w:customStyle="1" w:styleId="T1">
    <w:name w:val="T1"/>
    <w:basedOn w:val="T"/>
    <w:pPr>
      <w:jc w:val="center"/>
    </w:pPr>
    <w:rPr>
      <w:b/>
    </w:rPr>
  </w:style>
  <w:style w:type="paragraph" w:customStyle="1" w:styleId="T">
    <w:name w:val="T"/>
    <w:basedOn w:val="Normal"/>
    <w:pPr>
      <w:spacing w:before="120" w:after="120"/>
      <w:jc w:val="center"/>
    </w:pPr>
  </w:style>
  <w:style w:type="paragraph" w:styleId="Title">
    <w:name w:val="Title"/>
    <w:basedOn w:val="Normal"/>
    <w:link w:val="TitleChar"/>
    <w:qFormat/>
    <w:pPr>
      <w:jc w:val="center"/>
    </w:pPr>
    <w:rPr>
      <w:b/>
    </w:rPr>
  </w:style>
  <w:style w:type="paragraph" w:customStyle="1" w:styleId="BodyText21">
    <w:name w:val="Body Text 21"/>
    <w:basedOn w:val="Normal"/>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line="240" w:lineRule="atLeast"/>
      <w:jc w:val="both"/>
    </w:pPr>
    <w:rPr>
      <w:lang w:val="cs-CZ"/>
    </w:rPr>
  </w:style>
  <w:style w:type="paragraph" w:styleId="PlainText">
    <w:name w:val="Plain Text"/>
    <w:basedOn w:val="Normal"/>
    <w:link w:val="PlainTextChar"/>
    <w:semiHidden/>
    <w:pPr>
      <w:jc w:val="left"/>
    </w:pPr>
    <w:rPr>
      <w:rFonts w:ascii="Courier New" w:hAnsi="Courier New"/>
    </w:rPr>
  </w:style>
  <w:style w:type="paragraph" w:styleId="ListNumber">
    <w:name w:val="List Number"/>
    <w:basedOn w:val="Normal"/>
    <w:semiHidden/>
    <w:pPr>
      <w:numPr>
        <w:numId w:val="4"/>
      </w:numPr>
      <w:tabs>
        <w:tab w:val="num" w:pos="360"/>
      </w:tabs>
      <w:spacing w:before="60"/>
      <w:ind w:left="360" w:hanging="360"/>
      <w:jc w:val="left"/>
    </w:pPr>
  </w:style>
  <w:style w:type="paragraph" w:styleId="ListBullet2">
    <w:name w:val="List Bullet 2"/>
    <w:basedOn w:val="Normal"/>
    <w:autoRedefine/>
    <w:semiHidden/>
    <w:rsid w:val="00F057EE"/>
    <w:pPr>
      <w:numPr>
        <w:numId w:val="3"/>
      </w:numPr>
      <w:tabs>
        <w:tab w:val="left" w:pos="426"/>
        <w:tab w:val="num" w:pos="643"/>
      </w:tabs>
      <w:ind w:left="643" w:hanging="360"/>
      <w:jc w:val="both"/>
    </w:pPr>
  </w:style>
  <w:style w:type="paragraph" w:styleId="ListBullet">
    <w:name w:val="List Bullet"/>
    <w:basedOn w:val="Normal"/>
    <w:autoRedefine/>
    <w:semiHidden/>
    <w:rsid w:val="00A4278F"/>
    <w:pPr>
      <w:suppressLineNumbers/>
      <w:jc w:val="center"/>
    </w:pPr>
    <w:rPr>
      <w:sz w:val="22"/>
      <w:szCs w:val="22"/>
    </w:rPr>
  </w:style>
  <w:style w:type="paragraph" w:customStyle="1" w:styleId="Odsek">
    <w:name w:val="Odsek"/>
    <w:basedOn w:val="Normal"/>
    <w:pPr>
      <w:overflowPunct w:val="0"/>
      <w:autoSpaceDE w:val="0"/>
      <w:autoSpaceDN w:val="0"/>
      <w:adjustRightInd w:val="0"/>
      <w:spacing w:before="240"/>
      <w:jc w:val="both"/>
    </w:pPr>
  </w:style>
  <w:style w:type="paragraph" w:styleId="Subtitle">
    <w:name w:val="Subtitle"/>
    <w:basedOn w:val="Normal"/>
    <w:qFormat/>
    <w:pPr>
      <w:jc w:val="both"/>
    </w:pPr>
    <w:rPr>
      <w:b/>
      <w:bCs/>
      <w:i/>
      <w:iCs/>
      <w:noProof/>
      <w:szCs w:val="28"/>
    </w:rPr>
  </w:style>
  <w:style w:type="paragraph" w:styleId="NormalWeb">
    <w:name w:val="Normal (Web)"/>
    <w:basedOn w:val="Normal"/>
    <w:semiHidden/>
    <w:pPr>
      <w:spacing w:before="100" w:beforeAutospacing="1" w:after="100" w:afterAutospacing="1"/>
      <w:jc w:val="left"/>
    </w:pPr>
    <w:rPr>
      <w:szCs w:val="24"/>
    </w:rPr>
  </w:style>
  <w:style w:type="paragraph" w:customStyle="1" w:styleId="Text">
    <w:name w:val="Text"/>
    <w:pPr>
      <w:framePr w:wrap="auto"/>
      <w:widowControl/>
      <w:autoSpaceDE/>
      <w:autoSpaceDN/>
      <w:adjustRightInd/>
      <w:spacing w:before="120" w:line="300" w:lineRule="atLeast"/>
      <w:ind w:left="0" w:right="0"/>
      <w:jc w:val="both"/>
      <w:textAlignment w:val="auto"/>
    </w:pPr>
    <w:rPr>
      <w:rFonts w:ascii="Arial" w:hAnsi="Arial" w:cs="Arial"/>
      <w:sz w:val="20"/>
      <w:szCs w:val="20"/>
      <w:rtl w:val="0"/>
      <w:cs w:val="0"/>
      <w:lang w:val="sk-SK" w:eastAsia="cs-CZ" w:bidi="ar-SA"/>
    </w:rPr>
  </w:style>
  <w:style w:type="paragraph" w:styleId="BlockText">
    <w:name w:val="Block Text"/>
    <w:basedOn w:val="Normal"/>
    <w:semiHidden/>
    <w:pPr>
      <w:ind w:left="360" w:right="57"/>
      <w:jc w:val="both"/>
    </w:pPr>
    <w:rPr>
      <w:szCs w:val="24"/>
      <w:lang w:val="en-GB"/>
    </w:rPr>
  </w:style>
  <w:style w:type="character" w:styleId="FollowedHyperlink">
    <w:name w:val="FollowedHyperlink"/>
    <w:semiHidden/>
    <w:rPr>
      <w:color w:val="800080"/>
      <w:u w:val="single"/>
    </w:rPr>
  </w:style>
  <w:style w:type="paragraph" w:styleId="Header">
    <w:name w:val="header"/>
    <w:basedOn w:val="Normal"/>
    <w:semiHidden/>
    <w:pPr>
      <w:tabs>
        <w:tab w:val="center" w:pos="4536"/>
        <w:tab w:val="right" w:pos="9072"/>
      </w:tabs>
      <w:jc w:val="left"/>
    </w:pPr>
  </w:style>
  <w:style w:type="paragraph" w:styleId="Caption">
    <w:name w:val="caption"/>
    <w:basedOn w:val="Normal"/>
    <w:next w:val="Normal"/>
    <w:qFormat/>
    <w:pPr>
      <w:spacing w:before="120" w:after="120"/>
      <w:jc w:val="left"/>
    </w:pPr>
    <w:rPr>
      <w:b/>
      <w:bCs/>
      <w:szCs w:val="24"/>
    </w:rPr>
  </w:style>
  <w:style w:type="paragraph" w:customStyle="1" w:styleId="Todr">
    <w:name w:val="T odr"/>
    <w:basedOn w:val="Normal"/>
    <w:pPr>
      <w:numPr>
        <w:numId w:val="2"/>
      </w:numPr>
      <w:tabs>
        <w:tab w:val="num" w:pos="360"/>
      </w:tabs>
      <w:spacing w:before="100" w:beforeAutospacing="1" w:after="100" w:afterAutospacing="1"/>
      <w:ind w:left="360" w:hanging="360"/>
      <w:jc w:val="both"/>
    </w:pPr>
    <w:rPr>
      <w:szCs w:val="24"/>
    </w:rPr>
  </w:style>
  <w:style w:type="paragraph" w:customStyle="1" w:styleId="Odrkazkladnhotextu">
    <w:name w:val="Odrážka základného textu"/>
    <w:basedOn w:val="Normal"/>
    <w:pPr>
      <w:widowControl w:val="0"/>
      <w:numPr>
        <w:numId w:val="6"/>
      </w:numPr>
      <w:tabs>
        <w:tab w:val="left" w:pos="284"/>
        <w:tab w:val="num" w:pos="360"/>
      </w:tabs>
      <w:spacing w:line="288" w:lineRule="auto"/>
      <w:ind w:left="284" w:hanging="284"/>
      <w:jc w:val="both"/>
    </w:pPr>
    <w:rPr>
      <w:szCs w:val="24"/>
      <w:lang w:eastAsia="cs-CZ"/>
    </w:rPr>
  </w:style>
  <w:style w:type="paragraph" w:customStyle="1" w:styleId="hodnotenie">
    <w:name w:val="hodnotenie"/>
    <w:basedOn w:val="BodyText"/>
    <w:pPr>
      <w:spacing w:before="100" w:beforeAutospacing="1" w:after="100" w:afterAutospacing="1"/>
      <w:jc w:val="both"/>
    </w:pPr>
    <w:rPr>
      <w:b/>
      <w:bCs/>
      <w:iCs w:val="0"/>
      <w:szCs w:val="24"/>
    </w:rPr>
  </w:style>
  <w:style w:type="paragraph" w:styleId="TOC1">
    <w:name w:val="toc 1"/>
    <w:basedOn w:val="Normal"/>
    <w:next w:val="Normal"/>
    <w:autoRedefine/>
    <w:uiPriority w:val="39"/>
    <w:rsid w:val="00810275"/>
    <w:pPr>
      <w:tabs>
        <w:tab w:val="left" w:pos="567"/>
        <w:tab w:val="right" w:leader="dot" w:pos="9060"/>
      </w:tabs>
      <w:jc w:val="both"/>
    </w:pPr>
    <w:rPr>
      <w:b/>
      <w:caps/>
      <w:szCs w:val="24"/>
    </w:rPr>
  </w:style>
  <w:style w:type="paragraph" w:styleId="TOC2">
    <w:name w:val="toc 2"/>
    <w:basedOn w:val="Normal"/>
    <w:next w:val="Normal"/>
    <w:autoRedefine/>
    <w:uiPriority w:val="39"/>
    <w:pPr>
      <w:ind w:left="240"/>
      <w:jc w:val="left"/>
    </w:pPr>
    <w:rPr>
      <w:smallCaps/>
      <w:szCs w:val="24"/>
    </w:rPr>
  </w:style>
  <w:style w:type="paragraph" w:styleId="TOC3">
    <w:name w:val="toc 3"/>
    <w:basedOn w:val="Normal"/>
    <w:next w:val="Normal"/>
    <w:autoRedefine/>
    <w:uiPriority w:val="39"/>
    <w:pPr>
      <w:ind w:left="480"/>
      <w:jc w:val="left"/>
    </w:pPr>
    <w:rPr>
      <w:i/>
      <w:iCs/>
      <w:szCs w:val="24"/>
    </w:rPr>
  </w:style>
  <w:style w:type="paragraph" w:styleId="TOC4">
    <w:name w:val="toc 4"/>
    <w:basedOn w:val="Normal"/>
    <w:next w:val="Normal"/>
    <w:autoRedefine/>
    <w:uiPriority w:val="39"/>
    <w:pPr>
      <w:ind w:left="720"/>
      <w:jc w:val="left"/>
    </w:pPr>
    <w:rPr>
      <w:szCs w:val="21"/>
    </w:rPr>
  </w:style>
  <w:style w:type="paragraph" w:styleId="TOC5">
    <w:name w:val="toc 5"/>
    <w:basedOn w:val="Normal"/>
    <w:next w:val="Normal"/>
    <w:autoRedefine/>
    <w:semiHidden/>
    <w:pPr>
      <w:ind w:left="960"/>
      <w:jc w:val="left"/>
    </w:pPr>
    <w:rPr>
      <w:szCs w:val="21"/>
    </w:rPr>
  </w:style>
  <w:style w:type="paragraph" w:styleId="TOC6">
    <w:name w:val="toc 6"/>
    <w:basedOn w:val="Normal"/>
    <w:next w:val="Normal"/>
    <w:autoRedefine/>
    <w:semiHidden/>
    <w:pPr>
      <w:ind w:left="1200"/>
      <w:jc w:val="left"/>
    </w:pPr>
    <w:rPr>
      <w:szCs w:val="21"/>
    </w:rPr>
  </w:style>
  <w:style w:type="paragraph" w:styleId="TOC7">
    <w:name w:val="toc 7"/>
    <w:basedOn w:val="Normal"/>
    <w:next w:val="Normal"/>
    <w:autoRedefine/>
    <w:semiHidden/>
    <w:pPr>
      <w:ind w:left="1440"/>
      <w:jc w:val="left"/>
    </w:pPr>
    <w:rPr>
      <w:szCs w:val="21"/>
    </w:rPr>
  </w:style>
  <w:style w:type="paragraph" w:styleId="TOC8">
    <w:name w:val="toc 8"/>
    <w:basedOn w:val="Normal"/>
    <w:next w:val="Normal"/>
    <w:autoRedefine/>
    <w:semiHidden/>
    <w:pPr>
      <w:ind w:left="1680"/>
      <w:jc w:val="left"/>
    </w:pPr>
    <w:rPr>
      <w:szCs w:val="21"/>
    </w:rPr>
  </w:style>
  <w:style w:type="paragraph" w:styleId="TOC9">
    <w:name w:val="toc 9"/>
    <w:basedOn w:val="Normal"/>
    <w:next w:val="Normal"/>
    <w:autoRedefine/>
    <w:semiHidden/>
    <w:pPr>
      <w:ind w:left="1920"/>
      <w:jc w:val="left"/>
    </w:pPr>
    <w:rPr>
      <w:szCs w:val="21"/>
    </w:rPr>
  </w:style>
  <w:style w:type="character" w:customStyle="1" w:styleId="nadpis2">
    <w:name w:val="nadpis2"/>
    <w:basedOn w:val="DefaultParagraphFont"/>
    <w:rPr>
      <w:rFonts w:cs="Times New Roman"/>
      <w:rtl w:val="0"/>
      <w:cs w:val="0"/>
    </w:rPr>
  </w:style>
  <w:style w:type="paragraph" w:customStyle="1" w:styleId="Style">
    <w:name w:val="Style"/>
    <w:pPr>
      <w:framePr w:wrap="auto"/>
      <w:widowControl w:val="0"/>
      <w:autoSpaceDE w:val="0"/>
      <w:autoSpaceDN w:val="0"/>
      <w:adjustRightInd w:val="0"/>
      <w:ind w:left="0" w:right="0"/>
      <w:jc w:val="left"/>
      <w:textAlignment w:val="auto"/>
    </w:pPr>
    <w:rPr>
      <w:rFonts w:ascii="Times New Roman" w:eastAsia="SimSun" w:hAnsi="Times New Roman" w:cs="Times New Roman"/>
      <w:sz w:val="24"/>
      <w:szCs w:val="24"/>
      <w:rtl w:val="0"/>
      <w:cs w:val="0"/>
      <w:lang w:val="sk-SK" w:eastAsia="zh-CN" w:bidi="ar-SA"/>
    </w:rPr>
  </w:style>
  <w:style w:type="paragraph" w:styleId="DocumentMap">
    <w:name w:val="Document Map"/>
    <w:basedOn w:val="Normal"/>
    <w:semiHidden/>
    <w:pPr>
      <w:shd w:val="clear" w:color="auto" w:fill="000080"/>
      <w:jc w:val="left"/>
    </w:pPr>
    <w:rPr>
      <w:rFonts w:ascii="Tahoma" w:hAnsi="Tahoma" w:cs="Tahoma"/>
    </w:rPr>
  </w:style>
  <w:style w:type="character" w:styleId="CommentReference">
    <w:name w:val="annotation reference"/>
    <w:semiHidden/>
    <w:rPr>
      <w:sz w:val="16"/>
    </w:rPr>
  </w:style>
  <w:style w:type="paragraph" w:styleId="CommentText">
    <w:name w:val="annotation text"/>
    <w:basedOn w:val="Normal"/>
    <w:semiHidden/>
    <w:pPr>
      <w:jc w:val="left"/>
    </w:pPr>
    <w:rPr>
      <w:sz w:val="20"/>
    </w:rPr>
  </w:style>
  <w:style w:type="paragraph" w:customStyle="1" w:styleId="X1">
    <w:name w:val="X1"/>
    <w:basedOn w:val="Normal"/>
    <w:pPr>
      <w:spacing w:line="360" w:lineRule="auto"/>
      <w:jc w:val="both"/>
      <w:outlineLvl w:val="0"/>
    </w:pPr>
    <w:rPr>
      <w:rFonts w:ascii="Tahoma" w:hAnsi="Tahoma" w:cs="Tahoma"/>
      <w:szCs w:val="24"/>
    </w:rPr>
  </w:style>
  <w:style w:type="paragraph" w:customStyle="1" w:styleId="Normlnytunneods">
    <w:name w:val="Normálny tučný neods"/>
    <w:basedOn w:val="Normal"/>
    <w:pPr>
      <w:tabs>
        <w:tab w:val="left" w:pos="1418"/>
        <w:tab w:val="left" w:pos="1985"/>
      </w:tabs>
      <w:suppressAutoHyphens/>
      <w:spacing w:line="288" w:lineRule="auto"/>
      <w:jc w:val="both"/>
    </w:pPr>
    <w:rPr>
      <w:b/>
    </w:rPr>
  </w:style>
  <w:style w:type="paragraph" w:styleId="BalloonText">
    <w:name w:val="Balloon Text"/>
    <w:basedOn w:val="Normal"/>
    <w:semiHidden/>
    <w:pPr>
      <w:jc w:val="left"/>
    </w:pPr>
    <w:rPr>
      <w:rFonts w:ascii="Tahoma" w:hAnsi="Tahoma" w:cs="Tahoma"/>
      <w:sz w:val="16"/>
      <w:szCs w:val="16"/>
    </w:rPr>
  </w:style>
  <w:style w:type="paragraph" w:customStyle="1" w:styleId="Tabuka">
    <w:name w:val="Tabuľka"/>
    <w:basedOn w:val="BodyText"/>
    <w:pPr>
      <w:spacing w:before="120" w:after="120"/>
      <w:ind w:left="357"/>
      <w:jc w:val="both"/>
    </w:pPr>
    <w:rPr>
      <w:iCs w:val="0"/>
      <w:noProof w:val="0"/>
      <w:szCs w:val="24"/>
    </w:rPr>
  </w:style>
  <w:style w:type="paragraph" w:customStyle="1" w:styleId="BodyText31">
    <w:name w:val="Body Text 31"/>
    <w:basedOn w:val="Normal"/>
    <w:rsid w:val="00F15E33"/>
    <w:pPr>
      <w:jc w:val="left"/>
    </w:pPr>
    <w:rPr>
      <w:b/>
    </w:rPr>
  </w:style>
  <w:style w:type="character" w:customStyle="1" w:styleId="BodyTextChar">
    <w:name w:val="Body Text Char"/>
    <w:link w:val="BodyText"/>
    <w:semiHidden/>
    <w:locked/>
    <w:rsid w:val="00A3360F"/>
    <w:rPr>
      <w:noProof/>
      <w:sz w:val="24"/>
    </w:rPr>
  </w:style>
  <w:style w:type="character" w:customStyle="1" w:styleId="BodyTextIndentChar">
    <w:name w:val="Body Text Indent Char"/>
    <w:link w:val="BodyTextIndent"/>
    <w:semiHidden/>
    <w:locked/>
    <w:rsid w:val="00A3360F"/>
    <w:rPr>
      <w:sz w:val="24"/>
    </w:rPr>
  </w:style>
  <w:style w:type="character" w:customStyle="1" w:styleId="BodyText3Char">
    <w:name w:val="Body Text 3 Char"/>
    <w:link w:val="BodyText3"/>
    <w:semiHidden/>
    <w:locked/>
    <w:rsid w:val="00A3360F"/>
    <w:rPr>
      <w:color w:val="000000"/>
      <w:sz w:val="24"/>
    </w:rPr>
  </w:style>
  <w:style w:type="paragraph" w:styleId="ListParagraph">
    <w:name w:val="List Paragraph"/>
    <w:basedOn w:val="Normal"/>
    <w:uiPriority w:val="34"/>
    <w:qFormat/>
    <w:rsid w:val="00E0293F"/>
    <w:pPr>
      <w:ind w:left="708"/>
      <w:jc w:val="left"/>
    </w:pPr>
  </w:style>
  <w:style w:type="character" w:styleId="PlaceholderText">
    <w:name w:val="Placeholder Text"/>
    <w:uiPriority w:val="99"/>
    <w:semiHidden/>
    <w:rsid w:val="00381E93"/>
    <w:rPr>
      <w:rFonts w:ascii="Times New Roman" w:hAnsi="Times New Roman" w:cs="Times New Roman"/>
      <w:color w:val="808080"/>
    </w:rPr>
  </w:style>
  <w:style w:type="paragraph" w:customStyle="1" w:styleId="Default">
    <w:name w:val="Default"/>
    <w:rsid w:val="00CE75A4"/>
    <w:pPr>
      <w:framePr w:wrap="auto"/>
      <w:widowControl/>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table" w:styleId="TableGrid">
    <w:name w:val="Table Grid"/>
    <w:basedOn w:val="TableNormal"/>
    <w:uiPriority w:val="59"/>
    <w:rsid w:val="00AC10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locked/>
    <w:rsid w:val="00912E34"/>
    <w:rPr>
      <w:b/>
      <w:sz w:val="24"/>
    </w:rPr>
  </w:style>
  <w:style w:type="character" w:customStyle="1" w:styleId="FooterChar">
    <w:name w:val="Footer Char"/>
    <w:link w:val="Footer"/>
    <w:locked/>
    <w:rsid w:val="00694789"/>
    <w:rPr>
      <w:sz w:val="24"/>
    </w:rPr>
  </w:style>
  <w:style w:type="character" w:customStyle="1" w:styleId="Heading1Char">
    <w:name w:val="Heading 1 Char"/>
    <w:link w:val="Heading1"/>
    <w:locked/>
    <w:rsid w:val="002B7B62"/>
    <w:rPr>
      <w:b/>
      <w:caps/>
      <w:sz w:val="28"/>
      <w:lang w:val="x-none" w:eastAsia="cs-CZ"/>
    </w:rPr>
  </w:style>
  <w:style w:type="paragraph" w:customStyle="1" w:styleId="Textodsaden">
    <w:name w:val="Text odsadený"/>
    <w:basedOn w:val="Normal"/>
    <w:rsid w:val="000C437D"/>
    <w:pPr>
      <w:spacing w:before="120" w:line="300" w:lineRule="atLeast"/>
      <w:ind w:firstLine="709"/>
      <w:jc w:val="both"/>
    </w:pPr>
    <w:rPr>
      <w:rFonts w:ascii="Arial" w:hAnsi="Arial" w:cs="Arial"/>
      <w:sz w:val="20"/>
      <w:lang w:eastAsia="cs-CZ"/>
    </w:rPr>
  </w:style>
  <w:style w:type="character" w:customStyle="1" w:styleId="PlainTextChar">
    <w:name w:val="Plain Text Char"/>
    <w:link w:val="PlainText"/>
    <w:semiHidden/>
    <w:locked/>
    <w:rsid w:val="004D2DF1"/>
    <w:rPr>
      <w:rFonts w:ascii="Courier New" w:hAnsi="Courier New" w:cs="Courier New"/>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info@ujd.gov.sk"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7A15-6061-4F2D-83D6-142A4448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31</Pages>
  <Words>14379</Words>
  <Characters>81962</Characters>
  <Application>Microsoft Office Word</Application>
  <DocSecurity>0</DocSecurity>
  <Lines>0</Lines>
  <Paragraphs>0</Paragraphs>
  <ScaleCrop>false</ScaleCrop>
  <Company>Kancelaria NR SR</Company>
  <LinksUpToDate>false</LinksUpToDate>
  <CharactersWithSpaces>96149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KOMUNIKÉ</dc:title>
  <dc:creator>ujd</dc:creator>
  <cp:lastModifiedBy>Gašparíková, Jarmila</cp:lastModifiedBy>
  <cp:revision>2</cp:revision>
  <cp:lastPrinted>2012-04-19T09:33:00Z</cp:lastPrinted>
  <dcterms:created xsi:type="dcterms:W3CDTF">2012-04-23T13:47:00Z</dcterms:created>
  <dcterms:modified xsi:type="dcterms:W3CDTF">2012-04-23T13:47:00Z</dcterms:modified>
</cp:coreProperties>
</file>