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61DDB" w:rsidRPr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961DDB" w:rsidRPr="00824000">
      <w:pPr>
        <w:bidi w:val="0"/>
        <w:spacing w:after="0" w:line="240" w:lineRule="auto"/>
        <w:jc w:val="center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 w:rsidR="00113283">
        <w:rPr>
          <w:rFonts w:ascii="Times New Roman" w:hAnsi="Times New Roman"/>
          <w:b/>
          <w:bCs/>
          <w:sz w:val="24"/>
          <w:szCs w:val="24"/>
          <w:lang w:val="sk-SK"/>
        </w:rPr>
        <w:t>právneho predpisu s právom Európskej únie</w:t>
      </w:r>
      <w:r w:rsidRPr="00824000">
        <w:rPr>
          <w:rFonts w:ascii="Times New Roman" w:hAnsi="Times New Roman" w:cs="Verdana"/>
          <w:b/>
          <w:bCs/>
          <w:sz w:val="24"/>
          <w:szCs w:val="24"/>
          <w:lang w:val="sk-SK"/>
        </w:rPr>
        <w:t> 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1.</w:t>
        <w:tab/>
        <w:t>Predkladateľ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824000" w:rsidR="00BD61B2">
        <w:rPr>
          <w:rFonts w:ascii="Times New Roman" w:hAnsi="Times New Roman"/>
          <w:sz w:val="24"/>
          <w:szCs w:val="24"/>
          <w:lang w:val="sk-SK"/>
        </w:rPr>
        <w:t>poslanci Národnej rady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Slovenskej republiky </w:t>
      </w: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 w:cs="Verdana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2.</w:t>
        <w:tab/>
        <w:t>Názov návrhu právneho predpisu: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Návrh 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ústavného </w:t>
      </w:r>
      <w:r w:rsidRPr="00824000">
        <w:rPr>
          <w:rFonts w:ascii="Times New Roman" w:hAnsi="Times New Roman"/>
          <w:sz w:val="24"/>
          <w:szCs w:val="24"/>
          <w:lang w:val="sk-SK"/>
        </w:rPr>
        <w:t>zákon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>a, ktorým sa mení a dopĺňa Ústava Slovenskej republiky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č. </w:t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420/1992 </w:t>
      </w:r>
      <w:r w:rsidRPr="00824000">
        <w:rPr>
          <w:rFonts w:ascii="Times New Roman" w:hAnsi="Times New Roman"/>
          <w:sz w:val="24"/>
          <w:szCs w:val="24"/>
          <w:lang w:val="sk-SK"/>
        </w:rPr>
        <w:t>Z</w:t>
      </w:r>
      <w:r w:rsidRPr="00824000" w:rsidR="00F94C2C">
        <w:rPr>
          <w:rFonts w:ascii="Times New Roman" w:hAnsi="Times New Roman"/>
          <w:sz w:val="24"/>
          <w:szCs w:val="24"/>
          <w:lang w:val="sk-SK"/>
        </w:rPr>
        <w:t>b.</w:t>
      </w:r>
      <w:r w:rsidRPr="00824000">
        <w:rPr>
          <w:rFonts w:ascii="Times New Roman" w:hAnsi="Times New Roman"/>
          <w:sz w:val="24"/>
          <w:szCs w:val="24"/>
          <w:lang w:val="sk-SK"/>
        </w:rPr>
        <w:t xml:space="preserve"> v znení neskorších predpisov 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3.</w:t>
        <w:tab/>
        <w:t>Problematika návrhu právneho predpisu: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E5752D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a)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upravená v práve Európskej únie</w:t>
      </w: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b)</w:t>
        <w:tab/>
      </w:r>
      <w:r w:rsidRPr="00824000" w:rsidR="00E5752D">
        <w:rPr>
          <w:rFonts w:ascii="Times New Roman" w:hAnsi="Times New Roman"/>
          <w:sz w:val="24"/>
          <w:szCs w:val="24"/>
          <w:lang w:val="sk-SK"/>
        </w:rPr>
        <w:t xml:space="preserve">nie </w:t>
      </w:r>
      <w:r w:rsidRPr="00824000">
        <w:rPr>
          <w:rFonts w:ascii="Times New Roman" w:hAnsi="Times New Roman"/>
          <w:sz w:val="24"/>
          <w:szCs w:val="24"/>
          <w:lang w:val="sk-SK"/>
        </w:rPr>
        <w:t>je obsiahnutá v judikatúre Súdneho dvora Európskej únie.</w:t>
      </w:r>
    </w:p>
    <w:p w:rsidR="00961DDB" w:rsidRPr="00824000" w:rsidP="00961DDB">
      <w:pPr>
        <w:bidi w:val="0"/>
        <w:spacing w:after="0" w:line="240" w:lineRule="auto"/>
        <w:ind w:left="709" w:hanging="349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4.</w:t>
        <w:tab/>
        <w:t xml:space="preserve">Záväzky Slovenskej republiky vo vzťahu k Európskej únii: </w:t>
      </w:r>
    </w:p>
    <w:p w:rsidR="00961DDB" w:rsidRPr="00824000" w:rsidP="00E5752D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bezpredmetné </w:t>
      </w:r>
    </w:p>
    <w:p w:rsidR="00961DDB" w:rsidRPr="00824000">
      <w:pPr>
        <w:bidi w:val="0"/>
        <w:spacing w:after="0" w:line="240" w:lineRule="auto"/>
        <w:ind w:firstLine="708"/>
        <w:rPr>
          <w:rFonts w:ascii="Times New Roman" w:hAnsi="Times New Roman"/>
          <w:sz w:val="24"/>
          <w:szCs w:val="24"/>
          <w:lang w:val="sk-SK"/>
        </w:rPr>
      </w:pPr>
    </w:p>
    <w:p w:rsidR="00961DDB" w:rsidRPr="00824000" w:rsidP="00961DDB">
      <w:pPr>
        <w:bidi w:val="0"/>
        <w:spacing w:after="0" w:line="240" w:lineRule="auto"/>
        <w:ind w:left="360" w:hanging="360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sz w:val="24"/>
          <w:szCs w:val="24"/>
          <w:lang w:val="sk-SK"/>
        </w:rPr>
        <w:t>5.</w:t>
        <w:tab/>
        <w:t>Stupeň zlučiteľnosti návrhu právneho predpisu s právom Európskej únie:</w:t>
      </w:r>
    </w:p>
    <w:p w:rsidR="00961DDB" w:rsidRPr="00824000">
      <w:pPr>
        <w:bidi w:val="0"/>
        <w:spacing w:after="0" w:line="240" w:lineRule="auto"/>
        <w:rPr>
          <w:rFonts w:ascii="Times New Roman" w:hAnsi="Times New Roman" w:cs="Verdana"/>
          <w:sz w:val="24"/>
          <w:szCs w:val="24"/>
          <w:lang w:val="sk-SK"/>
        </w:rPr>
      </w:pPr>
    </w:p>
    <w:p w:rsidR="00961DDB" w:rsidRPr="00824000">
      <w:pPr>
        <w:bidi w:val="0"/>
        <w:spacing w:after="0" w:line="240" w:lineRule="auto"/>
        <w:ind w:firstLine="360"/>
        <w:rPr>
          <w:rFonts w:ascii="Times New Roman" w:hAnsi="Times New Roman"/>
          <w:sz w:val="24"/>
          <w:szCs w:val="24"/>
          <w:lang w:val="sk-SK"/>
        </w:rPr>
      </w:pPr>
      <w:r w:rsidRPr="00824000">
        <w:rPr>
          <w:rFonts w:ascii="Times New Roman" w:hAnsi="Times New Roman"/>
          <w:sz w:val="24"/>
          <w:szCs w:val="24"/>
          <w:lang w:val="sk-SK"/>
        </w:rPr>
        <w:t>Stupeň zlučiteľnosti - úplný </w:t>
      </w:r>
    </w:p>
    <w:p w:rsidR="00824000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/>
          <w:sz w:val="24"/>
          <w:szCs w:val="24"/>
          <w:lang w:val="sk-SK"/>
        </w:rPr>
      </w:pPr>
      <w:r w:rsidRPr="00824000" w:rsidR="00961DDB">
        <w:rPr>
          <w:rFonts w:ascii="Times New Roman" w:hAnsi="Times New Roman"/>
          <w:sz w:val="24"/>
          <w:szCs w:val="24"/>
          <w:lang w:val="sk-SK"/>
        </w:rPr>
        <w:br/>
      </w:r>
    </w:p>
    <w:p w:rsidR="00961DDB" w:rsidRPr="00824000" w:rsidP="00824000">
      <w:pPr>
        <w:tabs>
          <w:tab w:val="left" w:pos="360"/>
        </w:tabs>
        <w:bidi w:val="0"/>
        <w:spacing w:after="0" w:line="240" w:lineRule="auto"/>
        <w:rPr>
          <w:rFonts w:ascii="Times New Roman" w:hAnsi="Times New Roman"/>
          <w:sz w:val="24"/>
          <w:szCs w:val="24"/>
          <w:lang w:val="sk-SK"/>
        </w:rPr>
      </w:pPr>
      <w:r w:rsidRPr="00824000" w:rsidR="00824000">
        <w:rPr>
          <w:rFonts w:ascii="Times New Roman" w:hAnsi="Times New Roman"/>
          <w:sz w:val="24"/>
          <w:szCs w:val="24"/>
          <w:lang w:val="sk-SK"/>
        </w:rPr>
        <w:br w:type="page"/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824000" w:rsidRPr="00824000" w:rsidP="00824000">
      <w:pPr>
        <w:bidi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 xml:space="preserve">A.1. Názov materiálu: </w:t>
      </w: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ústavného zákona, ktorým sa mení a dopĺňa Ústava Slovenskej republiky č. 460/1992 Zb. v znení neskorších predpisov 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758"/>
        <w:gridCol w:w="1206"/>
        <w:gridCol w:w="1206"/>
        <w:gridCol w:w="120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824000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824000" w:rsidRPr="00824000" w:rsidP="00824000">
            <w:pPr>
              <w:widowControl/>
              <w:bidi w:val="0"/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824000" w:rsidRPr="00824000" w:rsidP="00824000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824000" w:rsidRPr="00824000" w:rsidP="00824000">
      <w:pPr>
        <w:widowControl/>
        <w:bidi w:val="0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 xml:space="preserve">Novela Ústavy Slovenskej republiky nebude mať v tomto VI. volebnom období žiadny vplyv na rozpočet verejnej správy, keďže účinnosť tohto ústavného zákona je stanovená na 1.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janu</w:t>
      </w: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ára 2014. V prípade, ak sa nezmenia zákonné nastavenia platových pomerov poslancov Národnej rady Slovenskej republiky dá sa očakávať úspora na verejných zdrojoch až 3,6 milióna eur ročne. Konkrétna suma môže byť o niečo vyššia, keďže sa dá predpokladať zvýšenie priemernej mzdy v národnom hospodárstve, od ktorej sa odvíja príjem poslanca, úhrada nákladov spojených s užívaním poslaneckých kancelárií ako aj náklady na asistentov poslancov. Ako nepriame úspory by sa mohli sem zahrnúť aj prí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s</w:t>
      </w: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pevky na chod poslaneckých klubov odvíjajúcich od počtu poslancov, prí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spevky na mandát poslanca a sumy uh</w:t>
      </w: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rádzané Kanceláriou Národnej rady Slovenskej republiky pre poslancov na kancelárske účely.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 Poznámky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 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i/>
          <w:iCs/>
          <w:color w:val="000000"/>
          <w:sz w:val="24"/>
          <w:szCs w:val="24"/>
          <w:lang w:val="sk-SK"/>
        </w:rPr>
        <w:t xml:space="preserve">      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 Alternatívne riešenia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</w:p>
    <w:p w:rsidR="00824000" w:rsidRPr="00824000" w:rsidP="00824000">
      <w:pPr>
        <w:pStyle w:val="NormalWeb"/>
        <w:bidi w:val="0"/>
        <w:spacing w:before="0" w:beforeAutospacing="0" w:after="0" w:afterAutospacing="0"/>
        <w:ind w:left="567" w:hanging="567"/>
        <w:jc w:val="both"/>
        <w:rPr>
          <w:rFonts w:ascii="Times New Roman" w:hAnsi="Times New Roman"/>
        </w:rPr>
      </w:pPr>
      <w:r w:rsidRPr="00824000">
        <w:rPr>
          <w:rFonts w:ascii="Times New Roman" w:hAnsi="Times New Roman"/>
          <w:b/>
          <w:bCs/>
        </w:rPr>
        <w:t xml:space="preserve">A.5. </w:t>
        <w:tab/>
        <w:t>Stanovisko gestorov</w:t>
      </w:r>
    </w:p>
    <w:p w:rsidR="00824000" w:rsidRPr="00824000" w:rsidP="00824000">
      <w:pPr>
        <w:bidi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824000">
        <w:rPr>
          <w:rFonts w:ascii="Times New Roman" w:hAnsi="Times New Roman"/>
          <w:color w:val="000000"/>
          <w:sz w:val="24"/>
          <w:szCs w:val="24"/>
          <w:lang w:val="sk-SK"/>
        </w:rPr>
        <w:t>Bezpredmetné </w:t>
      </w:r>
    </w:p>
    <w:p w:rsidR="00824000" w:rsidRPr="00824000" w:rsidP="00824000">
      <w:pPr>
        <w:widowControl/>
        <w:bidi w:val="0"/>
        <w:spacing w:after="280" w:afterAutospacing="1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961DDB" w:rsidRPr="00824000">
      <w:pPr>
        <w:tabs>
          <w:tab w:val="left" w:pos="360"/>
        </w:tabs>
        <w:bidi w:val="0"/>
        <w:spacing w:after="0" w:line="240" w:lineRule="auto"/>
        <w:ind w:left="360"/>
        <w:rPr>
          <w:rFonts w:ascii="Times New Roman" w:hAnsi="Times New Roman" w:cs="Verdana"/>
          <w:sz w:val="24"/>
          <w:szCs w:val="24"/>
          <w:lang w:val="sk-SK"/>
        </w:rPr>
      </w:pPr>
    </w:p>
    <w:sectPr>
      <w:pgSz w:w="12240" w:h="15840"/>
      <w:pgMar w:top="1440" w:right="1440" w:bottom="1440" w:left="1440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35E"/>
    <w:multiLevelType w:val="hybridMultilevel"/>
    <w:tmpl w:val="DDE2BD4C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1">
    <w:nsid w:val="56AF4A0C"/>
    <w:multiLevelType w:val="hybridMultilevel"/>
    <w:tmpl w:val="3486871A"/>
    <w:lvl w:ilvl="0">
      <w:start w:val="1"/>
      <w:numFmt w:val="decimal"/>
      <w:lvlText w:val="%1."/>
      <w:lvlJc w:val="left"/>
      <w:pPr>
        <w:ind w:left="1239" w:hanging="360"/>
      </w:pPr>
      <w:rPr>
        <w:rFonts w:ascii="Times New Roman" w:hAnsi="Times New Roman" w:cs="Times New Roman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959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79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99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19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39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59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79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99" w:hanging="180"/>
      </w:pPr>
      <w:rPr>
        <w:rFonts w:ascii="Times New Roman" w:hAnsi="Times New Roman" w:cs="Times New Roman"/>
        <w:rtl w:val="0"/>
        <w:cs w:val="0"/>
      </w:rPr>
    </w:lvl>
  </w:abstractNum>
  <w:abstractNum w:abstractNumId="2">
    <w:nsid w:val="74983FF9"/>
    <w:multiLevelType w:val="hybridMultilevel"/>
    <w:tmpl w:val="1940307E"/>
    <w:lvl w:ilvl="0">
      <w:start w:val="1"/>
      <w:numFmt w:val="bullet"/>
      <w:lvlText w:val="-"/>
      <w:lvlJc w:val="left"/>
      <w:pPr>
        <w:tabs>
          <w:tab w:val="num" w:pos="1068"/>
        </w:tabs>
        <w:ind w:left="879" w:hanging="171"/>
      </w:p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746DDA"/>
    <w:rsid w:val="00113283"/>
    <w:rsid w:val="003111CA"/>
    <w:rsid w:val="004C3411"/>
    <w:rsid w:val="005C1EB1"/>
    <w:rsid w:val="00746DDA"/>
    <w:rsid w:val="008003CB"/>
    <w:rsid w:val="00824000"/>
    <w:rsid w:val="00961DDB"/>
    <w:rsid w:val="00B47BCE"/>
    <w:rsid w:val="00BB44C3"/>
    <w:rsid w:val="00BD61B2"/>
    <w:rsid w:val="00C60A22"/>
    <w:rsid w:val="00E5752D"/>
    <w:rsid w:val="00F94C2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Strong" w:semiHidden="0" w:uiPriority="22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47BCE"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semiHidden/>
    <w:rsid w:val="00824000"/>
    <w:pPr>
      <w:widowControl/>
      <w:adjustRightInd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330</Words>
  <Characters>1885</Characters>
  <Application>Microsoft Office Word</Application>
  <DocSecurity>0</DocSecurity>
  <Lines>0</Lines>
  <Paragraphs>0</Paragraphs>
  <ScaleCrop>false</ScaleCrop>
  <Company>Kancelaria NR SR</Company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Kamil_Krnac</dc:creator>
  <cp:lastModifiedBy>Gašparíková, Jarmila</cp:lastModifiedBy>
  <cp:revision>2</cp:revision>
  <cp:lastPrinted>2012-04-17T14:14:00Z</cp:lastPrinted>
  <dcterms:created xsi:type="dcterms:W3CDTF">2012-04-17T18:27:00Z</dcterms:created>
  <dcterms:modified xsi:type="dcterms:W3CDTF">2012-04-17T18:27:00Z</dcterms:modified>
</cp:coreProperties>
</file>