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375E" w:rsidRPr="00CD6DE6" w:rsidP="00EB375E">
      <w:pPr>
        <w:pStyle w:val="BodyText"/>
        <w:tabs>
          <w:tab w:val="left" w:pos="567"/>
        </w:tabs>
        <w:bidi w:val="0"/>
        <w:spacing w:line="300" w:lineRule="atLeast"/>
        <w:rPr>
          <w:rFonts w:ascii="Times New Roman" w:hAnsi="Times New Roman"/>
          <w:b/>
          <w:bCs/>
        </w:rPr>
      </w:pPr>
      <w:r w:rsidRPr="00CD6DE6">
        <w:rPr>
          <w:rFonts w:ascii="Times New Roman" w:hAnsi="Times New Roman"/>
          <w:b/>
          <w:bCs/>
        </w:rPr>
        <w:t>Dôvodová správa</w:t>
      </w:r>
    </w:p>
    <w:p w:rsidR="0021266C" w:rsidRPr="00CD6DE6" w:rsidP="00EB375E">
      <w:pPr>
        <w:pStyle w:val="BodyText"/>
        <w:tabs>
          <w:tab w:val="left" w:pos="567"/>
        </w:tabs>
        <w:bidi w:val="0"/>
        <w:spacing w:line="300" w:lineRule="atLeast"/>
        <w:rPr>
          <w:rFonts w:ascii="Times New Roman" w:hAnsi="Times New Roman"/>
          <w:b/>
          <w:bCs/>
        </w:rPr>
      </w:pPr>
    </w:p>
    <w:p w:rsidR="00EB375E" w:rsidRPr="00CD6DE6" w:rsidP="00EB375E">
      <w:pPr>
        <w:pStyle w:val="BodyText"/>
        <w:tabs>
          <w:tab w:val="left" w:pos="567"/>
        </w:tabs>
        <w:bidi w:val="0"/>
        <w:spacing w:line="300" w:lineRule="atLeast"/>
        <w:rPr>
          <w:rFonts w:ascii="Times New Roman" w:hAnsi="Times New Roman"/>
          <w:b/>
          <w:bCs/>
        </w:rPr>
      </w:pPr>
    </w:p>
    <w:p w:rsidR="00EB375E" w:rsidRPr="00CD6DE6" w:rsidP="00EB375E">
      <w:pPr>
        <w:pStyle w:val="BodyText"/>
        <w:tabs>
          <w:tab w:val="left" w:pos="567"/>
        </w:tabs>
        <w:bidi w:val="0"/>
        <w:spacing w:before="120" w:after="120" w:line="300" w:lineRule="atLeast"/>
        <w:jc w:val="both"/>
        <w:rPr>
          <w:rFonts w:ascii="Times New Roman" w:hAnsi="Times New Roman"/>
          <w:b/>
          <w:bCs/>
        </w:rPr>
      </w:pPr>
      <w:r w:rsidRPr="00CD6DE6">
        <w:rPr>
          <w:rFonts w:ascii="Times New Roman" w:hAnsi="Times New Roman"/>
          <w:b/>
          <w:bCs/>
        </w:rPr>
        <w:t xml:space="preserve">Všeobecná časť </w:t>
      </w:r>
    </w:p>
    <w:p w:rsidR="0021266C" w:rsidRPr="00CD6DE6" w:rsidP="00EB375E">
      <w:pPr>
        <w:pStyle w:val="BodyText"/>
        <w:tabs>
          <w:tab w:val="left" w:pos="567"/>
        </w:tabs>
        <w:bidi w:val="0"/>
        <w:spacing w:before="120" w:after="120" w:line="300" w:lineRule="atLeast"/>
        <w:jc w:val="both"/>
        <w:rPr>
          <w:rFonts w:ascii="Times New Roman" w:hAnsi="Times New Roman"/>
          <w:b/>
          <w:bCs/>
        </w:rPr>
      </w:pPr>
    </w:p>
    <w:p w:rsidR="00826D5B" w:rsidRPr="00CD6DE6" w:rsidP="000256A2">
      <w:pPr>
        <w:pStyle w:val="Heading2loha"/>
        <w:numPr>
          <w:ilvl w:val="0"/>
          <w:numId w:val="0"/>
        </w:numPr>
        <w:tabs>
          <w:tab w:val="clear" w:pos="1391"/>
        </w:tabs>
        <w:bidi w:val="0"/>
        <w:ind w:firstLine="540"/>
        <w:rPr>
          <w:rFonts w:ascii="Times New Roman" w:hAnsi="Times New Roman"/>
          <w:noProof/>
        </w:rPr>
      </w:pPr>
      <w:r w:rsidRPr="00CD6DE6">
        <w:rPr>
          <w:rFonts w:ascii="Times New Roman" w:hAnsi="Times New Roman"/>
          <w:szCs w:val="28"/>
        </w:rPr>
        <w:t xml:space="preserve">Návrh </w:t>
      </w:r>
      <w:r w:rsidRPr="00CD6DE6">
        <w:rPr>
          <w:rFonts w:ascii="Times New Roman" w:hAnsi="Times New Roman"/>
        </w:rPr>
        <w:t>zákona,</w:t>
      </w:r>
      <w:r w:rsidRPr="00CD6DE6" w:rsidR="000256A2">
        <w:rPr>
          <w:rFonts w:ascii="Times New Roman" w:hAnsi="Times New Roman"/>
          <w:noProof/>
        </w:rPr>
        <w:t xml:space="preserve"> ktorým sa mení a dopĺňa zákon č. 331/2005 Z. z. o orgánoch štátnej správy vo veciach drogových prekurzorov a o zmene a doplnení niektorých zákonov a o zmene a doplnení zákona č. 140/1998 Z. z. o liekoch a zdravotníckych pomôckach o zmene zákona č. 455/1991 Zb. o živnostenskom podnikaní (živnostenský zákon) v znení neskorších predpisov a o zmene a doplnení zákona Národnej rady Slovenskej republiky č. 220/1996 Z. z. o reklame v znení neskorších predpisov</w:t>
      </w:r>
      <w:r w:rsidRPr="00CD6DE6">
        <w:rPr>
          <w:rFonts w:ascii="Times New Roman" w:hAnsi="Times New Roman"/>
        </w:rPr>
        <w:t>, sa predkladá ako iniciatívny návrh. Zákon bol vypracovaný na základe skúsenosti z doterajšieho uplatňovania výkonu štátnej správy vo veciach drogových prekurzorov, z ktorých vyplynula nutnosť prijať opatrenia na riešenie problémov zneužívania určených látok obsiahnutých vo voľno predajných liekoch bez toho, aby sa obmedzila možnosť ich dostupnosti pre pacientov, ktor</w:t>
      </w:r>
      <w:r w:rsidRPr="00CD6DE6" w:rsidR="00BC6322">
        <w:rPr>
          <w:rFonts w:ascii="Times New Roman" w:hAnsi="Times New Roman"/>
        </w:rPr>
        <w:t>í</w:t>
      </w:r>
      <w:r w:rsidRPr="00CD6DE6">
        <w:rPr>
          <w:rFonts w:ascii="Times New Roman" w:hAnsi="Times New Roman"/>
        </w:rPr>
        <w:t xml:space="preserve"> trpia príslušnými syndrómami. Navrhovaný zákon tiež rieši slabé stránky v oblasti registrácie prevádzkovateľov využívajúcich určené látky kategórie 2 na legálne účely pri rigoróznom uplatňovaní ustanovení príslušných nariadení ES, rozširuje oblasť udeľovania pokuty za správne delikty, pri ktorých nie je podozrenie priameho nelegálneho zneužitia na výrobu omamných a psychotropných látok a precizuje možnosti získavania údajov o určených látkach potrebných na zamedzenie ich nelegálneho použitia. </w:t>
      </w:r>
    </w:p>
    <w:p w:rsidR="001E78F5" w:rsidP="000256A2">
      <w:pPr>
        <w:bidi w:val="0"/>
        <w:ind w:firstLine="540"/>
        <w:jc w:val="both"/>
        <w:rPr>
          <w:rFonts w:ascii="Times New Roman" w:hAnsi="Times New Roman"/>
        </w:rPr>
      </w:pPr>
    </w:p>
    <w:p w:rsidR="00EB375E" w:rsidRPr="00CD6DE6" w:rsidP="000256A2">
      <w:pPr>
        <w:bidi w:val="0"/>
        <w:ind w:firstLine="540"/>
        <w:jc w:val="both"/>
        <w:rPr>
          <w:rFonts w:ascii="Times New Roman" w:hAnsi="Times New Roman"/>
        </w:rPr>
      </w:pPr>
      <w:r w:rsidRPr="00CD6DE6">
        <w:rPr>
          <w:rFonts w:ascii="Times New Roman" w:hAnsi="Times New Roman"/>
        </w:rPr>
        <w:t xml:space="preserve">Predložený návrh </w:t>
      </w:r>
      <w:r w:rsidRPr="00CD6DE6" w:rsidR="00826D5B">
        <w:rPr>
          <w:rFonts w:ascii="Times New Roman" w:hAnsi="Times New Roman"/>
        </w:rPr>
        <w:t>zákona</w:t>
      </w:r>
      <w:r w:rsidRPr="00CD6DE6">
        <w:rPr>
          <w:rFonts w:ascii="Times New Roman" w:hAnsi="Times New Roman"/>
        </w:rPr>
        <w:t xml:space="preserve"> je v súlade s Ústavou Sloven</w:t>
      </w:r>
      <w:smartTag w:uri="urn:schemas-microsoft-com:office:smarttags" w:element="PersonName">
        <w:r w:rsidRPr="00CD6DE6">
          <w:rPr>
            <w:rFonts w:ascii="Times New Roman" w:hAnsi="Times New Roman"/>
          </w:rPr>
          <w:t>sk</w:t>
        </w:r>
      </w:smartTag>
      <w:r w:rsidRPr="00CD6DE6">
        <w:rPr>
          <w:rFonts w:ascii="Times New Roman" w:hAnsi="Times New Roman"/>
        </w:rPr>
        <w:t xml:space="preserve">ej republiky, </w:t>
      </w:r>
      <w:r w:rsidRPr="00CD6DE6">
        <w:rPr>
          <w:rFonts w:ascii="Times New Roman" w:hAnsi="Times New Roman"/>
          <w:iCs/>
        </w:rPr>
        <w:t>s medzinárodnými zmluvami, ktorými je Sloven</w:t>
      </w:r>
      <w:smartTag w:uri="urn:schemas-microsoft-com:office:smarttags" w:element="PersonName">
        <w:r w:rsidRPr="00CD6DE6">
          <w:rPr>
            <w:rFonts w:ascii="Times New Roman" w:hAnsi="Times New Roman"/>
            <w:iCs/>
          </w:rPr>
          <w:t>sk</w:t>
        </w:r>
      </w:smartTag>
      <w:r w:rsidRPr="00CD6DE6">
        <w:rPr>
          <w:rFonts w:ascii="Times New Roman" w:hAnsi="Times New Roman"/>
          <w:iCs/>
        </w:rPr>
        <w:t>á republika viazaná,</w:t>
      </w:r>
      <w:r w:rsidRPr="00CD6DE6">
        <w:rPr>
          <w:rFonts w:ascii="Times New Roman" w:hAnsi="Times New Roman"/>
        </w:rPr>
        <w:t xml:space="preserve"> ako aj s právom Európ</w:t>
      </w:r>
      <w:smartTag w:uri="urn:schemas-microsoft-com:office:smarttags" w:element="PersonName">
        <w:r w:rsidRPr="00CD6DE6">
          <w:rPr>
            <w:rFonts w:ascii="Times New Roman" w:hAnsi="Times New Roman"/>
          </w:rPr>
          <w:t>sk</w:t>
        </w:r>
      </w:smartTag>
      <w:r w:rsidRPr="00CD6DE6">
        <w:rPr>
          <w:rFonts w:ascii="Times New Roman" w:hAnsi="Times New Roman"/>
        </w:rPr>
        <w:t>ych spoločenstiev a Európ</w:t>
      </w:r>
      <w:smartTag w:uri="urn:schemas-microsoft-com:office:smarttags" w:element="PersonName">
        <w:r w:rsidRPr="00CD6DE6">
          <w:rPr>
            <w:rFonts w:ascii="Times New Roman" w:hAnsi="Times New Roman"/>
          </w:rPr>
          <w:t>sk</w:t>
        </w:r>
      </w:smartTag>
      <w:r w:rsidRPr="00CD6DE6">
        <w:rPr>
          <w:rFonts w:ascii="Times New Roman" w:hAnsi="Times New Roman"/>
        </w:rPr>
        <w:t xml:space="preserve">ej únie. </w:t>
      </w:r>
    </w:p>
    <w:p w:rsidR="001E78F5" w:rsidP="000256A2">
      <w:pPr>
        <w:bidi w:val="0"/>
        <w:ind w:firstLine="540"/>
        <w:jc w:val="both"/>
        <w:rPr>
          <w:rFonts w:ascii="Times New Roman" w:hAnsi="Times New Roman"/>
        </w:rPr>
      </w:pPr>
    </w:p>
    <w:p w:rsidR="000256A2" w:rsidRPr="00CD6DE6" w:rsidP="000256A2">
      <w:pPr>
        <w:bidi w:val="0"/>
        <w:ind w:firstLine="540"/>
        <w:jc w:val="both"/>
        <w:rPr>
          <w:rFonts w:ascii="Times New Roman" w:hAnsi="Times New Roman"/>
        </w:rPr>
      </w:pPr>
      <w:r w:rsidRPr="00CD6DE6">
        <w:rPr>
          <w:rFonts w:ascii="Times New Roman" w:hAnsi="Times New Roman"/>
        </w:rPr>
        <w:t>Materiál podlieha sprístupňovaniu podľa zákona č. 211/2000 Z. z. o slobodnom prístupe k informáciám a o zmene a doplnení niektorých zákonov (zákon o slobode informácií) v znení ne</w:t>
      </w:r>
      <w:smartTag w:uri="urn:schemas-microsoft-com:office:smarttags" w:element="PersonName">
        <w:r w:rsidRPr="00CD6DE6">
          <w:rPr>
            <w:rFonts w:ascii="Times New Roman" w:hAnsi="Times New Roman"/>
          </w:rPr>
          <w:t>sk</w:t>
        </w:r>
      </w:smartTag>
      <w:r w:rsidRPr="00CD6DE6">
        <w:rPr>
          <w:rFonts w:ascii="Times New Roman" w:hAnsi="Times New Roman"/>
        </w:rPr>
        <w:t>orších predpisov.</w:t>
      </w:r>
    </w:p>
    <w:p w:rsidR="00163E66" w:rsidP="00884E4E">
      <w:pPr>
        <w:bidi w:val="0"/>
        <w:rPr>
          <w:rFonts w:ascii="Times New Roman" w:hAnsi="Times New Roman"/>
        </w:rPr>
      </w:pPr>
    </w:p>
    <w:p w:rsidR="0052078E" w:rsidP="00884E4E">
      <w:pPr>
        <w:bidi w:val="0"/>
        <w:rPr>
          <w:rFonts w:ascii="Times New Roman" w:hAnsi="Times New Roman"/>
        </w:rPr>
      </w:pPr>
    </w:p>
    <w:p w:rsidR="0052078E" w:rsidP="00884E4E">
      <w:pPr>
        <w:bidi w:val="0"/>
        <w:rPr>
          <w:rFonts w:ascii="Times New Roman" w:hAnsi="Times New Roman"/>
        </w:rPr>
      </w:pPr>
    </w:p>
    <w:p w:rsidR="00163E66" w:rsidP="00884E4E">
      <w:pPr>
        <w:bidi w:val="0"/>
        <w:rPr>
          <w:rFonts w:ascii="Times New Roman" w:hAnsi="Times New Roman"/>
        </w:rPr>
      </w:pPr>
    </w:p>
    <w:p w:rsidR="00163E66" w:rsidP="00884E4E">
      <w:pPr>
        <w:bidi w:val="0"/>
        <w:rPr>
          <w:rFonts w:ascii="Times New Roman" w:hAnsi="Times New Roman"/>
        </w:rPr>
      </w:pPr>
    </w:p>
    <w:p w:rsidR="00163E66" w:rsidP="00163E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auto"/>
        </w:rPr>
      </w:pPr>
      <w:r w:rsidRPr="00004CB8">
        <w:rPr>
          <w:rFonts w:ascii="Times New Roman" w:hAnsi="Times New Roman"/>
          <w:b/>
          <w:bCs/>
          <w:caps/>
          <w:color w:val="auto"/>
        </w:rPr>
        <w:t>Doložka zlučiteľnosti</w:t>
      </w:r>
    </w:p>
    <w:p w:rsidR="00163E66" w:rsidP="00163E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právneho predpisu</w:t>
        <w:br/>
        <w:t>s právom Európskej únie</w:t>
      </w:r>
    </w:p>
    <w:p w:rsidR="00163E66" w:rsidP="00163E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</w:rPr>
      </w:pPr>
    </w:p>
    <w:p w:rsidR="00163E66" w:rsidP="00163E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</w:rPr>
      </w:pPr>
    </w:p>
    <w:p w:rsidR="00163E66" w:rsidP="00163E66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Predkladateľ právneho predpisu:</w:t>
      </w:r>
      <w:r>
        <w:rPr>
          <w:rFonts w:ascii="Times New Roman" w:hAnsi="Times New Roman"/>
          <w:color w:val="auto"/>
        </w:rPr>
        <w:t xml:space="preserve"> Ministerstvo hospodárstva a výstavby Slovenskej republiky</w:t>
      </w:r>
    </w:p>
    <w:p w:rsidR="00163E66" w:rsidP="00163E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auto"/>
        </w:rPr>
      </w:pPr>
    </w:p>
    <w:p w:rsidR="00163E66" w:rsidRPr="00163E66" w:rsidP="00163E66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Style w:val="HTMLTypewriter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63E66">
        <w:rPr>
          <w:rFonts w:ascii="Times New Roman" w:hAnsi="Times New Roman"/>
          <w:b/>
        </w:rPr>
        <w:t>Názov návrhu</w:t>
      </w:r>
      <w:r>
        <w:rPr>
          <w:rFonts w:ascii="Times New Roman" w:hAnsi="Times New Roman"/>
          <w:b/>
        </w:rPr>
        <w:t xml:space="preserve"> právneho predpisu:</w:t>
      </w:r>
      <w:r>
        <w:rPr>
          <w:rFonts w:ascii="Times New Roman" w:hAnsi="Times New Roman"/>
        </w:rPr>
        <w:t xml:space="preserve"> Zákon, ktorým sa mení a dopĺňa zákon č. 331/2005 Z. z. o orgánoch štátnej správy vo veciach drogových prekurzorov a o zmene a doplnení niektorých zákonov a o zmene a doplnení zákona č. 140/1998 Z. z. o liekoch a zdravotníckych pomôckach, o zmene zákona č. 455/1991 Zb. o živnostenskom podnikaní (živnostenský zákon) v znení neskorších predpisov a o zmene a doplnení zákona Národnej rady Slovenskej republiky č. 220/1996 Z. z. o reklame v znení neskorších predpisov.</w:t>
      </w:r>
    </w:p>
    <w:p w:rsidR="00163E66" w:rsidP="00163E66">
      <w:pPr>
        <w:pStyle w:val="NormalWeb"/>
        <w:bidi w:val="0"/>
        <w:spacing w:before="0" w:beforeAutospacing="0" w:after="0" w:afterAutospacing="0"/>
        <w:jc w:val="both"/>
        <w:rPr>
          <w:rStyle w:val="HTMLTypewriter"/>
          <w:b/>
          <w:bCs/>
        </w:rPr>
      </w:pPr>
      <w:r>
        <w:rPr>
          <w:rStyle w:val="HTMLTypewriter"/>
          <w:b/>
          <w:bCs/>
        </w:rPr>
        <w:t xml:space="preserve">      </w:t>
      </w:r>
    </w:p>
    <w:p w:rsidR="00163E66" w:rsidP="00163E66">
      <w:pPr>
        <w:pStyle w:val="NormalWeb"/>
        <w:numPr>
          <w:numId w:val="1"/>
        </w:numPr>
        <w:tabs>
          <w:tab w:val="clear" w:pos="360"/>
        </w:tabs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Problematika návrhu právneho predpisu: </w:t>
      </w:r>
    </w:p>
    <w:p w:rsidR="00163E66" w:rsidP="00163E66">
      <w:pPr>
        <w:pStyle w:val="NormalWeb"/>
        <w:numPr>
          <w:ilvl w:val="1"/>
          <w:numId w:val="1"/>
        </w:numPr>
        <w:tabs>
          <w:tab w:val="clear" w:pos="700"/>
        </w:tabs>
        <w:bidi w:val="0"/>
        <w:spacing w:before="0" w:beforeAutospacing="0" w:after="0" w:afterAutospacing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je upravená v práve </w:t>
      </w:r>
      <w:r>
        <w:rPr>
          <w:rFonts w:ascii="Times New Roman" w:hAnsi="Times New Roman"/>
        </w:rPr>
        <w:t>Európskej únie</w:t>
      </w:r>
      <w:r>
        <w:rPr>
          <w:rFonts w:ascii="Times New Roman" w:hAnsi="Times New Roman"/>
          <w:color w:val="auto"/>
        </w:rPr>
        <w:t xml:space="preserve">: </w:t>
      </w:r>
    </w:p>
    <w:p w:rsidR="00163E66" w:rsidP="00163E66">
      <w:pPr>
        <w:bidi w:val="0"/>
        <w:ind w:left="180" w:firstLine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  v primárnom práve:</w:t>
      </w:r>
    </w:p>
    <w:p w:rsidR="00163E66" w:rsidRPr="004C46D2" w:rsidP="00163E66">
      <w:pPr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4C46D2">
        <w:rPr>
          <w:rFonts w:ascii="Times New Roman" w:hAnsi="Times New Roman"/>
        </w:rPr>
        <w:t xml:space="preserve">v Zmluve o fungovaní Európskej únie  </w:t>
      </w:r>
    </w:p>
    <w:p w:rsidR="00163E66" w:rsidP="00163E66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sekundárnom práve:</w:t>
      </w:r>
    </w:p>
    <w:p w:rsidR="00163E66" w:rsidP="00163E66">
      <w:pPr>
        <w:numPr>
          <w:numId w:val="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Nariadenie (ES) č. 273/2004 Európskeho parlamentu a Rady z 11. februára 2004 o prekurzoroch drog (Mimoriadne vydanie Ú. v. EÚ kap. 15/zv.8) v platnom znení.</w:t>
      </w:r>
    </w:p>
    <w:p w:rsidR="00163E66" w:rsidP="00163E66">
      <w:pPr>
        <w:numPr>
          <w:numId w:val="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Nariadenie Rady (ES) č. 111/2005 z 22. decembra 2004, ktorým sa stanovujú pravidlá sledovania obchodu s drogovými prekurzormi medzi Spoločenstvom a tretími krajinami (Ú. v. EÚ L 22, 26.1.2005).  </w:t>
      </w:r>
    </w:p>
    <w:p w:rsidR="00163E66" w:rsidP="00163E66">
      <w:pPr>
        <w:bidi w:val="0"/>
        <w:ind w:left="721"/>
        <w:jc w:val="both"/>
        <w:rPr>
          <w:rFonts w:ascii="Times New Roman" w:hAnsi="Times New Roman"/>
        </w:rPr>
      </w:pPr>
    </w:p>
    <w:p w:rsidR="00163E66" w:rsidP="00163E66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cs-CZ"/>
        </w:rPr>
        <w:t xml:space="preserve">     </w:t>
      </w:r>
      <w:r>
        <w:rPr>
          <w:rFonts w:ascii="Times New Roman" w:hAnsi="Times New Roman"/>
        </w:rPr>
        <w:t xml:space="preserve"> b)   nie je obsiahnutá v judikatúre Súdneho dvora Európskej únie.    </w:t>
      </w:r>
    </w:p>
    <w:p w:rsidR="00163E66" w:rsidP="00163E66">
      <w:pPr>
        <w:tabs>
          <w:tab w:val="left" w:pos="360"/>
        </w:tabs>
        <w:bidi w:val="0"/>
        <w:ind w:left="357"/>
        <w:jc w:val="both"/>
        <w:rPr>
          <w:rFonts w:ascii="Times New Roman" w:hAnsi="Times New Roman"/>
        </w:rPr>
      </w:pPr>
    </w:p>
    <w:p w:rsidR="00163E66" w:rsidRPr="004B4DD3" w:rsidP="00163E66">
      <w:pPr>
        <w:tabs>
          <w:tab w:val="left" w:pos="360"/>
        </w:tabs>
        <w:bidi w:val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   Záväzky Sloven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republiky vo vzťahu k  Európ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 xml:space="preserve">ej únii: </w:t>
      </w:r>
      <w:r w:rsidRPr="004C46D2">
        <w:rPr>
          <w:rFonts w:ascii="Times New Roman" w:hAnsi="Times New Roman"/>
          <w:bCs/>
        </w:rPr>
        <w:t>bezpredmetné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63E66" w:rsidRPr="008955C3" w:rsidP="00163E66">
      <w:pPr>
        <w:tabs>
          <w:tab w:val="left" w:pos="1620"/>
        </w:tabs>
        <w:bidi w:val="0"/>
        <w:jc w:val="both"/>
        <w:rPr>
          <w:rFonts w:ascii="Times New Roman" w:hAnsi="Times New Roman"/>
        </w:rPr>
      </w:pPr>
    </w:p>
    <w:p w:rsidR="00163E66" w:rsidRPr="004A78A2" w:rsidP="00163E66">
      <w:pPr>
        <w:numPr>
          <w:numId w:val="5"/>
        </w:numPr>
        <w:bidi w:val="0"/>
        <w:jc w:val="both"/>
        <w:rPr>
          <w:rFonts w:ascii="Times New Roman" w:hAnsi="Times New Roman"/>
          <w:b/>
          <w:bCs/>
        </w:rPr>
      </w:pPr>
      <w:r w:rsidRPr="004A78A2">
        <w:rPr>
          <w:rFonts w:ascii="Times New Roman" w:hAnsi="Times New Roman"/>
          <w:b/>
        </w:rPr>
        <w:t xml:space="preserve">Stupeň zlučiteľnosti návrhu právneho predpisu </w:t>
      </w:r>
      <w:r>
        <w:rPr>
          <w:rFonts w:ascii="Times New Roman" w:hAnsi="Times New Roman"/>
          <w:b/>
        </w:rPr>
        <w:t xml:space="preserve">alebo návrhu legislatívneho zámeru </w:t>
      </w:r>
      <w:r w:rsidRPr="004A78A2">
        <w:rPr>
          <w:rFonts w:ascii="Times New Roman" w:hAnsi="Times New Roman"/>
          <w:b/>
        </w:rPr>
        <w:t>s právnom  Európ</w:t>
      </w:r>
      <w:smartTag w:uri="urn:schemas-microsoft-com:office:smarttags" w:element="PersonName">
        <w:r w:rsidRPr="004A78A2">
          <w:rPr>
            <w:rFonts w:ascii="Times New Roman" w:hAnsi="Times New Roman"/>
            <w:b/>
          </w:rPr>
          <w:t>sk</w:t>
        </w:r>
      </w:smartTag>
      <w:r w:rsidRPr="004A78A2">
        <w:rPr>
          <w:rFonts w:ascii="Times New Roman" w:hAnsi="Times New Roman"/>
          <w:b/>
        </w:rPr>
        <w:t xml:space="preserve">ej únie: </w:t>
      </w:r>
      <w:r>
        <w:rPr>
          <w:rFonts w:ascii="Times New Roman" w:hAnsi="Times New Roman"/>
        </w:rPr>
        <w:t>úplný</w:t>
      </w:r>
    </w:p>
    <w:p w:rsidR="00163E66" w:rsidRPr="004A78A2" w:rsidP="00163E66">
      <w:pPr>
        <w:bidi w:val="0"/>
        <w:jc w:val="both"/>
        <w:rPr>
          <w:rFonts w:ascii="Times New Roman" w:hAnsi="Times New Roman"/>
          <w:b/>
          <w:bCs/>
        </w:rPr>
      </w:pPr>
    </w:p>
    <w:p w:rsidR="00163E66" w:rsidP="00163E66">
      <w:pPr>
        <w:pStyle w:val="BodyTextIndent3"/>
        <w:numPr>
          <w:numId w:val="5"/>
        </w:numPr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 a spolupracujúce rezorty:  </w:t>
      </w:r>
    </w:p>
    <w:p w:rsidR="00163E66" w:rsidRPr="00C172EC" w:rsidP="00163E66">
      <w:pPr>
        <w:pStyle w:val="BodyTextIndent3"/>
        <w:bidi w:val="0"/>
        <w:spacing w:after="0"/>
        <w:ind w:left="400" w:hanging="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</w:t>
      </w:r>
      <w:r w:rsidRPr="00C172EC">
        <w:rPr>
          <w:rFonts w:ascii="Times New Roman" w:hAnsi="Times New Roman"/>
          <w:sz w:val="24"/>
          <w:szCs w:val="24"/>
        </w:rPr>
        <w:t xml:space="preserve">Ministerstvo hospodárstva </w:t>
      </w:r>
      <w:r>
        <w:rPr>
          <w:rFonts w:ascii="Times New Roman" w:hAnsi="Times New Roman"/>
          <w:sz w:val="24"/>
          <w:szCs w:val="24"/>
        </w:rPr>
        <w:t xml:space="preserve">a výstavby </w:t>
      </w:r>
      <w:r w:rsidRPr="00C172EC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>, Štátny ústav pre kontrolu liečiv, Spoločné pracovisko Prezídia Policajného zboru a colného riaditeľstva SR pre drogové prekurzory</w:t>
      </w:r>
    </w:p>
    <w:p w:rsidR="00163E66" w:rsidP="00163E66">
      <w:pPr>
        <w:pStyle w:val="3"/>
        <w:widowControl/>
        <w:bidi w:val="0"/>
        <w:jc w:val="left"/>
        <w:outlineLvl w:val="1"/>
        <w:rPr>
          <w:rFonts w:ascii="Times New Roman" w:hAnsi="Times New Roman"/>
        </w:rPr>
      </w:pPr>
    </w:p>
    <w:p w:rsidR="00163E66" w:rsidP="00163E66">
      <w:pPr>
        <w:bidi w:val="0"/>
        <w:rPr>
          <w:rFonts w:ascii="Times New Roman" w:hAnsi="Times New Roman"/>
        </w:rPr>
      </w:pPr>
    </w:p>
    <w:p w:rsidR="00163E66" w:rsidRPr="00B522F6" w:rsidP="00163E66">
      <w:pPr>
        <w:bidi w:val="0"/>
        <w:rPr>
          <w:rFonts w:ascii="Times New Roman" w:hAnsi="Times New Roman"/>
        </w:rPr>
      </w:pPr>
    </w:p>
    <w:p w:rsidR="00163E66" w:rsidP="00884E4E">
      <w:pPr>
        <w:bidi w:val="0"/>
        <w:rPr>
          <w:rFonts w:ascii="Times New Roman" w:hAnsi="Times New Roman"/>
        </w:rPr>
      </w:pPr>
    </w:p>
    <w:p w:rsidR="0052078E" w:rsidP="0052078E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Doložka </w:t>
      </w:r>
    </w:p>
    <w:p w:rsidR="0052078E" w:rsidP="0052078E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finančných, ekonomických, environmentálnych vplyvov, vplyvov </w:t>
      </w:r>
    </w:p>
    <w:p w:rsidR="0052078E" w:rsidP="0052078E">
      <w:pPr>
        <w:bidi w:val="0"/>
        <w:jc w:val="center"/>
        <w:rPr>
          <w:rFonts w:ascii="Times New Roman" w:hAnsi="Times New Roman"/>
          <w:b/>
          <w:bCs/>
          <w:lang w:val="cs-CZ" w:eastAsia="cs-CZ"/>
        </w:rPr>
      </w:pPr>
      <w:r>
        <w:rPr>
          <w:rFonts w:ascii="Times New Roman" w:hAnsi="Times New Roman"/>
          <w:b/>
          <w:bCs/>
        </w:rPr>
        <w:t>na zamestnanosť a podnikateľ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é prostredie</w:t>
      </w:r>
    </w:p>
    <w:p w:rsidR="0052078E" w:rsidP="0052078E">
      <w:pPr>
        <w:bidi w:val="0"/>
        <w:rPr>
          <w:rFonts w:ascii="Times New Roman" w:hAnsi="Times New Roman"/>
          <w:b/>
          <w:bCs/>
          <w:lang w:val="cs-CZ" w:eastAsia="cs-CZ"/>
        </w:rPr>
      </w:pPr>
    </w:p>
    <w:p w:rsidR="0052078E" w:rsidP="0052078E">
      <w:pPr>
        <w:bidi w:val="0"/>
        <w:rPr>
          <w:rFonts w:ascii="Times New Roman" w:hAnsi="Times New Roman"/>
          <w:b/>
          <w:bCs/>
          <w:lang w:val="cs-CZ" w:eastAsia="cs-CZ"/>
        </w:rPr>
      </w:pPr>
    </w:p>
    <w:p w:rsidR="0052078E" w:rsidP="0052078E">
      <w:pPr>
        <w:bidi w:val="0"/>
        <w:rPr>
          <w:rFonts w:ascii="Times New Roman" w:hAnsi="Times New Roman"/>
          <w:b/>
          <w:bCs/>
          <w:lang w:val="cs-CZ" w:eastAsia="cs-CZ"/>
        </w:rPr>
      </w:pPr>
    </w:p>
    <w:p w:rsidR="0052078E" w:rsidP="0052078E">
      <w:pPr>
        <w:tabs>
          <w:tab w:val="left" w:pos="200"/>
        </w:tabs>
        <w:bidi w:val="0"/>
        <w:rPr>
          <w:rFonts w:ascii="Times New Roman" w:hAnsi="Times New Roman"/>
          <w:b/>
          <w:bCs/>
          <w:lang w:val="cs-CZ" w:eastAsia="cs-CZ"/>
        </w:rPr>
      </w:pPr>
      <w:r>
        <w:rPr>
          <w:rFonts w:ascii="Times New Roman" w:hAnsi="Times New Roman"/>
          <w:b/>
          <w:bCs/>
        </w:rPr>
        <w:t>1.   Odhad vplyvov na verejné financie:</w:t>
      </w:r>
    </w:p>
    <w:p w:rsidR="0052078E" w:rsidP="0052078E">
      <w:pPr>
        <w:tabs>
          <w:tab w:val="left" w:pos="300"/>
        </w:tabs>
        <w:bidi w:val="0"/>
        <w:rPr>
          <w:rFonts w:ascii="Times New Roman" w:hAnsi="Times New Roman"/>
          <w:lang w:val="cs-CZ" w:eastAsia="cs-CZ"/>
        </w:rPr>
      </w:pPr>
      <w:r>
        <w:rPr>
          <w:rFonts w:ascii="Times New Roman" w:hAnsi="Times New Roman"/>
        </w:rPr>
        <w:t xml:space="preserve">       Predkladaný návrh zákona nebude mať negatívny vplyv na verejné financie.</w:t>
      </w:r>
    </w:p>
    <w:p w:rsidR="0052078E" w:rsidP="0052078E">
      <w:pPr>
        <w:tabs>
          <w:tab w:val="left" w:pos="300"/>
        </w:tabs>
        <w:bidi w:val="0"/>
        <w:rPr>
          <w:rFonts w:ascii="Times New Roman" w:hAnsi="Times New Roman"/>
          <w:lang w:val="cs-CZ" w:eastAsia="cs-CZ"/>
        </w:rPr>
      </w:pPr>
    </w:p>
    <w:p w:rsidR="0052078E" w:rsidRPr="00EB375E" w:rsidP="0052078E">
      <w:pPr>
        <w:tabs>
          <w:tab w:val="left" w:pos="360"/>
        </w:tabs>
        <w:bidi w:val="0"/>
        <w:ind w:left="360" w:hanging="360"/>
        <w:rPr>
          <w:rFonts w:ascii="Times New Roman" w:hAnsi="Times New Roman"/>
          <w:b/>
          <w:lang w:val="cs-CZ" w:eastAsia="cs-CZ"/>
        </w:rPr>
      </w:pPr>
      <w:r>
        <w:rPr>
          <w:rFonts w:ascii="Times New Roman" w:hAnsi="Times New Roman"/>
          <w:b/>
          <w:lang w:val="cs-CZ" w:eastAsia="cs-CZ"/>
        </w:rPr>
        <w:t xml:space="preserve">2.   </w:t>
      </w:r>
      <w:r w:rsidRPr="00EB375E">
        <w:rPr>
          <w:rFonts w:ascii="Times New Roman" w:hAnsi="Times New Roman"/>
          <w:b/>
          <w:bCs/>
        </w:rPr>
        <w:t>Odhad vplyvov na obyvateľov, hospodárenie podnikateľ</w:t>
      </w:r>
      <w:smartTag w:uri="urn:schemas-microsoft-com:office:smarttags" w:element="PersonName">
        <w:r w:rsidRPr="00EB375E">
          <w:rPr>
            <w:rFonts w:ascii="Times New Roman" w:hAnsi="Times New Roman"/>
            <w:b/>
            <w:bCs/>
          </w:rPr>
          <w:t>sk</w:t>
        </w:r>
      </w:smartTag>
      <w:r w:rsidRPr="00EB375E">
        <w:rPr>
          <w:rFonts w:ascii="Times New Roman" w:hAnsi="Times New Roman"/>
          <w:b/>
          <w:bCs/>
        </w:rPr>
        <w:t xml:space="preserve">ej sféry a iných </w:t>
      </w:r>
      <w:r>
        <w:rPr>
          <w:rFonts w:ascii="Times New Roman" w:hAnsi="Times New Roman"/>
          <w:b/>
          <w:bCs/>
        </w:rPr>
        <w:t xml:space="preserve">    </w:t>
      </w:r>
      <w:r w:rsidRPr="00EB375E">
        <w:rPr>
          <w:rFonts w:ascii="Times New Roman" w:hAnsi="Times New Roman"/>
          <w:b/>
          <w:bCs/>
        </w:rPr>
        <w:t>právnických osôb</w:t>
      </w:r>
    </w:p>
    <w:p w:rsidR="0052078E" w:rsidP="0052078E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lang w:val="cs-CZ" w:eastAsia="cs-CZ"/>
        </w:rPr>
      </w:pPr>
      <w:r>
        <w:rPr>
          <w:rFonts w:ascii="Times New Roman" w:hAnsi="Times New Roman"/>
        </w:rPr>
        <w:t xml:space="preserve">      Návrh zákona nebude mať dopad na hospodárenie obyvateľov, ani na hospodárenie podnikateľ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sféry iných právnických osôb.</w:t>
      </w:r>
    </w:p>
    <w:p w:rsidR="0052078E" w:rsidP="0052078E">
      <w:pPr>
        <w:bidi w:val="0"/>
        <w:rPr>
          <w:rFonts w:ascii="Times New Roman" w:hAnsi="Times New Roman"/>
          <w:b/>
          <w:bCs/>
          <w:lang w:val="cs-CZ" w:eastAsia="cs-CZ"/>
        </w:rPr>
      </w:pPr>
    </w:p>
    <w:p w:rsidR="0052078E" w:rsidP="0052078E">
      <w:pPr>
        <w:bidi w:val="0"/>
        <w:rPr>
          <w:rFonts w:ascii="Times New Roman" w:hAnsi="Times New Roman"/>
          <w:b/>
          <w:bCs/>
          <w:lang w:val="cs-CZ" w:eastAsia="cs-CZ"/>
        </w:rPr>
      </w:pPr>
      <w:r>
        <w:rPr>
          <w:rFonts w:ascii="Times New Roman" w:hAnsi="Times New Roman"/>
          <w:b/>
          <w:bCs/>
        </w:rPr>
        <w:t>3.   Odhad vplyvov na životné prostredie</w:t>
      </w:r>
    </w:p>
    <w:p w:rsidR="0052078E" w:rsidP="0052078E">
      <w:pPr>
        <w:bidi w:val="0"/>
        <w:rPr>
          <w:rFonts w:ascii="Times New Roman" w:hAnsi="Times New Roman"/>
          <w:lang w:val="cs-CZ" w:eastAsia="cs-CZ"/>
        </w:rPr>
      </w:pPr>
      <w:r>
        <w:rPr>
          <w:rFonts w:ascii="Times New Roman" w:hAnsi="Times New Roman"/>
        </w:rPr>
        <w:t xml:space="preserve">      Návrh zákona nebude mať dopad na životné prostredie.</w:t>
      </w:r>
    </w:p>
    <w:p w:rsidR="0052078E" w:rsidP="0052078E">
      <w:pPr>
        <w:bidi w:val="0"/>
        <w:rPr>
          <w:rFonts w:ascii="Times New Roman" w:hAnsi="Times New Roman"/>
          <w:b/>
          <w:bCs/>
          <w:lang w:val="cs-CZ" w:eastAsia="cs-CZ"/>
        </w:rPr>
      </w:pPr>
    </w:p>
    <w:p w:rsidR="0052078E" w:rsidP="0052078E">
      <w:pPr>
        <w:bidi w:val="0"/>
        <w:rPr>
          <w:rFonts w:ascii="Times New Roman" w:hAnsi="Times New Roman"/>
          <w:b/>
          <w:bCs/>
          <w:lang w:val="cs-CZ" w:eastAsia="cs-CZ"/>
        </w:rPr>
      </w:pPr>
      <w:r>
        <w:rPr>
          <w:rFonts w:ascii="Times New Roman" w:hAnsi="Times New Roman"/>
          <w:b/>
          <w:bCs/>
        </w:rPr>
        <w:t xml:space="preserve">4.    Odhad vplyvov na zamestnanosť </w:t>
      </w:r>
    </w:p>
    <w:p w:rsidR="0052078E" w:rsidP="0052078E">
      <w:pPr>
        <w:bidi w:val="0"/>
        <w:rPr>
          <w:rFonts w:ascii="Times New Roman" w:hAnsi="Times New Roman"/>
          <w:lang w:val="cs-CZ" w:eastAsia="cs-CZ"/>
        </w:rPr>
      </w:pPr>
      <w:r>
        <w:rPr>
          <w:rFonts w:ascii="Times New Roman" w:hAnsi="Times New Roman"/>
        </w:rPr>
        <w:t xml:space="preserve">       Návrh zákona nebude mať dopad na tvorbu pracovných miest.</w:t>
      </w:r>
    </w:p>
    <w:p w:rsidR="0052078E" w:rsidP="0052078E">
      <w:pPr>
        <w:bidi w:val="0"/>
        <w:rPr>
          <w:rFonts w:ascii="Times New Roman" w:hAnsi="Times New Roman"/>
          <w:b/>
          <w:bCs/>
          <w:lang w:val="cs-CZ" w:eastAsia="cs-CZ"/>
        </w:rPr>
      </w:pPr>
    </w:p>
    <w:p w:rsidR="0052078E" w:rsidP="0052078E">
      <w:pPr>
        <w:bidi w:val="0"/>
        <w:rPr>
          <w:rFonts w:ascii="Times New Roman" w:hAnsi="Times New Roman"/>
          <w:b/>
          <w:bCs/>
          <w:lang w:val="cs-CZ" w:eastAsia="cs-CZ"/>
        </w:rPr>
      </w:pPr>
      <w:r>
        <w:rPr>
          <w:rFonts w:ascii="Times New Roman" w:hAnsi="Times New Roman"/>
          <w:b/>
          <w:bCs/>
        </w:rPr>
        <w:t>5.    Vplyv na podnikateľ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 xml:space="preserve">é prostredie </w:t>
      </w:r>
    </w:p>
    <w:p w:rsidR="0052078E" w:rsidP="0052078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Návrh zákona nebude mať negatívny vplyv na podnikateľ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é prostredie.</w:t>
      </w:r>
    </w:p>
    <w:p w:rsidR="00163E66" w:rsidP="00884E4E">
      <w:pPr>
        <w:bidi w:val="0"/>
        <w:rPr>
          <w:rFonts w:ascii="Times New Roman" w:hAnsi="Times New Roman"/>
        </w:rPr>
      </w:pPr>
    </w:p>
    <w:p w:rsidR="00163E66" w:rsidP="00884E4E">
      <w:pPr>
        <w:bidi w:val="0"/>
        <w:rPr>
          <w:rFonts w:ascii="Times New Roman" w:hAnsi="Times New Roman"/>
        </w:rPr>
      </w:pPr>
    </w:p>
    <w:p w:rsidR="0052078E" w:rsidP="00884E4E">
      <w:pPr>
        <w:bidi w:val="0"/>
        <w:rPr>
          <w:rFonts w:ascii="Times New Roman" w:hAnsi="Times New Roman"/>
        </w:rPr>
      </w:pPr>
    </w:p>
    <w:p w:rsidR="0068439D" w:rsidRPr="00884E4E" w:rsidP="00884E4E">
      <w:pPr>
        <w:bidi w:val="0"/>
        <w:rPr>
          <w:rFonts w:ascii="Times New Roman" w:hAnsi="Times New Roman"/>
          <w:b/>
        </w:rPr>
      </w:pPr>
      <w:r w:rsidRPr="00884E4E">
        <w:rPr>
          <w:rFonts w:ascii="Times New Roman" w:hAnsi="Times New Roman"/>
          <w:b/>
        </w:rPr>
        <w:t>Osobitná časť</w:t>
      </w:r>
    </w:p>
    <w:p w:rsidR="00C9673A" w:rsidRPr="006E0F80" w:rsidP="00EB375E">
      <w:pPr>
        <w:pStyle w:val="3"/>
        <w:widowControl/>
        <w:bidi w:val="0"/>
        <w:jc w:val="left"/>
        <w:outlineLvl w:val="1"/>
        <w:rPr>
          <w:rFonts w:ascii="Times New Roman" w:hAnsi="Times New Roman"/>
        </w:rPr>
      </w:pPr>
    </w:p>
    <w:p w:rsidR="0068439D" w:rsidRPr="006E0F80" w:rsidP="00EB375E">
      <w:pPr>
        <w:pStyle w:val="3"/>
        <w:widowControl/>
        <w:bidi w:val="0"/>
        <w:jc w:val="left"/>
        <w:outlineLvl w:val="1"/>
        <w:rPr>
          <w:rFonts w:ascii="Times New Roman" w:hAnsi="Times New Roman"/>
        </w:rPr>
      </w:pPr>
    </w:p>
    <w:p w:rsidR="00EB375E" w:rsidRPr="006E0F80" w:rsidP="00EB375E">
      <w:pPr>
        <w:pStyle w:val="3"/>
        <w:widowControl/>
        <w:bidi w:val="0"/>
        <w:jc w:val="left"/>
        <w:outlineLvl w:val="1"/>
        <w:rPr>
          <w:rFonts w:ascii="Times New Roman" w:hAnsi="Times New Roman"/>
        </w:rPr>
      </w:pPr>
      <w:r w:rsidRPr="006E0F80">
        <w:rPr>
          <w:rFonts w:ascii="Times New Roman" w:hAnsi="Times New Roman"/>
        </w:rPr>
        <w:t xml:space="preserve">K čl. I </w:t>
      </w:r>
    </w:p>
    <w:p w:rsidR="00EB375E" w:rsidRPr="006E0F80" w:rsidP="00EB375E">
      <w:pPr>
        <w:pStyle w:val="3"/>
        <w:widowControl/>
        <w:bidi w:val="0"/>
        <w:jc w:val="left"/>
        <w:outlineLvl w:val="1"/>
        <w:rPr>
          <w:rFonts w:ascii="Times New Roman" w:hAnsi="Times New Roman"/>
        </w:rPr>
      </w:pPr>
    </w:p>
    <w:p w:rsidR="00EB375E" w:rsidRPr="006E0F80" w:rsidP="00EB375E">
      <w:pPr>
        <w:pStyle w:val="3"/>
        <w:widowControl/>
        <w:bidi w:val="0"/>
        <w:jc w:val="left"/>
        <w:outlineLvl w:val="1"/>
      </w:pPr>
      <w:r w:rsidRPr="006E0F80">
        <w:t xml:space="preserve">K bodu 1 </w:t>
      </w:r>
    </w:p>
    <w:p w:rsidR="00057E63" w:rsidRPr="006E0F80" w:rsidP="00FB6F52">
      <w:pPr>
        <w:pStyle w:val="3"/>
        <w:widowControl/>
        <w:bidi w:val="0"/>
        <w:jc w:val="left"/>
        <w:outlineLvl w:val="1"/>
        <w:rPr>
          <w:rFonts w:ascii="Times New Roman" w:hAnsi="Times New Roman"/>
        </w:rPr>
      </w:pPr>
      <w:r w:rsidRPr="006E0F80">
        <w:rPr>
          <w:rFonts w:ascii="Times New Roman" w:hAnsi="Times New Roman"/>
        </w:rPr>
        <w:tab/>
      </w:r>
    </w:p>
    <w:p w:rsidR="00EB375E" w:rsidRPr="006E0F80" w:rsidP="00FB6F52">
      <w:pPr>
        <w:pStyle w:val="3"/>
        <w:widowControl/>
        <w:bidi w:val="0"/>
        <w:jc w:val="left"/>
        <w:outlineLvl w:val="1"/>
        <w:rPr>
          <w:rFonts w:ascii="Times New Roman" w:hAnsi="Times New Roman"/>
        </w:rPr>
      </w:pPr>
      <w:r w:rsidRPr="006E0F80" w:rsidR="00057E63">
        <w:rPr>
          <w:rFonts w:ascii="Times New Roman" w:hAnsi="Times New Roman"/>
        </w:rPr>
        <w:tab/>
      </w:r>
      <w:r w:rsidRPr="006E0F80" w:rsidR="00C85500">
        <w:rPr>
          <w:rFonts w:ascii="Times New Roman" w:hAnsi="Times New Roman"/>
        </w:rPr>
        <w:t>Upravuje sa pôsobnosť Štátneho ústavu pre kontrolu liečiv v procese preverovania spôsobilosti žiadateľa o vydanie osobitného povolenia podľa nariadenia (ES) č. 273/2004</w:t>
      </w:r>
      <w:r w:rsidRPr="006E0F80" w:rsidR="00B427BE">
        <w:rPr>
          <w:rFonts w:ascii="Times New Roman" w:hAnsi="Times New Roman"/>
        </w:rPr>
        <w:t xml:space="preserve"> s cieľom precizovať činnosti pri tomto preverovaní</w:t>
      </w:r>
      <w:r w:rsidRPr="006E0F80">
        <w:rPr>
          <w:rFonts w:ascii="Times New Roman" w:hAnsi="Times New Roman"/>
        </w:rPr>
        <w:t>.</w:t>
      </w:r>
    </w:p>
    <w:p w:rsidR="00EB375E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EB375E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  <w:r w:rsidRPr="006E0F80" w:rsidR="00312854">
        <w:rPr>
          <w:rFonts w:ascii="Times New Roman" w:hAnsi="Times New Roman"/>
        </w:rPr>
        <w:t>K bod</w:t>
      </w:r>
      <w:r w:rsidRPr="006E0F80" w:rsidR="00826D5B">
        <w:rPr>
          <w:rFonts w:ascii="Times New Roman" w:hAnsi="Times New Roman"/>
        </w:rPr>
        <w:t>u</w:t>
      </w:r>
      <w:r w:rsidRPr="006E0F80" w:rsidR="00312854">
        <w:rPr>
          <w:rFonts w:ascii="Times New Roman" w:hAnsi="Times New Roman"/>
        </w:rPr>
        <w:t xml:space="preserve"> 2 </w:t>
      </w:r>
    </w:p>
    <w:p w:rsidR="00057E63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EB375E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  <w:r w:rsidRPr="006E0F80" w:rsidR="00057E63">
        <w:rPr>
          <w:rFonts w:ascii="Times New Roman" w:hAnsi="Times New Roman"/>
        </w:rPr>
        <w:tab/>
      </w:r>
      <w:r w:rsidRPr="006E0F80" w:rsidR="00C85500">
        <w:rPr>
          <w:rFonts w:ascii="Times New Roman" w:hAnsi="Times New Roman"/>
        </w:rPr>
        <w:t>Upravuje sa pôsobnosť Štátneho ústavu pre kontrolu liečiv pri rozhodovaní u pozastavení resp. ukončení činnosti prevádzkovateľov tak, aby sa vzťahovala aj na držiteľov registrácií</w:t>
      </w:r>
      <w:r w:rsidRPr="006E0F80" w:rsidR="00B427BE">
        <w:rPr>
          <w:rFonts w:ascii="Times New Roman" w:hAnsi="Times New Roman"/>
        </w:rPr>
        <w:t>, pre ktorých sa takáto možnosť neupravuje v príslušných nariadeniach EÚ, avšak je nutná pri trestnom stíhaní držiteľov registrácií</w:t>
      </w:r>
      <w:r w:rsidRPr="006E0F80" w:rsidR="00C85500">
        <w:rPr>
          <w:rFonts w:ascii="Times New Roman" w:hAnsi="Times New Roman"/>
        </w:rPr>
        <w:t>.</w:t>
      </w:r>
    </w:p>
    <w:p w:rsidR="00C85500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C85500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  <w:r w:rsidRPr="006E0F80">
        <w:rPr>
          <w:rFonts w:ascii="Times New Roman" w:hAnsi="Times New Roman"/>
        </w:rPr>
        <w:t>K bodu 3</w:t>
      </w:r>
    </w:p>
    <w:p w:rsidR="00057E63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C85500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  <w:r w:rsidRPr="006E0F80" w:rsidR="00057E63">
        <w:rPr>
          <w:rFonts w:ascii="Times New Roman" w:hAnsi="Times New Roman"/>
        </w:rPr>
        <w:tab/>
      </w:r>
      <w:r w:rsidRPr="006E0F80">
        <w:rPr>
          <w:rFonts w:ascii="Times New Roman" w:hAnsi="Times New Roman"/>
        </w:rPr>
        <w:t>Upravuje sa pôsobnosť Štátneho ústavu pre kontrolu liečiv v oblasti evidencie prevádzkovateľov</w:t>
      </w:r>
      <w:r w:rsidRPr="006E0F80" w:rsidR="00FB6F52">
        <w:rPr>
          <w:rFonts w:ascii="Times New Roman" w:hAnsi="Times New Roman"/>
        </w:rPr>
        <w:t>.</w:t>
      </w:r>
    </w:p>
    <w:p w:rsidR="00C85500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C85500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  <w:r w:rsidRPr="006E0F80">
        <w:rPr>
          <w:rFonts w:ascii="Times New Roman" w:hAnsi="Times New Roman"/>
        </w:rPr>
        <w:t>K bodu 4</w:t>
      </w:r>
    </w:p>
    <w:p w:rsidR="00057E63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C85500" w:rsidRPr="006E0F80" w:rsidP="00EB375E">
      <w:pPr>
        <w:pStyle w:val="3"/>
        <w:widowControl/>
        <w:bidi w:val="0"/>
        <w:outlineLvl w:val="1"/>
      </w:pPr>
      <w:r w:rsidRPr="006E0F80" w:rsidR="00057E63">
        <w:rPr>
          <w:rFonts w:ascii="Times New Roman" w:hAnsi="Times New Roman"/>
        </w:rPr>
        <w:tab/>
      </w:r>
      <w:r w:rsidRPr="006E0F80">
        <w:rPr>
          <w:rFonts w:ascii="Times New Roman" w:hAnsi="Times New Roman"/>
        </w:rPr>
        <w:t xml:space="preserve">Dopĺňa sa zoznam orgánov štátnej správy, ktorým Štátny ústav pre kontrolu liečiv zasiela kópiu vydaného </w:t>
      </w:r>
      <w:r w:rsidRPr="006E0F80" w:rsidR="00FB6F52">
        <w:t>povolenia, osobitného   povolenia prevádzkovateľovi, oznámenia o registrácii, osobitnej registrácii prevádzkovateľa alebo originálu rozhodnutia alebo oznámenia o dočasnom pozastavení činnosti, zrušení a vyznačení zmeny v týchto dokumentoch</w:t>
      </w:r>
      <w:r w:rsidRPr="006E0F80" w:rsidR="00B427BE">
        <w:t xml:space="preserve"> za účelom poskytovania operatívnych údajov o nových prevádzkovateľoch spoločnému pracovisku</w:t>
      </w:r>
      <w:r w:rsidRPr="006E0F80" w:rsidR="00FB6F52">
        <w:t>.</w:t>
      </w:r>
    </w:p>
    <w:p w:rsidR="00FB6F52" w:rsidRPr="006E0F80" w:rsidP="00EB375E">
      <w:pPr>
        <w:pStyle w:val="3"/>
        <w:widowControl/>
        <w:bidi w:val="0"/>
        <w:outlineLvl w:val="1"/>
      </w:pPr>
    </w:p>
    <w:p w:rsidR="00FB6F52" w:rsidRPr="006E0F80" w:rsidP="00EB375E">
      <w:pPr>
        <w:pStyle w:val="3"/>
        <w:widowControl/>
        <w:bidi w:val="0"/>
        <w:outlineLvl w:val="1"/>
      </w:pPr>
      <w:r w:rsidRPr="006E0F80">
        <w:t>K bodu 5</w:t>
      </w:r>
    </w:p>
    <w:p w:rsidR="00057E63" w:rsidRPr="006E0F80" w:rsidP="00EB375E">
      <w:pPr>
        <w:pStyle w:val="3"/>
        <w:widowControl/>
        <w:bidi w:val="0"/>
        <w:outlineLvl w:val="1"/>
      </w:pPr>
    </w:p>
    <w:p w:rsidR="00FB6F52" w:rsidRPr="006E0F80" w:rsidP="00EB375E">
      <w:pPr>
        <w:pStyle w:val="3"/>
        <w:widowControl/>
        <w:bidi w:val="0"/>
        <w:outlineLvl w:val="1"/>
      </w:pPr>
      <w:r w:rsidRPr="006E0F80" w:rsidR="00057E63">
        <w:tab/>
      </w:r>
      <w:r w:rsidRPr="006E0F80">
        <w:t>V súlade s článkom 10 ods. 1 nariadenia (ES) č. 273/2004 sa dopĺňa právomoc ministerstva hospodárstva pri získavaní údajov o transakciách s určenými látkami</w:t>
      </w:r>
      <w:r w:rsidRPr="006E0F80" w:rsidR="00B427BE">
        <w:t xml:space="preserve"> za účelom získania údajov potrebných pre spoločné aktivity členských štátov v rámci projektov EK pre boj s drogami</w:t>
      </w:r>
      <w:r w:rsidRPr="006E0F80">
        <w:t>.</w:t>
      </w:r>
    </w:p>
    <w:p w:rsidR="00FB6F52" w:rsidRPr="006E0F80" w:rsidP="00EB375E">
      <w:pPr>
        <w:pStyle w:val="3"/>
        <w:widowControl/>
        <w:bidi w:val="0"/>
        <w:outlineLvl w:val="1"/>
      </w:pPr>
    </w:p>
    <w:p w:rsidR="00FB6F52" w:rsidRPr="006E0F80" w:rsidP="00EB375E">
      <w:pPr>
        <w:pStyle w:val="3"/>
        <w:widowControl/>
        <w:bidi w:val="0"/>
        <w:outlineLvl w:val="1"/>
      </w:pPr>
      <w:r w:rsidRPr="006E0F80">
        <w:t>K bodu 6</w:t>
      </w:r>
    </w:p>
    <w:p w:rsidR="00057E63" w:rsidRPr="006E0F80" w:rsidP="00EB375E">
      <w:pPr>
        <w:pStyle w:val="3"/>
        <w:widowControl/>
        <w:bidi w:val="0"/>
        <w:outlineLvl w:val="1"/>
      </w:pPr>
    </w:p>
    <w:p w:rsidR="00FB6F52" w:rsidRPr="006E0F80" w:rsidP="00EB375E">
      <w:pPr>
        <w:pStyle w:val="3"/>
        <w:widowControl/>
        <w:bidi w:val="0"/>
        <w:outlineLvl w:val="1"/>
      </w:pPr>
      <w:r w:rsidRPr="006E0F80" w:rsidR="00057E63">
        <w:tab/>
      </w:r>
      <w:r w:rsidRPr="006E0F80">
        <w:t>Upresňuje sa právomoc kontrolných orgánov pri kontrole prevádzkovateľov</w:t>
      </w:r>
      <w:r w:rsidRPr="006E0F80" w:rsidR="0078496B">
        <w:t xml:space="preserve"> s cieľom precizovať všeobecné ustanovenia podľa nariadenia Európskeho parlamentu a Rady (ES) č. 273/2004.</w:t>
      </w:r>
    </w:p>
    <w:p w:rsidR="00FB6F52" w:rsidRPr="006E0F80" w:rsidP="00EB375E">
      <w:pPr>
        <w:pStyle w:val="3"/>
        <w:widowControl/>
        <w:bidi w:val="0"/>
        <w:outlineLvl w:val="1"/>
      </w:pPr>
    </w:p>
    <w:p w:rsidR="00FB6F52" w:rsidRPr="006E0F80" w:rsidP="00EB375E">
      <w:pPr>
        <w:pStyle w:val="3"/>
        <w:widowControl/>
        <w:bidi w:val="0"/>
        <w:outlineLvl w:val="1"/>
      </w:pPr>
      <w:r w:rsidRPr="006E0F80">
        <w:t>K bodu 7</w:t>
      </w:r>
    </w:p>
    <w:p w:rsidR="00057E63" w:rsidRPr="006E0F80" w:rsidP="00EB375E">
      <w:pPr>
        <w:pStyle w:val="3"/>
        <w:widowControl/>
        <w:bidi w:val="0"/>
        <w:outlineLvl w:val="1"/>
      </w:pPr>
    </w:p>
    <w:p w:rsidR="00FB6F52" w:rsidRPr="006E0F80" w:rsidP="00EB375E">
      <w:pPr>
        <w:pStyle w:val="3"/>
        <w:widowControl/>
        <w:bidi w:val="0"/>
        <w:outlineLvl w:val="1"/>
      </w:pPr>
      <w:r w:rsidRPr="006E0F80" w:rsidR="00057E63">
        <w:tab/>
      </w:r>
      <w:r w:rsidRPr="006E0F80">
        <w:t>Upresňujú sa podmienky ukladania pokút a výška pokút tak, aby postihovali širší rozsah v oblasti správnych deliktov ako aj zaobchádzania s určenými látkami za podmienok, ktoré nie sú v súlade s nariadeniami (ES) č. 273/2004 a 111/2005 ak nie je dôvodné podozrenie ich priameho zneužitia na nelegálnu výrobu omamných a psychotropných látok.</w:t>
      </w:r>
    </w:p>
    <w:p w:rsidR="00FB6F52" w:rsidRPr="006E0F80" w:rsidP="00EB375E">
      <w:pPr>
        <w:pStyle w:val="3"/>
        <w:widowControl/>
        <w:bidi w:val="0"/>
        <w:outlineLvl w:val="1"/>
      </w:pPr>
      <w:r w:rsidRPr="006E0F80">
        <w:t>K bodu 8</w:t>
      </w:r>
    </w:p>
    <w:p w:rsidR="00057E63" w:rsidRPr="006E0F80" w:rsidP="00EB375E">
      <w:pPr>
        <w:pStyle w:val="3"/>
        <w:widowControl/>
        <w:bidi w:val="0"/>
        <w:outlineLvl w:val="1"/>
      </w:pPr>
    </w:p>
    <w:p w:rsidR="00FB6F52" w:rsidRPr="006E0F80" w:rsidP="00EB375E">
      <w:pPr>
        <w:pStyle w:val="3"/>
        <w:widowControl/>
        <w:bidi w:val="0"/>
        <w:outlineLvl w:val="1"/>
      </w:pPr>
      <w:r w:rsidRPr="006E0F80" w:rsidR="00057E63">
        <w:tab/>
      </w:r>
      <w:r w:rsidRPr="006E0F80">
        <w:t>Upra</w:t>
      </w:r>
      <w:r w:rsidRPr="006E0F80" w:rsidR="00E16F04">
        <w:t>vuje sa poskytovanie</w:t>
      </w:r>
      <w:r w:rsidRPr="006E0F80">
        <w:t xml:space="preserve"> liekov obsahujúcich určené látky pacientom bez toho, aby títo boli považovaní za prevádzkovateľov</w:t>
      </w:r>
      <w:r w:rsidRPr="006E0F80" w:rsidR="00C9673A">
        <w:t xml:space="preserve"> </w:t>
      </w:r>
      <w:r w:rsidRPr="006E0F80" w:rsidR="0078496B">
        <w:t>ako aj skutočnosť, aby osoba oprávnená vydávať takéto lieky nebola povinná poskytovať súhrnné hlásenia o ich spotrebe, ak ich poskytne pacientovi v množstve potrebnom na jeden liečebný cyklus.</w:t>
      </w:r>
      <w:r w:rsidRPr="006E0F80" w:rsidR="00C9673A">
        <w:t> </w:t>
      </w:r>
      <w:r w:rsidRPr="006E0F80" w:rsidR="0078496B">
        <w:t>T</w:t>
      </w:r>
      <w:r w:rsidRPr="006E0F80" w:rsidR="00C9673A">
        <w:t>iež sa ustanovuje skutočnosť, aby sa na podnikateľa, ktorý určené látky kategórie 2 spracováva ako konečný  užívateľ, vzťahovali všetky povinnosti prevádzkovateľa podľa nariadení (ES) č. 273/2004 a 111/2005.</w:t>
      </w:r>
    </w:p>
    <w:p w:rsidR="00C9673A" w:rsidRPr="006E0F80" w:rsidP="00EB375E">
      <w:pPr>
        <w:pStyle w:val="3"/>
        <w:widowControl/>
        <w:bidi w:val="0"/>
        <w:outlineLvl w:val="1"/>
      </w:pPr>
    </w:p>
    <w:p w:rsidR="00826D5B" w:rsidRPr="006E0F80" w:rsidP="00EB375E">
      <w:pPr>
        <w:pStyle w:val="Zakladnystyl"/>
        <w:bidi w:val="0"/>
        <w:jc w:val="both"/>
        <w:rPr>
          <w:rFonts w:ascii="Times New Roman" w:hAnsi="Times New Roman"/>
          <w:sz w:val="24"/>
        </w:rPr>
      </w:pPr>
      <w:r w:rsidRPr="006E0F80">
        <w:rPr>
          <w:rFonts w:ascii="Times New Roman" w:hAnsi="Times New Roman"/>
          <w:sz w:val="24"/>
        </w:rPr>
        <w:t>K čl. II</w:t>
      </w:r>
    </w:p>
    <w:p w:rsidR="00057E63" w:rsidRPr="006E0F80" w:rsidP="00EB375E">
      <w:pPr>
        <w:pStyle w:val="Zakladnystyl"/>
        <w:bidi w:val="0"/>
        <w:jc w:val="both"/>
        <w:rPr>
          <w:rFonts w:ascii="Times New Roman" w:hAnsi="Times New Roman"/>
          <w:sz w:val="24"/>
        </w:rPr>
      </w:pPr>
    </w:p>
    <w:p w:rsidR="007F2081" w:rsidRPr="006E0F80" w:rsidP="007F2081">
      <w:pPr>
        <w:pStyle w:val="Zakladnystyl"/>
        <w:bidi w:val="0"/>
        <w:jc w:val="both"/>
        <w:rPr>
          <w:rFonts w:ascii="Times New Roman" w:hAnsi="Times New Roman"/>
          <w:sz w:val="24"/>
        </w:rPr>
      </w:pPr>
      <w:r w:rsidRPr="006E0F80" w:rsidR="0078496B">
        <w:rPr>
          <w:rFonts w:ascii="Times New Roman" w:hAnsi="Times New Roman"/>
          <w:sz w:val="24"/>
        </w:rPr>
        <w:t>K bodu 1</w:t>
      </w:r>
    </w:p>
    <w:p w:rsidR="007F2081" w:rsidRPr="006E0F80" w:rsidP="007F2081">
      <w:pPr>
        <w:pStyle w:val="Zakladnystyl"/>
        <w:bidi w:val="0"/>
        <w:jc w:val="both"/>
        <w:rPr>
          <w:rFonts w:ascii="Times New Roman" w:hAnsi="Times New Roman"/>
          <w:sz w:val="24"/>
        </w:rPr>
      </w:pPr>
    </w:p>
    <w:p w:rsidR="007F2081" w:rsidRPr="006E0F80" w:rsidP="007F2081">
      <w:pPr>
        <w:pStyle w:val="Zakladnystyl"/>
        <w:bidi w:val="0"/>
        <w:jc w:val="both"/>
        <w:rPr>
          <w:rFonts w:ascii="Times New Roman" w:hAnsi="Times New Roman"/>
          <w:sz w:val="24"/>
          <w:szCs w:val="24"/>
        </w:rPr>
      </w:pPr>
      <w:r w:rsidRPr="006E0F80">
        <w:rPr>
          <w:rFonts w:ascii="Times New Roman" w:hAnsi="Times New Roman"/>
          <w:sz w:val="24"/>
          <w:szCs w:val="24"/>
        </w:rPr>
        <w:tab/>
      </w:r>
      <w:r w:rsidRPr="006E0F80" w:rsidR="0078496B">
        <w:rPr>
          <w:rFonts w:ascii="Times New Roman" w:hAnsi="Times New Roman"/>
          <w:sz w:val="24"/>
          <w:szCs w:val="24"/>
        </w:rPr>
        <w:t>Z dôvodu obmedzenia možnosti nelegálneho použitia určených látok obsiahnutých v hotových liekoch sa obmedzuje</w:t>
      </w:r>
      <w:r w:rsidRPr="006E0F80">
        <w:rPr>
          <w:rFonts w:ascii="Times New Roman" w:hAnsi="Times New Roman"/>
          <w:sz w:val="24"/>
          <w:szCs w:val="24"/>
        </w:rPr>
        <w:t xml:space="preserve"> zásielkov</w:t>
      </w:r>
      <w:r w:rsidRPr="006E0F80" w:rsidR="0078496B">
        <w:rPr>
          <w:rFonts w:ascii="Times New Roman" w:hAnsi="Times New Roman"/>
          <w:sz w:val="24"/>
          <w:szCs w:val="24"/>
        </w:rPr>
        <w:t>ý</w:t>
      </w:r>
      <w:r w:rsidRPr="006E0F80">
        <w:rPr>
          <w:rFonts w:ascii="Times New Roman" w:hAnsi="Times New Roman"/>
          <w:sz w:val="24"/>
          <w:szCs w:val="24"/>
        </w:rPr>
        <w:t xml:space="preserve"> výdaj</w:t>
      </w:r>
      <w:r w:rsidRPr="006E0F80" w:rsidR="0078496B">
        <w:rPr>
          <w:rFonts w:ascii="Times New Roman" w:hAnsi="Times New Roman"/>
          <w:sz w:val="24"/>
          <w:szCs w:val="24"/>
        </w:rPr>
        <w:t xml:space="preserve"> na množstvo potrebné na jeden liečebný cyklus</w:t>
      </w:r>
      <w:r w:rsidRPr="006E0F80">
        <w:rPr>
          <w:rFonts w:ascii="Times New Roman" w:hAnsi="Times New Roman"/>
          <w:sz w:val="24"/>
          <w:szCs w:val="24"/>
        </w:rPr>
        <w:t>.</w:t>
      </w:r>
    </w:p>
    <w:p w:rsidR="007F2081" w:rsidRPr="006E0F80" w:rsidP="007F2081">
      <w:pPr>
        <w:pStyle w:val="Zakladnystyl"/>
        <w:bidi w:val="0"/>
        <w:jc w:val="both"/>
        <w:rPr>
          <w:rFonts w:ascii="Times New Roman" w:hAnsi="Times New Roman"/>
          <w:sz w:val="24"/>
          <w:szCs w:val="24"/>
        </w:rPr>
      </w:pPr>
    </w:p>
    <w:p w:rsidR="007F2081" w:rsidRPr="006E0F80" w:rsidP="007F2081">
      <w:pPr>
        <w:pStyle w:val="Zakladnystyl"/>
        <w:bidi w:val="0"/>
        <w:jc w:val="both"/>
        <w:rPr>
          <w:rFonts w:ascii="Times New Roman" w:hAnsi="Times New Roman"/>
          <w:sz w:val="24"/>
          <w:szCs w:val="24"/>
        </w:rPr>
      </w:pPr>
      <w:r w:rsidRPr="006E0F80" w:rsidR="0078496B">
        <w:rPr>
          <w:rFonts w:ascii="Times New Roman" w:hAnsi="Times New Roman"/>
          <w:sz w:val="24"/>
          <w:szCs w:val="24"/>
        </w:rPr>
        <w:t>K bodu 2</w:t>
      </w:r>
    </w:p>
    <w:p w:rsidR="007F2081" w:rsidRPr="006E0F80" w:rsidP="007F2081">
      <w:pPr>
        <w:pStyle w:val="Zakladnystyl"/>
        <w:bidi w:val="0"/>
        <w:jc w:val="both"/>
        <w:rPr>
          <w:rFonts w:ascii="Times New Roman" w:hAnsi="Times New Roman"/>
          <w:sz w:val="24"/>
          <w:szCs w:val="24"/>
        </w:rPr>
      </w:pPr>
    </w:p>
    <w:p w:rsidR="007F2081" w:rsidRPr="006E0F80" w:rsidP="007F2081">
      <w:pPr>
        <w:pStyle w:val="Zakladnystyl"/>
        <w:bidi w:val="0"/>
        <w:jc w:val="both"/>
        <w:rPr>
          <w:rFonts w:ascii="Times New Roman" w:hAnsi="Times New Roman"/>
          <w:sz w:val="24"/>
        </w:rPr>
      </w:pPr>
      <w:r w:rsidRPr="006E0F80">
        <w:rPr>
          <w:rFonts w:ascii="Times New Roman" w:hAnsi="Times New Roman"/>
          <w:sz w:val="24"/>
        </w:rPr>
        <w:tab/>
        <w:t xml:space="preserve">Ustanovuje sa obmedzenie množstva vydaného voľno predajného lieku s obsahom určených látok tak, aby zákazník ktorý nie je prevádzkovateľom v zmysle nariadenia (ES) č. 273/2004, mal k dispozícii liek v množstve potrebnom na jeden liečebný cyklus, pričom osoba oprávnená vydávať lieky nemusí skúmať, či ide o podozrivú transakciu podľa uvedeného nariadenia.         </w:t>
      </w:r>
    </w:p>
    <w:p w:rsidR="00EB375E" w:rsidRPr="006E0F80" w:rsidP="00EB375E">
      <w:pPr>
        <w:pStyle w:val="Zakladnystyl"/>
        <w:bidi w:val="0"/>
        <w:jc w:val="both"/>
        <w:rPr>
          <w:rFonts w:ascii="Times New Roman" w:hAnsi="Times New Roman"/>
          <w:sz w:val="24"/>
        </w:rPr>
      </w:pPr>
      <w:r w:rsidRPr="006E0F80">
        <w:rPr>
          <w:rFonts w:ascii="Times New Roman" w:hAnsi="Times New Roman"/>
          <w:sz w:val="24"/>
        </w:rPr>
        <w:t xml:space="preserve"> </w:t>
      </w:r>
    </w:p>
    <w:p w:rsidR="00EB375E" w:rsidRPr="006E0F80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  <w:r w:rsidRPr="006E0F80">
        <w:rPr>
          <w:rFonts w:ascii="Times New Roman" w:hAnsi="Times New Roman"/>
        </w:rPr>
        <w:t>K čl. II</w:t>
      </w:r>
      <w:r w:rsidRPr="006E0F80" w:rsidR="00826D5B">
        <w:rPr>
          <w:rFonts w:ascii="Times New Roman" w:hAnsi="Times New Roman"/>
        </w:rPr>
        <w:t>I</w:t>
      </w:r>
    </w:p>
    <w:p w:rsidR="00EB375E" w:rsidRPr="00CD6DE6" w:rsidP="00EB375E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EB375E" w:rsidRPr="00CD6DE6" w:rsidP="00EB375E">
      <w:pPr>
        <w:pStyle w:val="3"/>
        <w:widowControl/>
        <w:bidi w:val="0"/>
        <w:ind w:firstLine="708"/>
        <w:outlineLvl w:val="1"/>
        <w:rPr>
          <w:rFonts w:ascii="Times New Roman" w:hAnsi="Times New Roman"/>
        </w:rPr>
      </w:pPr>
      <w:r w:rsidRPr="00CD6DE6">
        <w:rPr>
          <w:rFonts w:ascii="Times New Roman" w:hAnsi="Times New Roman"/>
        </w:rPr>
        <w:t xml:space="preserve">Ustanovuje sa účinnosť </w:t>
      </w:r>
      <w:r w:rsidRPr="00CD6DE6" w:rsidR="00826D5B">
        <w:rPr>
          <w:rFonts w:ascii="Times New Roman" w:hAnsi="Times New Roman"/>
        </w:rPr>
        <w:t>zákona</w:t>
      </w:r>
      <w:r w:rsidRPr="00CD6DE6">
        <w:rPr>
          <w:rFonts w:ascii="Times New Roman" w:hAnsi="Times New Roman"/>
        </w:rPr>
        <w:t xml:space="preserve"> </w:t>
      </w:r>
      <w:r w:rsidRPr="00CD6DE6" w:rsidR="0078496B">
        <w:rPr>
          <w:rFonts w:ascii="Times New Roman" w:hAnsi="Times New Roman"/>
        </w:rPr>
        <w:t>od 1. 11. 2010</w:t>
      </w:r>
      <w:r w:rsidRPr="00CD6DE6" w:rsidR="00BA5FB3">
        <w:rPr>
          <w:rFonts w:ascii="Times New Roman" w:hAnsi="Times New Roman"/>
        </w:rPr>
        <w:t>.</w:t>
      </w:r>
      <w:r w:rsidRPr="00CD6DE6">
        <w:rPr>
          <w:rFonts w:ascii="Times New Roman" w:hAnsi="Times New Roman"/>
        </w:rPr>
        <w:t xml:space="preserve"> </w:t>
      </w:r>
    </w:p>
    <w:p w:rsidR="00EB375E" w:rsidP="00325728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325728" w:rsidP="00325728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52078E" w:rsidP="00325728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325728" w:rsidP="00325728">
      <w:pPr>
        <w:pStyle w:val="3"/>
        <w:widowControl/>
        <w:bidi w:val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Bratislava  11. augusta 2010</w:t>
      </w:r>
    </w:p>
    <w:p w:rsidR="00325728" w:rsidP="00325728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325728" w:rsidP="00325728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325728" w:rsidP="00325728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325728" w:rsidP="00325728">
      <w:pPr>
        <w:pStyle w:val="3"/>
        <w:widowControl/>
        <w:bidi w:val="0"/>
        <w:outlineLvl w:val="1"/>
        <w:rPr>
          <w:rFonts w:ascii="Times New Roman" w:hAnsi="Times New Roman"/>
        </w:rPr>
      </w:pPr>
    </w:p>
    <w:p w:rsidR="00325728" w:rsidRPr="00325728" w:rsidP="00325728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  <w:r w:rsidRPr="00325728">
        <w:rPr>
          <w:rFonts w:ascii="Times New Roman" w:hAnsi="Times New Roman"/>
          <w:b/>
        </w:rPr>
        <w:t>Iveta Radičová</w:t>
      </w:r>
      <w:r w:rsidR="004F063D">
        <w:rPr>
          <w:rFonts w:ascii="Times New Roman" w:hAnsi="Times New Roman"/>
          <w:b/>
        </w:rPr>
        <w:t>, v.r.</w:t>
      </w:r>
    </w:p>
    <w:p w:rsidR="00325728" w:rsidP="00325728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predsedníčka vlády Slovenskej republiky</w:t>
      </w:r>
    </w:p>
    <w:p w:rsidR="00325728" w:rsidP="00325728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325728" w:rsidP="00325728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325728" w:rsidP="00325728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325728" w:rsidRPr="00325728" w:rsidP="00325728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</w:p>
    <w:p w:rsidR="00325728" w:rsidRPr="00325728" w:rsidP="00325728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  <w:r w:rsidRPr="00325728">
        <w:rPr>
          <w:rFonts w:ascii="Times New Roman" w:hAnsi="Times New Roman"/>
          <w:b/>
        </w:rPr>
        <w:t>Juraj Miškov</w:t>
      </w:r>
      <w:r w:rsidR="004F063D">
        <w:rPr>
          <w:rFonts w:ascii="Times New Roman" w:hAnsi="Times New Roman"/>
          <w:b/>
        </w:rPr>
        <w:t>, v.r.</w:t>
      </w:r>
    </w:p>
    <w:p w:rsidR="00954CDF" w:rsidP="00954CDF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  <w:r w:rsidR="00325728">
        <w:rPr>
          <w:rFonts w:ascii="Times New Roman" w:hAnsi="Times New Roman"/>
        </w:rPr>
        <w:t xml:space="preserve">minister hospodárstva </w:t>
      </w:r>
      <w:r w:rsidR="00A01A95">
        <w:rPr>
          <w:rFonts w:ascii="Times New Roman" w:hAnsi="Times New Roman"/>
        </w:rPr>
        <w:t xml:space="preserve">a výstavby </w:t>
      </w:r>
    </w:p>
    <w:p w:rsidR="00325728" w:rsidRPr="00CD6DE6" w:rsidP="00954CDF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B375E" w:rsidRPr="00CD6DE6" w:rsidP="00325728">
      <w:pPr>
        <w:pStyle w:val="3"/>
        <w:widowControl/>
        <w:bidi w:val="0"/>
        <w:jc w:val="left"/>
        <w:outlineLvl w:val="1"/>
        <w:rPr>
          <w:rFonts w:ascii="Times New Roman" w:hAnsi="Times New Roman"/>
        </w:rPr>
      </w:pPr>
    </w:p>
    <w:p w:rsidR="00024B32" w:rsidRPr="00CD6DE6">
      <w:pPr>
        <w:bidi w:val="0"/>
        <w:rPr>
          <w:rFonts w:ascii="Times New Roman" w:hAnsi="Times New Roman"/>
        </w:rPr>
      </w:pPr>
    </w:p>
    <w:sectPr w:rsidSect="0052078E">
      <w:pgSz w:w="11906" w:h="16838" w:code="9"/>
      <w:pgMar w:top="1304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391"/>
        </w:tabs>
        <w:ind w:left="139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1D545C8B"/>
    <w:multiLevelType w:val="hybridMultilevel"/>
    <w:tmpl w:val="FC0CE32E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EB67ED"/>
    <w:multiLevelType w:val="hybridMultilevel"/>
    <w:tmpl w:val="5F8600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i w:val="0"/>
        <w:sz w:val="24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i w:val="0"/>
        <w:sz w:val="24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i w:val="0"/>
        <w:sz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F7400F6"/>
    <w:multiLevelType w:val="multilevel"/>
    <w:tmpl w:val="443C1B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4">
    <w:nsid w:val="4F356547"/>
    <w:multiLevelType w:val="hybridMultilevel"/>
    <w:tmpl w:val="D6B2E690"/>
    <w:lvl w:ilvl="0">
      <w:start w:val="1"/>
      <w:numFmt w:val="decimal"/>
      <w:lvlText w:val="%1."/>
      <w:lvlJc w:val="left"/>
      <w:pPr>
        <w:tabs>
          <w:tab w:val="num" w:pos="1081"/>
        </w:tabs>
        <w:ind w:left="108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  <w:rPr>
        <w:rFonts w:cs="Times New Roman"/>
        <w:rtl w:val="0"/>
        <w:cs w:val="0"/>
      </w:rPr>
    </w:lvl>
  </w:abstractNum>
  <w:abstractNum w:abstractNumId="5">
    <w:nsid w:val="5A2C0A3D"/>
    <w:multiLevelType w:val="hybridMultilevel"/>
    <w:tmpl w:val="104C983E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5A93EC0"/>
    <w:multiLevelType w:val="hybridMultilevel"/>
    <w:tmpl w:val="B894A77E"/>
    <w:lvl w:ilvl="0">
      <w:start w:val="4"/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>
    <w:nsid w:val="6BF846CF"/>
    <w:multiLevelType w:val="hybridMultilevel"/>
    <w:tmpl w:val="8878EC48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23063F4"/>
    <w:multiLevelType w:val="hybridMultilevel"/>
    <w:tmpl w:val="86087A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B375E"/>
    <w:rsid w:val="00004CB8"/>
    <w:rsid w:val="00024B32"/>
    <w:rsid w:val="000256A2"/>
    <w:rsid w:val="00057E63"/>
    <w:rsid w:val="000B3164"/>
    <w:rsid w:val="00163E66"/>
    <w:rsid w:val="001E78F5"/>
    <w:rsid w:val="001F37C7"/>
    <w:rsid w:val="0021266C"/>
    <w:rsid w:val="00230584"/>
    <w:rsid w:val="002C3F0F"/>
    <w:rsid w:val="002F61B5"/>
    <w:rsid w:val="00305E6C"/>
    <w:rsid w:val="00312854"/>
    <w:rsid w:val="00325728"/>
    <w:rsid w:val="004448C7"/>
    <w:rsid w:val="004A78A2"/>
    <w:rsid w:val="004B311A"/>
    <w:rsid w:val="004B4DD3"/>
    <w:rsid w:val="004C46D2"/>
    <w:rsid w:val="004F063D"/>
    <w:rsid w:val="0052078E"/>
    <w:rsid w:val="0068439D"/>
    <w:rsid w:val="006E0F80"/>
    <w:rsid w:val="00707CB2"/>
    <w:rsid w:val="0078496B"/>
    <w:rsid w:val="007F2081"/>
    <w:rsid w:val="00826D5B"/>
    <w:rsid w:val="00884E4E"/>
    <w:rsid w:val="008955C3"/>
    <w:rsid w:val="00954CDF"/>
    <w:rsid w:val="00A01A95"/>
    <w:rsid w:val="00A21DD4"/>
    <w:rsid w:val="00B22C36"/>
    <w:rsid w:val="00B427BE"/>
    <w:rsid w:val="00B46B1F"/>
    <w:rsid w:val="00B522F6"/>
    <w:rsid w:val="00BA5FB3"/>
    <w:rsid w:val="00BC6322"/>
    <w:rsid w:val="00BF386C"/>
    <w:rsid w:val="00C172EC"/>
    <w:rsid w:val="00C32DDC"/>
    <w:rsid w:val="00C85500"/>
    <w:rsid w:val="00C93DAC"/>
    <w:rsid w:val="00C9673A"/>
    <w:rsid w:val="00CD6DE6"/>
    <w:rsid w:val="00D90BC8"/>
    <w:rsid w:val="00DE391C"/>
    <w:rsid w:val="00E16F04"/>
    <w:rsid w:val="00EB375E"/>
    <w:rsid w:val="00FB6F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7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B375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B375E"/>
    <w:pPr>
      <w:jc w:val="center"/>
    </w:pPr>
    <w:rPr>
      <w:lang w:eastAsia="cs-CZ"/>
    </w:rPr>
  </w:style>
  <w:style w:type="paragraph" w:customStyle="1" w:styleId="3">
    <w:name w:val="=3"/>
    <w:rsid w:val="00EB375E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Roman"/>
      <w:sz w:val="24"/>
      <w:szCs w:val="24"/>
      <w:rtl w:val="0"/>
      <w:cs w:val="0"/>
      <w:lang w:val="sk-SK" w:eastAsia="cs-CZ" w:bidi="ar-SA"/>
    </w:rPr>
  </w:style>
  <w:style w:type="character" w:styleId="HTMLTypewriter">
    <w:name w:val="HTML Typewriter"/>
    <w:basedOn w:val="DefaultParagraphFont"/>
    <w:rsid w:val="00EB375E"/>
    <w:rPr>
      <w:rFonts w:ascii="Arial Unicode MS" w:eastAsia="Arial Unicode MS" w:hAnsi="Arial Unicode MS" w:cs="Arial Unicode MS"/>
      <w:sz w:val="20"/>
      <w:szCs w:val="20"/>
      <w:rtl w:val="0"/>
      <w:cs w:val="0"/>
    </w:rPr>
  </w:style>
  <w:style w:type="paragraph" w:styleId="NormalWeb">
    <w:name w:val="Normal (Web)"/>
    <w:basedOn w:val="Normal"/>
    <w:rsid w:val="00EB375E"/>
    <w:pPr>
      <w:spacing w:before="100" w:beforeAutospacing="1" w:after="100" w:afterAutospacing="1"/>
      <w:jc w:val="left"/>
    </w:pPr>
    <w:rPr>
      <w:color w:val="000000"/>
      <w:lang w:eastAsia="cs-CZ"/>
    </w:rPr>
  </w:style>
  <w:style w:type="paragraph" w:customStyle="1" w:styleId="Zakladnystyl">
    <w:name w:val="Zakladny styl"/>
    <w:rsid w:val="00EB375E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BodyText2">
    <w:name w:val="Body Text 2"/>
    <w:basedOn w:val="Normal"/>
    <w:rsid w:val="00DE391C"/>
    <w:pPr>
      <w:spacing w:after="120" w:line="480" w:lineRule="auto"/>
      <w:jc w:val="left"/>
    </w:pPr>
  </w:style>
  <w:style w:type="paragraph" w:styleId="BodyTextIndent3">
    <w:name w:val="Body Text Indent 3"/>
    <w:basedOn w:val="Normal"/>
    <w:rsid w:val="00DE391C"/>
    <w:pPr>
      <w:spacing w:after="120"/>
      <w:ind w:left="283"/>
      <w:jc w:val="left"/>
    </w:pPr>
    <w:rPr>
      <w:sz w:val="16"/>
      <w:szCs w:val="16"/>
    </w:rPr>
  </w:style>
  <w:style w:type="paragraph" w:styleId="BlockText">
    <w:name w:val="Block Text"/>
    <w:basedOn w:val="Normal"/>
    <w:rsid w:val="00DE391C"/>
    <w:pPr>
      <w:ind w:left="720" w:right="-158" w:hanging="539"/>
      <w:jc w:val="both"/>
    </w:pPr>
  </w:style>
  <w:style w:type="paragraph" w:styleId="BodyTextIndent2">
    <w:name w:val="Body Text Indent 2"/>
    <w:basedOn w:val="Normal"/>
    <w:rsid w:val="00826D5B"/>
    <w:pPr>
      <w:spacing w:after="120" w:line="480" w:lineRule="auto"/>
      <w:ind w:left="283"/>
      <w:jc w:val="left"/>
    </w:pPr>
  </w:style>
  <w:style w:type="paragraph" w:customStyle="1" w:styleId="Heading1orobas">
    <w:name w:val="Heading 1.Čo robí (časť)"/>
    <w:basedOn w:val="Normal"/>
    <w:next w:val="Normal"/>
    <w:rsid w:val="000256A2"/>
    <w:pPr>
      <w:keepNext/>
      <w:numPr>
        <w:numId w:val="8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al"/>
    <w:rsid w:val="000256A2"/>
    <w:pPr>
      <w:numPr>
        <w:ilvl w:val="1"/>
        <w:numId w:val="8"/>
      </w:numPr>
      <w:tabs>
        <w:tab w:val="num" w:pos="1391"/>
      </w:tabs>
      <w:spacing w:before="120"/>
      <w:ind w:left="1391" w:hanging="851"/>
      <w:jc w:val="both"/>
    </w:pPr>
    <w:rPr>
      <w:lang w:eastAsia="en-US"/>
    </w:rPr>
  </w:style>
  <w:style w:type="paragraph" w:styleId="BalloonText">
    <w:name w:val="Balloon Text"/>
    <w:basedOn w:val="Normal"/>
    <w:semiHidden/>
    <w:rsid w:val="00884E4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1055</Words>
  <Characters>6520</Characters>
  <Application>Microsoft Office Word</Application>
  <DocSecurity>0</DocSecurity>
  <Lines>0</Lines>
  <Paragraphs>0</Paragraphs>
  <ScaleCrop>false</ScaleCrop>
  <Company>mhsr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jokmanova</dc:creator>
  <cp:lastModifiedBy>GaspJarm</cp:lastModifiedBy>
  <cp:revision>2</cp:revision>
  <cp:lastPrinted>2010-08-12T14:17:00Z</cp:lastPrinted>
  <dcterms:created xsi:type="dcterms:W3CDTF">2010-11-23T12:17:00Z</dcterms:created>
  <dcterms:modified xsi:type="dcterms:W3CDTF">2010-11-23T12:17:00Z</dcterms:modified>
</cp:coreProperties>
</file>