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xls" ContentType="application/vnd.ms-excel"/>
  <Override PartName="/word/embeddings/oleObject2.xls" ContentType="application/vnd.ms-exce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067DA" w:rsidP="000067DA">
      <w:pPr>
        <w:bidi w:val="0"/>
        <w:rPr>
          <w:rFonts w:ascii="Arial" w:hAnsi="Arial" w:cs="Arial"/>
          <w:sz w:val="22"/>
        </w:rPr>
      </w:pPr>
      <w:bookmarkStart w:id="0" w:name="OLE_LINK5"/>
    </w:p>
    <w:p w:rsidR="000067DA" w:rsidP="000067DA">
      <w:pPr>
        <w:bidi w:val="0"/>
        <w:rPr>
          <w:rFonts w:ascii="Arial" w:hAnsi="Arial" w:cs="Arial"/>
          <w:sz w:val="22"/>
        </w:rPr>
      </w:pPr>
    </w:p>
    <w:p w:rsidR="000067DA" w:rsidP="000067DA">
      <w:pPr>
        <w:bidi w:val="0"/>
        <w:rPr>
          <w:rFonts w:ascii="Arial" w:hAnsi="Arial" w:cs="Arial"/>
          <w:sz w:val="22"/>
        </w:rPr>
      </w:pPr>
    </w:p>
    <w:p w:rsidR="000067DA" w:rsidP="000067DA">
      <w:pPr>
        <w:bidi w:val="0"/>
        <w:rPr>
          <w:rFonts w:ascii="Arial" w:hAnsi="Arial" w:cs="Arial"/>
          <w:sz w:val="22"/>
        </w:rPr>
      </w:pPr>
    </w:p>
    <w:p w:rsidR="000067DA" w:rsidP="000067DA">
      <w:pPr>
        <w:bidi w:val="0"/>
        <w:spacing w:line="360" w:lineRule="auto"/>
        <w:jc w:val="center"/>
        <w:rPr>
          <w:rFonts w:ascii="Arial" w:hAnsi="Arial" w:cs="Arial"/>
          <w:sz w:val="22"/>
        </w:rPr>
      </w:pPr>
    </w:p>
    <w:p w:rsidR="000067DA" w:rsidP="000067DA">
      <w:pPr>
        <w:bidi w:val="0"/>
        <w:spacing w:line="360" w:lineRule="auto"/>
        <w:jc w:val="center"/>
        <w:rPr>
          <w:rFonts w:ascii="Arial" w:hAnsi="Arial" w:cs="Arial"/>
          <w:sz w:val="22"/>
        </w:rPr>
      </w:pPr>
    </w:p>
    <w:p w:rsidR="000067DA" w:rsidP="000067DA">
      <w:pPr>
        <w:bidi w:val="0"/>
        <w:spacing w:line="360" w:lineRule="auto"/>
        <w:jc w:val="center"/>
        <w:rPr>
          <w:rFonts w:ascii="Arial" w:hAnsi="Arial" w:cs="Arial"/>
          <w:sz w:val="22"/>
        </w:rPr>
      </w:pPr>
    </w:p>
    <w:p w:rsidR="000067DA" w:rsidP="000067DA">
      <w:pPr>
        <w:bidi w:val="0"/>
        <w:spacing w:line="360" w:lineRule="auto"/>
        <w:jc w:val="center"/>
        <w:rPr>
          <w:rFonts w:ascii="Arial" w:hAnsi="Arial" w:cs="Arial"/>
          <w:sz w:val="22"/>
        </w:rPr>
      </w:pPr>
    </w:p>
    <w:p w:rsidR="000067DA" w:rsidP="000067DA">
      <w:pPr>
        <w:bidi w:val="0"/>
        <w:spacing w:line="360" w:lineRule="auto"/>
        <w:jc w:val="center"/>
        <w:rPr>
          <w:rFonts w:ascii="Arial" w:hAnsi="Arial" w:cs="Arial"/>
          <w:sz w:val="22"/>
        </w:rPr>
      </w:pPr>
    </w:p>
    <w:p w:rsidR="000067DA" w:rsidP="000067DA">
      <w:pPr>
        <w:bidi w:val="0"/>
        <w:spacing w:line="360" w:lineRule="auto"/>
        <w:jc w:val="center"/>
        <w:rPr>
          <w:rFonts w:ascii="Arial" w:hAnsi="Arial" w:cs="Arial"/>
          <w:sz w:val="22"/>
        </w:rPr>
      </w:pPr>
    </w:p>
    <w:p w:rsidR="000067DA" w:rsidP="000067DA">
      <w:pPr>
        <w:bidi w:val="0"/>
        <w:spacing w:line="360" w:lineRule="auto"/>
        <w:jc w:val="center"/>
        <w:rPr>
          <w:rFonts w:ascii="Arial" w:hAnsi="Arial" w:cs="Arial"/>
          <w:sz w:val="22"/>
        </w:rPr>
      </w:pPr>
    </w:p>
    <w:p w:rsidR="000067DA" w:rsidP="000067DA">
      <w:pPr>
        <w:bidi w:val="0"/>
        <w:spacing w:line="360" w:lineRule="auto"/>
        <w:jc w:val="center"/>
        <w:rPr>
          <w:rFonts w:ascii="Arial" w:hAnsi="Arial" w:cs="Arial"/>
          <w:sz w:val="22"/>
        </w:rPr>
      </w:pPr>
      <w:r>
        <w:rPr>
          <w:rFonts w:ascii="Arial" w:hAnsi="Arial" w:cs="Arial"/>
          <w:sz w:val="22"/>
        </w:rPr>
        <w:t xml:space="preserve"> </w:t>
      </w:r>
    </w:p>
    <w:p w:rsidR="000067DA" w:rsidP="000067DA">
      <w:pPr>
        <w:bidi w:val="0"/>
        <w:spacing w:line="360" w:lineRule="auto"/>
        <w:jc w:val="center"/>
        <w:rPr>
          <w:rFonts w:ascii="Arial" w:hAnsi="Arial" w:cs="Arial"/>
          <w:b/>
          <w:sz w:val="22"/>
        </w:rPr>
      </w:pPr>
    </w:p>
    <w:p w:rsidR="000067DA" w:rsidP="000067DA">
      <w:pPr>
        <w:bidi w:val="0"/>
        <w:spacing w:line="480" w:lineRule="auto"/>
        <w:jc w:val="center"/>
        <w:rPr>
          <w:rFonts w:ascii="Times New Roman" w:hAnsi="Times New Roman"/>
          <w:b/>
          <w:i/>
          <w:iCs/>
          <w:sz w:val="28"/>
        </w:rPr>
      </w:pPr>
      <w:r>
        <w:rPr>
          <w:rFonts w:ascii="Times New Roman" w:hAnsi="Times New Roman"/>
          <w:b/>
          <w:i/>
          <w:iCs/>
          <w:sz w:val="28"/>
        </w:rPr>
        <w:t xml:space="preserve">Výročná správa o činnosti </w:t>
      </w:r>
    </w:p>
    <w:p w:rsidR="000067DA" w:rsidP="000067DA">
      <w:pPr>
        <w:bidi w:val="0"/>
        <w:spacing w:line="480" w:lineRule="auto"/>
        <w:jc w:val="center"/>
        <w:rPr>
          <w:rFonts w:ascii="Times New Roman" w:hAnsi="Times New Roman"/>
          <w:b/>
          <w:i/>
          <w:iCs/>
          <w:sz w:val="28"/>
        </w:rPr>
      </w:pPr>
      <w:r>
        <w:rPr>
          <w:rFonts w:ascii="Times New Roman" w:hAnsi="Times New Roman"/>
          <w:b/>
          <w:i/>
          <w:iCs/>
          <w:sz w:val="28"/>
        </w:rPr>
        <w:t xml:space="preserve">Fondu národného majetku Slovenskej republiky </w:t>
      </w:r>
    </w:p>
    <w:p w:rsidR="000067DA" w:rsidP="000067DA">
      <w:pPr>
        <w:bidi w:val="0"/>
        <w:spacing w:line="480" w:lineRule="auto"/>
        <w:jc w:val="center"/>
        <w:rPr>
          <w:rFonts w:ascii="Times New Roman" w:hAnsi="Times New Roman"/>
          <w:b/>
          <w:i/>
          <w:iCs/>
          <w:sz w:val="28"/>
        </w:rPr>
      </w:pPr>
      <w:r>
        <w:rPr>
          <w:rFonts w:ascii="Times New Roman" w:hAnsi="Times New Roman"/>
          <w:b/>
          <w:i/>
          <w:iCs/>
          <w:sz w:val="28"/>
        </w:rPr>
        <w:t>za rok 2009</w:t>
      </w: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0067DA" w:rsidP="000067DA">
      <w:pPr>
        <w:bidi w:val="0"/>
        <w:rPr>
          <w:rFonts w:ascii="Times New Roman" w:hAnsi="Times New Roman"/>
        </w:rPr>
      </w:pPr>
    </w:p>
    <w:p w:rsidR="004C20F3">
      <w:pPr>
        <w:pStyle w:val="Heading4"/>
        <w:bidi w:val="0"/>
        <w:jc w:val="center"/>
        <w:rPr>
          <w:rFonts w:ascii="Times New Roman" w:hAnsi="Times New Roman"/>
          <w:b/>
          <w:bCs w:val="0"/>
          <w:sz w:val="32"/>
        </w:rPr>
      </w:pPr>
      <w:r>
        <w:rPr>
          <w:rFonts w:ascii="Times New Roman" w:hAnsi="Times New Roman"/>
          <w:b/>
          <w:bCs w:val="0"/>
          <w:sz w:val="32"/>
        </w:rPr>
        <w:t>O b s a h</w:t>
      </w:r>
    </w:p>
    <w:p w:rsidR="004C20F3">
      <w:pPr>
        <w:pStyle w:val="Heading7"/>
        <w:bidi w:val="0"/>
        <w:ind w:firstLine="0"/>
        <w:rPr>
          <w:rFonts w:ascii="Times New Roman" w:hAnsi="Times New Roman"/>
        </w:rPr>
      </w:pPr>
      <w:r>
        <w:rPr>
          <w:rFonts w:ascii="Times New Roman" w:hAnsi="Times New Roman"/>
          <w:u w:val="single"/>
        </w:rPr>
        <w:t>Úvod</w:t>
      </w:r>
      <w:r>
        <w:rPr>
          <w:rFonts w:ascii="Times New Roman" w:hAnsi="Times New Roman"/>
          <w:b w:val="0"/>
          <w:bCs w:val="0"/>
          <w:i w:val="0"/>
          <w:iCs w:val="0"/>
          <w:sz w:val="26"/>
          <w:szCs w:val="26"/>
        </w:rPr>
        <w:t>…………………………………………………………………………...</w:t>
        <w:tab/>
        <w:t>1</w:t>
      </w:r>
    </w:p>
    <w:p w:rsidR="004C20F3">
      <w:pPr>
        <w:pStyle w:val="Footer"/>
        <w:tabs>
          <w:tab w:val="clear" w:pos="4536"/>
          <w:tab w:val="clear" w:pos="9072"/>
        </w:tabs>
        <w:bidi w:val="0"/>
        <w:spacing w:line="360" w:lineRule="auto"/>
        <w:ind w:firstLine="0"/>
        <w:rPr>
          <w:rFonts w:ascii="Times New Roman" w:hAnsi="Times New Roman"/>
        </w:rPr>
      </w:pPr>
    </w:p>
    <w:p w:rsidR="004C20F3">
      <w:pPr>
        <w:bidi w:val="0"/>
        <w:spacing w:line="360" w:lineRule="auto"/>
        <w:ind w:firstLine="0"/>
        <w:rPr>
          <w:rFonts w:ascii="Times New Roman" w:hAnsi="Times New Roman"/>
          <w:sz w:val="26"/>
          <w:szCs w:val="26"/>
        </w:rPr>
      </w:pPr>
      <w:r>
        <w:rPr>
          <w:rFonts w:ascii="Times New Roman" w:hAnsi="Times New Roman"/>
          <w:b/>
          <w:bCs/>
          <w:i/>
          <w:iCs/>
          <w:sz w:val="28"/>
          <w:szCs w:val="28"/>
          <w:u w:val="single"/>
        </w:rPr>
        <w:t>Orgány Fondu</w:t>
      </w:r>
      <w:r>
        <w:rPr>
          <w:rFonts w:ascii="Times New Roman" w:hAnsi="Times New Roman"/>
          <w:sz w:val="26"/>
          <w:szCs w:val="26"/>
        </w:rPr>
        <w:t>………………………………………………………………….....2</w:t>
      </w:r>
    </w:p>
    <w:p w:rsidR="004C20F3">
      <w:pPr>
        <w:pStyle w:val="Heading8"/>
        <w:numPr>
          <w:numId w:val="3"/>
        </w:numPr>
        <w:bidi w:val="0"/>
        <w:spacing w:line="360" w:lineRule="auto"/>
        <w:rPr>
          <w:rFonts w:ascii="Times New Roman" w:hAnsi="Times New Roman"/>
          <w:sz w:val="26"/>
          <w:szCs w:val="26"/>
        </w:rPr>
      </w:pPr>
      <w:r>
        <w:rPr>
          <w:rFonts w:ascii="Times New Roman" w:hAnsi="Times New Roman"/>
          <w:b/>
          <w:bCs/>
          <w:sz w:val="26"/>
          <w:szCs w:val="26"/>
        </w:rPr>
        <w:t xml:space="preserve">Prezídium </w:t>
      </w:r>
      <w:r>
        <w:rPr>
          <w:rFonts w:ascii="Times New Roman" w:hAnsi="Times New Roman"/>
          <w:i w:val="0"/>
          <w:iCs w:val="0"/>
          <w:sz w:val="26"/>
          <w:szCs w:val="26"/>
        </w:rPr>
        <w:t>…………………..……………………………………...….2</w:t>
      </w:r>
    </w:p>
    <w:p w:rsidR="004C20F3">
      <w:pPr>
        <w:pStyle w:val="Heading8"/>
        <w:numPr>
          <w:numId w:val="3"/>
        </w:numPr>
        <w:bidi w:val="0"/>
        <w:spacing w:line="360" w:lineRule="auto"/>
        <w:rPr>
          <w:rFonts w:ascii="Times New Roman" w:hAnsi="Times New Roman"/>
          <w:i w:val="0"/>
          <w:iCs w:val="0"/>
          <w:sz w:val="26"/>
          <w:szCs w:val="26"/>
        </w:rPr>
      </w:pPr>
      <w:r>
        <w:rPr>
          <w:rFonts w:ascii="Times New Roman" w:hAnsi="Times New Roman"/>
          <w:b/>
          <w:bCs/>
          <w:sz w:val="26"/>
          <w:szCs w:val="26"/>
        </w:rPr>
        <w:t xml:space="preserve">Dozorná rada </w:t>
      </w:r>
      <w:r>
        <w:rPr>
          <w:rFonts w:ascii="Times New Roman" w:hAnsi="Times New Roman"/>
          <w:i w:val="0"/>
          <w:iCs w:val="0"/>
          <w:sz w:val="26"/>
          <w:szCs w:val="26"/>
        </w:rPr>
        <w:t>……………………………………………………...….2</w:t>
      </w:r>
    </w:p>
    <w:p w:rsidR="004C20F3">
      <w:pPr>
        <w:pStyle w:val="Heading8"/>
        <w:numPr>
          <w:numId w:val="3"/>
        </w:numPr>
        <w:bidi w:val="0"/>
        <w:spacing w:line="360" w:lineRule="auto"/>
        <w:rPr>
          <w:rFonts w:ascii="Times New Roman" w:hAnsi="Times New Roman"/>
          <w:sz w:val="26"/>
          <w:szCs w:val="26"/>
        </w:rPr>
      </w:pPr>
      <w:r>
        <w:rPr>
          <w:rFonts w:ascii="Times New Roman" w:hAnsi="Times New Roman"/>
          <w:b/>
          <w:bCs/>
          <w:sz w:val="26"/>
          <w:szCs w:val="26"/>
        </w:rPr>
        <w:t xml:space="preserve">Výkonný výbor </w:t>
      </w:r>
      <w:r>
        <w:rPr>
          <w:rFonts w:ascii="Times New Roman" w:hAnsi="Times New Roman"/>
          <w:i w:val="0"/>
          <w:iCs w:val="0"/>
          <w:sz w:val="26"/>
          <w:szCs w:val="26"/>
        </w:rPr>
        <w:t>………………………………………………………..3</w:t>
      </w:r>
    </w:p>
    <w:p w:rsidR="004C20F3">
      <w:pPr>
        <w:pStyle w:val="Footer"/>
        <w:tabs>
          <w:tab w:val="left" w:pos="1080"/>
          <w:tab w:val="clear" w:pos="4536"/>
          <w:tab w:val="clear" w:pos="9072"/>
        </w:tabs>
        <w:bidi w:val="0"/>
        <w:spacing w:line="360" w:lineRule="auto"/>
        <w:ind w:firstLine="0"/>
        <w:rPr>
          <w:rFonts w:ascii="Times New Roman" w:hAnsi="Times New Roman"/>
        </w:rPr>
      </w:pPr>
    </w:p>
    <w:p w:rsidR="004C20F3">
      <w:pPr>
        <w:bidi w:val="0"/>
        <w:spacing w:line="360" w:lineRule="auto"/>
        <w:ind w:firstLine="0"/>
        <w:rPr>
          <w:rFonts w:ascii="Times New Roman" w:hAnsi="Times New Roman"/>
          <w:sz w:val="26"/>
          <w:szCs w:val="26"/>
        </w:rPr>
      </w:pPr>
      <w:r>
        <w:rPr>
          <w:rFonts w:ascii="Times New Roman" w:hAnsi="Times New Roman"/>
          <w:b/>
          <w:bCs/>
          <w:i/>
          <w:iCs/>
          <w:sz w:val="28"/>
          <w:szCs w:val="28"/>
          <w:u w:val="single"/>
        </w:rPr>
        <w:t>Hlavné aktivity Fondu v roku 2009</w:t>
      </w:r>
      <w:r>
        <w:rPr>
          <w:rFonts w:ascii="Times New Roman" w:hAnsi="Times New Roman"/>
          <w:sz w:val="26"/>
          <w:szCs w:val="28"/>
        </w:rPr>
        <w:t>.......</w:t>
      </w:r>
      <w:r>
        <w:rPr>
          <w:rFonts w:ascii="Times New Roman" w:hAnsi="Times New Roman"/>
          <w:sz w:val="26"/>
          <w:szCs w:val="26"/>
        </w:rPr>
        <w:t>……………………………………......4</w:t>
      </w:r>
    </w:p>
    <w:p w:rsidR="004C20F3" w:rsidP="004C20F3">
      <w:pPr>
        <w:pStyle w:val="Heading9"/>
        <w:numPr>
          <w:numId w:val="1"/>
        </w:numPr>
        <w:tabs>
          <w:tab w:val="clear" w:pos="1080"/>
          <w:tab w:val="num" w:pos="1260"/>
        </w:tabs>
        <w:bidi w:val="0"/>
        <w:spacing w:line="360" w:lineRule="auto"/>
        <w:ind w:left="1260"/>
        <w:rPr>
          <w:rFonts w:ascii="Times New Roman" w:hAnsi="Times New Roman"/>
          <w:color w:val="auto"/>
          <w:sz w:val="26"/>
          <w:szCs w:val="26"/>
        </w:rPr>
      </w:pPr>
      <w:r>
        <w:rPr>
          <w:rFonts w:ascii="Times New Roman" w:hAnsi="Times New Roman"/>
          <w:b/>
          <w:bCs/>
          <w:i/>
          <w:iCs/>
          <w:caps w:val="0"/>
          <w:color w:val="auto"/>
          <w:sz w:val="26"/>
          <w:szCs w:val="26"/>
        </w:rPr>
        <w:t>Príprava a realizácia predajov</w:t>
      </w:r>
      <w:r>
        <w:rPr>
          <w:rFonts w:ascii="Times New Roman" w:hAnsi="Times New Roman"/>
          <w:color w:val="auto"/>
          <w:sz w:val="26"/>
          <w:szCs w:val="26"/>
        </w:rPr>
        <w:t>………......………………………..…..5</w:t>
      </w:r>
    </w:p>
    <w:p w:rsidR="004C20F3" w:rsidP="004C20F3">
      <w:pPr>
        <w:numPr>
          <w:numId w:val="1"/>
        </w:numPr>
        <w:tabs>
          <w:tab w:val="clear" w:pos="1080"/>
          <w:tab w:val="num" w:pos="1260"/>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Kapitálový trh a dlhopisy</w:t>
      </w:r>
      <w:r>
        <w:rPr>
          <w:rFonts w:ascii="Times New Roman" w:hAnsi="Times New Roman"/>
          <w:sz w:val="26"/>
          <w:szCs w:val="26"/>
        </w:rPr>
        <w:t>……………………………………....…......7</w:t>
      </w:r>
    </w:p>
    <w:p w:rsidR="004C20F3" w:rsidP="004C20F3">
      <w:pPr>
        <w:numPr>
          <w:numId w:val="1"/>
        </w:numPr>
        <w:tabs>
          <w:tab w:val="clear" w:pos="1080"/>
          <w:tab w:val="num" w:pos="1260"/>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Reštitúcie a bezodplatné prevody</w:t>
      </w:r>
      <w:r>
        <w:rPr>
          <w:rFonts w:ascii="Times New Roman" w:hAnsi="Times New Roman"/>
          <w:sz w:val="26"/>
          <w:szCs w:val="26"/>
        </w:rPr>
        <w:t>……………………………............10</w:t>
      </w:r>
    </w:p>
    <w:p w:rsidR="004C20F3" w:rsidP="004C20F3">
      <w:pPr>
        <w:numPr>
          <w:numId w:val="1"/>
        </w:numPr>
        <w:tabs>
          <w:tab w:val="clear" w:pos="1080"/>
          <w:tab w:val="num" w:pos="1260"/>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Zakladateľské činnosti a výkon práv akcionára</w:t>
      </w:r>
      <w:r>
        <w:rPr>
          <w:rFonts w:ascii="Times New Roman" w:hAnsi="Times New Roman"/>
          <w:sz w:val="26"/>
          <w:szCs w:val="26"/>
        </w:rPr>
        <w:t>………......……......12</w:t>
      </w:r>
    </w:p>
    <w:p w:rsidR="004C20F3" w:rsidP="004C20F3">
      <w:pPr>
        <w:numPr>
          <w:numId w:val="1"/>
        </w:numPr>
        <w:tabs>
          <w:tab w:val="clear" w:pos="1080"/>
          <w:tab w:val="num" w:pos="1260"/>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Sledovanie pohľadávok</w:t>
      </w:r>
      <w:r>
        <w:rPr>
          <w:rFonts w:ascii="Times New Roman" w:hAnsi="Times New Roman"/>
          <w:sz w:val="26"/>
          <w:szCs w:val="26"/>
        </w:rPr>
        <w:t>……………………………………......….....15</w:t>
      </w:r>
    </w:p>
    <w:p w:rsidR="004C20F3" w:rsidP="004C20F3">
      <w:pPr>
        <w:numPr>
          <w:numId w:val="1"/>
        </w:numPr>
        <w:tabs>
          <w:tab w:val="clear" w:pos="1080"/>
          <w:tab w:val="num" w:pos="1260"/>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Vymáhanie pohľadávok, odstupovanie od zmlúv a konkurzy</w:t>
      </w:r>
      <w:r>
        <w:rPr>
          <w:rFonts w:ascii="Times New Roman" w:hAnsi="Times New Roman"/>
          <w:sz w:val="26"/>
          <w:szCs w:val="26"/>
        </w:rPr>
        <w:t>….......16</w:t>
      </w:r>
    </w:p>
    <w:p w:rsidR="004C20F3" w:rsidP="004C20F3">
      <w:pPr>
        <w:numPr>
          <w:numId w:val="1"/>
        </w:numPr>
        <w:tabs>
          <w:tab w:val="clear" w:pos="1080"/>
          <w:tab w:val="num" w:pos="1260"/>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Súdne spory a právna agenda</w:t>
      </w:r>
      <w:r>
        <w:rPr>
          <w:rFonts w:ascii="Times New Roman" w:hAnsi="Times New Roman"/>
          <w:sz w:val="26"/>
          <w:szCs w:val="26"/>
        </w:rPr>
        <w:t>………………………………….........18</w:t>
      </w:r>
    </w:p>
    <w:p w:rsidR="004C20F3" w:rsidP="004C20F3">
      <w:pPr>
        <w:numPr>
          <w:numId w:val="1"/>
        </w:numPr>
        <w:tabs>
          <w:tab w:val="clear" w:pos="1080"/>
          <w:tab w:val="num" w:pos="1260"/>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Kontrola a vybavovanie sťažností</w:t>
      </w:r>
      <w:r>
        <w:rPr>
          <w:rFonts w:ascii="Times New Roman" w:hAnsi="Times New Roman"/>
          <w:sz w:val="26"/>
          <w:szCs w:val="26"/>
        </w:rPr>
        <w:t>……………………………...........20</w:t>
      </w:r>
    </w:p>
    <w:p w:rsidR="004C20F3">
      <w:pPr>
        <w:bidi w:val="0"/>
        <w:spacing w:line="360" w:lineRule="auto"/>
        <w:ind w:firstLine="0"/>
        <w:rPr>
          <w:rFonts w:ascii="Times New Roman" w:hAnsi="Times New Roman"/>
          <w:szCs w:val="26"/>
        </w:rPr>
      </w:pPr>
    </w:p>
    <w:p w:rsidR="004C20F3">
      <w:pPr>
        <w:bidi w:val="0"/>
        <w:spacing w:line="360" w:lineRule="auto"/>
        <w:ind w:firstLine="0"/>
        <w:rPr>
          <w:rFonts w:ascii="Times New Roman" w:hAnsi="Times New Roman"/>
        </w:rPr>
      </w:pPr>
      <w:r>
        <w:rPr>
          <w:rFonts w:ascii="Times New Roman" w:hAnsi="Times New Roman"/>
          <w:b/>
          <w:bCs/>
          <w:i/>
          <w:iCs/>
          <w:sz w:val="28"/>
          <w:szCs w:val="28"/>
          <w:u w:val="single"/>
        </w:rPr>
        <w:t>Hospodárenie Fondu v roku 2009</w:t>
      </w:r>
      <w:r>
        <w:rPr>
          <w:rFonts w:ascii="Times New Roman" w:hAnsi="Times New Roman"/>
        </w:rPr>
        <w:t>...........................................................................</w:t>
      </w:r>
      <w:r>
        <w:rPr>
          <w:rFonts w:ascii="Times New Roman" w:hAnsi="Times New Roman"/>
          <w:sz w:val="26"/>
          <w:szCs w:val="26"/>
        </w:rPr>
        <w:t>21</w:t>
      </w:r>
    </w:p>
    <w:p w:rsidR="004C20F3" w:rsidP="004C20F3">
      <w:pPr>
        <w:numPr>
          <w:numId w:val="2"/>
        </w:numPr>
        <w:tabs>
          <w:tab w:val="num" w:pos="1260"/>
          <w:tab w:val="clear" w:pos="1725"/>
        </w:tabs>
        <w:bidi w:val="0"/>
        <w:spacing w:line="360" w:lineRule="auto"/>
        <w:ind w:left="1260"/>
        <w:rPr>
          <w:rFonts w:ascii="Times New Roman" w:hAnsi="Times New Roman"/>
          <w:b/>
          <w:bCs/>
          <w:i/>
          <w:iCs/>
          <w:sz w:val="26"/>
          <w:szCs w:val="26"/>
        </w:rPr>
      </w:pPr>
      <w:r>
        <w:rPr>
          <w:rFonts w:ascii="Times New Roman" w:hAnsi="Times New Roman"/>
          <w:b/>
          <w:bCs/>
          <w:i/>
          <w:iCs/>
          <w:sz w:val="26"/>
          <w:szCs w:val="26"/>
        </w:rPr>
        <w:t>Príjmy Fondu</w:t>
      </w:r>
      <w:r>
        <w:rPr>
          <w:rFonts w:ascii="Times New Roman" w:hAnsi="Times New Roman"/>
          <w:sz w:val="26"/>
          <w:szCs w:val="26"/>
        </w:rPr>
        <w:t>.......................................................................................21</w:t>
      </w:r>
    </w:p>
    <w:p w:rsidR="004C20F3" w:rsidP="004C20F3">
      <w:pPr>
        <w:numPr>
          <w:numId w:val="2"/>
        </w:numPr>
        <w:tabs>
          <w:tab w:val="num" w:pos="1260"/>
          <w:tab w:val="clear" w:pos="1725"/>
        </w:tabs>
        <w:bidi w:val="0"/>
        <w:spacing w:line="360" w:lineRule="auto"/>
        <w:ind w:left="1260"/>
        <w:rPr>
          <w:rFonts w:ascii="Times New Roman" w:hAnsi="Times New Roman"/>
          <w:sz w:val="26"/>
          <w:szCs w:val="26"/>
        </w:rPr>
      </w:pPr>
      <w:r>
        <w:rPr>
          <w:rFonts w:ascii="Times New Roman" w:hAnsi="Times New Roman"/>
          <w:b/>
          <w:bCs/>
          <w:i/>
          <w:iCs/>
          <w:sz w:val="26"/>
          <w:szCs w:val="26"/>
        </w:rPr>
        <w:t>Výdavky Fondu</w:t>
      </w:r>
      <w:r>
        <w:rPr>
          <w:rFonts w:ascii="Times New Roman" w:hAnsi="Times New Roman"/>
          <w:sz w:val="26"/>
          <w:szCs w:val="26"/>
        </w:rPr>
        <w:t>....................................................................................21</w:t>
      </w:r>
    </w:p>
    <w:p w:rsidR="004C20F3" w:rsidP="004C20F3">
      <w:pPr>
        <w:numPr>
          <w:numId w:val="2"/>
        </w:numPr>
        <w:tabs>
          <w:tab w:val="num" w:pos="1260"/>
          <w:tab w:val="clear" w:pos="1725"/>
        </w:tabs>
        <w:bidi w:val="0"/>
        <w:spacing w:line="360" w:lineRule="auto"/>
        <w:ind w:left="1260"/>
        <w:rPr>
          <w:rFonts w:ascii="Times New Roman" w:hAnsi="Times New Roman"/>
          <w:sz w:val="26"/>
          <w:szCs w:val="26"/>
        </w:rPr>
      </w:pPr>
      <w:r>
        <w:rPr>
          <w:rFonts w:ascii="Times New Roman" w:hAnsi="Times New Roman"/>
          <w:b/>
          <w:bCs/>
          <w:i/>
          <w:iCs/>
          <w:sz w:val="26"/>
          <w:szCs w:val="26"/>
        </w:rPr>
        <w:t>Bilancia príjmov a výdavkov Fondu k 31.12.2009</w:t>
      </w:r>
      <w:r>
        <w:rPr>
          <w:rFonts w:ascii="Times New Roman" w:hAnsi="Times New Roman"/>
          <w:sz w:val="26"/>
          <w:szCs w:val="26"/>
        </w:rPr>
        <w:t>.............................24</w:t>
      </w:r>
    </w:p>
    <w:p w:rsidR="004C20F3" w:rsidP="004C20F3">
      <w:pPr>
        <w:numPr>
          <w:numId w:val="2"/>
        </w:numPr>
        <w:tabs>
          <w:tab w:val="num" w:pos="1260"/>
          <w:tab w:val="clear" w:pos="1725"/>
        </w:tabs>
        <w:bidi w:val="0"/>
        <w:spacing w:line="360" w:lineRule="auto"/>
        <w:ind w:left="1260"/>
        <w:rPr>
          <w:rFonts w:ascii="Times New Roman" w:hAnsi="Times New Roman"/>
          <w:sz w:val="26"/>
          <w:szCs w:val="26"/>
        </w:rPr>
      </w:pPr>
      <w:r>
        <w:rPr>
          <w:rFonts w:ascii="Times New Roman" w:hAnsi="Times New Roman"/>
          <w:b/>
          <w:bCs/>
          <w:i/>
          <w:iCs/>
          <w:sz w:val="26"/>
          <w:szCs w:val="26"/>
        </w:rPr>
        <w:t>Stav majetku a záväzkov Fondu k 31.12.2009</w:t>
      </w:r>
      <w:r>
        <w:rPr>
          <w:rFonts w:ascii="Times New Roman" w:hAnsi="Times New Roman"/>
          <w:sz w:val="26"/>
          <w:szCs w:val="26"/>
        </w:rPr>
        <w:t>....................................24</w:t>
      </w:r>
    </w:p>
    <w:p w:rsidR="004C20F3">
      <w:pPr>
        <w:pStyle w:val="Heading1"/>
        <w:bidi w:val="0"/>
        <w:rPr>
          <w:rFonts w:ascii="Times New Roman" w:hAnsi="Times New Roman"/>
        </w:rPr>
      </w:pPr>
      <w:r>
        <w:rPr>
          <w:rFonts w:ascii="Times New Roman" w:hAnsi="Times New Roman"/>
        </w:rPr>
        <w:br w:type="page"/>
        <w:t>ÚVOD</w:t>
      </w:r>
    </w:p>
    <w:p w:rsidR="004C20F3">
      <w:pPr>
        <w:bidi w:val="0"/>
        <w:rPr>
          <w:rFonts w:ascii="Times New Roman" w:hAnsi="Times New Roman"/>
        </w:rPr>
      </w:pPr>
      <w:r>
        <w:rPr>
          <w:rFonts w:ascii="Times New Roman" w:hAnsi="Times New Roman"/>
        </w:rPr>
        <w:t>Fond národného majetku Slovenskej republiky vznikol dňa 28. júna 1991. Bol zriadený zákonom Národnej rady Slovenskej republiky č. 253/1991 Zb. o pôsobnosti orgánov Slovenskej republiky vo veciach prevodov majetku štátu na iné osoby a o Fonde národného majetku Slovenskej republiky (ďalej len „Fond“).</w:t>
      </w:r>
    </w:p>
    <w:p w:rsidR="004C20F3">
      <w:pPr>
        <w:bidi w:val="0"/>
        <w:ind w:firstLine="708"/>
        <w:rPr>
          <w:rFonts w:ascii="Times New Roman" w:hAnsi="Times New Roman"/>
        </w:rPr>
      </w:pPr>
      <w:r>
        <w:rPr>
          <w:rFonts w:ascii="Times New Roman" w:hAnsi="Times New Roman"/>
        </w:rPr>
        <w:t>Najvyššie orgány Fondu, ktorými sú prezídium a dozorná rada, volí a odvoláva Národná rada Slovenskej republiky. Štatutárnym orgánom Fondu je výkonný výbor.</w:t>
      </w:r>
    </w:p>
    <w:p w:rsidR="004C20F3">
      <w:pPr>
        <w:bidi w:val="0"/>
        <w:ind w:firstLine="709"/>
        <w:rPr>
          <w:rFonts w:ascii="Times New Roman" w:hAnsi="Times New Roman"/>
        </w:rPr>
      </w:pPr>
      <w:r>
        <w:rPr>
          <w:rFonts w:ascii="Times New Roman" w:hAnsi="Times New Roman"/>
        </w:rPr>
        <w:t>Hlavnou úlohou Fondu v zmysle zákona je realizácia privatizačných projektov na základe rozhodnutí o privatizácii. V prípade priameho predaja majetku alebo akcií, organizuje Fond výberové konania, alebo zabezpečuje prípravu a priebeh verejných obchodných súťaží, pripravuje a uzatvára kúpne zmluvy s nadobúdateľmi privatizovaného majetku. Pri privatizácii uskutočnenej vložením štátneho majetku do akciovej spoločnosti, je Fond zakladateľom a jediným akcionárom, ktorý následne tieto akcie prevádza na nadobúdateľov v súlade s rozhodnutím o privatizácii.</w:t>
      </w:r>
    </w:p>
    <w:p w:rsidR="004C20F3">
      <w:pPr>
        <w:bidi w:val="0"/>
        <w:rPr>
          <w:rFonts w:ascii="Times New Roman" w:hAnsi="Times New Roman"/>
        </w:rPr>
      </w:pPr>
    </w:p>
    <w:p w:rsidR="004C20F3">
      <w:pPr>
        <w:bidi w:val="0"/>
        <w:ind w:firstLine="0"/>
        <w:rPr>
          <w:rFonts w:ascii="Times New Roman" w:hAnsi="Times New Roman"/>
        </w:rPr>
      </w:pPr>
      <w:r>
        <w:rPr>
          <w:rFonts w:ascii="Times New Roman" w:hAnsi="Times New Roman"/>
        </w:rPr>
        <w:t>Majetok Fondu tvorí:</w:t>
      </w:r>
    </w:p>
    <w:p w:rsidR="004C20F3">
      <w:pPr>
        <w:pStyle w:val="ostavec2"/>
        <w:bidi w:val="0"/>
        <w:rPr>
          <w:rFonts w:ascii="Times New Roman" w:hAnsi="Times New Roman"/>
        </w:rPr>
      </w:pPr>
      <w:r>
        <w:rPr>
          <w:rFonts w:ascii="Times New Roman" w:hAnsi="Times New Roman"/>
        </w:rPr>
        <w:t>privatizovaný majetok, ktorý prešiel na Fond podľa zákona č. 92/1991 Zb. o podmienkach prevodu majetku štátu na iné osoby v znení neskorších predpisov (ďalej len „zákon“),</w:t>
      </w:r>
    </w:p>
    <w:p w:rsidR="004C20F3">
      <w:pPr>
        <w:pStyle w:val="ostavec2"/>
        <w:bidi w:val="0"/>
        <w:rPr>
          <w:rFonts w:ascii="Times New Roman" w:hAnsi="Times New Roman"/>
        </w:rPr>
      </w:pPr>
      <w:r>
        <w:rPr>
          <w:rFonts w:ascii="Times New Roman" w:hAnsi="Times New Roman"/>
        </w:rPr>
        <w:t>zisk z účasti Fondu na podnikaní obchodných spoločností, na ktorých podnikaní sa zúčastňuje,</w:t>
      </w:r>
    </w:p>
    <w:p w:rsidR="004C20F3">
      <w:pPr>
        <w:pStyle w:val="ostavec2"/>
        <w:bidi w:val="0"/>
        <w:rPr>
          <w:rFonts w:ascii="Times New Roman" w:hAnsi="Times New Roman"/>
        </w:rPr>
      </w:pPr>
      <w:r>
        <w:rPr>
          <w:rFonts w:ascii="Times New Roman" w:hAnsi="Times New Roman"/>
        </w:rPr>
        <w:t>výnos z predaja akcií alebo podielov na iných ako akciových spoločnostiach,</w:t>
      </w:r>
    </w:p>
    <w:p w:rsidR="004C20F3">
      <w:pPr>
        <w:pStyle w:val="ostavec2"/>
        <w:bidi w:val="0"/>
        <w:rPr>
          <w:rFonts w:ascii="Times New Roman" w:hAnsi="Times New Roman"/>
        </w:rPr>
      </w:pPr>
      <w:r>
        <w:rPr>
          <w:rFonts w:ascii="Times New Roman" w:hAnsi="Times New Roman"/>
        </w:rPr>
        <w:t>akcie alebo majetkové podiely, ktoré neboli predmetom rozhodnutia o privatizácii, a ktoré Fond nadobudol ako akcionár alebo spoločník,</w:t>
      </w:r>
    </w:p>
    <w:p w:rsidR="004C20F3">
      <w:pPr>
        <w:pStyle w:val="ostavec2"/>
        <w:bidi w:val="0"/>
        <w:rPr>
          <w:rFonts w:ascii="Times New Roman" w:hAnsi="Times New Roman"/>
        </w:rPr>
      </w:pPr>
      <w:r>
        <w:rPr>
          <w:rFonts w:ascii="Times New Roman" w:hAnsi="Times New Roman"/>
        </w:rPr>
        <w:t>majetok, ktorý na Fond prešiel v dôsledku odstúpenia od zmluvy.</w:t>
      </w:r>
    </w:p>
    <w:p w:rsidR="004C20F3">
      <w:pPr>
        <w:bidi w:val="0"/>
        <w:ind w:firstLine="708"/>
        <w:rPr>
          <w:rFonts w:ascii="Times New Roman" w:hAnsi="Times New Roman"/>
          <w:szCs w:val="22"/>
        </w:rPr>
      </w:pPr>
      <w:r>
        <w:rPr>
          <w:rFonts w:ascii="Times New Roman" w:hAnsi="Times New Roman"/>
        </w:rPr>
        <w:t>Fond je pod priamym dohľadom Národnej rady Slovenskej republiky, ktorej predkladá na schválenie rozpočet Fondu, návrh na použitie majetku Fondu podľa § 28 ods. 3 písm. b) zákona, ročnú účtovnú závierku a výročnú správu o svojej činnosti.</w:t>
      </w:r>
    </w:p>
    <w:p w:rsidR="004C20F3">
      <w:pPr>
        <w:bidi w:val="0"/>
        <w:ind w:firstLine="708"/>
        <w:rPr>
          <w:rFonts w:ascii="Times New Roman" w:hAnsi="Times New Roman"/>
        </w:rPr>
      </w:pPr>
      <w:r>
        <w:rPr>
          <w:rFonts w:ascii="Times New Roman" w:hAnsi="Times New Roman"/>
        </w:rPr>
        <w:t>Príjmy a výdavky Fondu nie sú súčasťou štátneho rozpočtu Slovenskej republiky a môžu byť použité len v súlade so zákonom.</w:t>
      </w:r>
    </w:p>
    <w:p w:rsidR="004C20F3">
      <w:pPr>
        <w:pStyle w:val="Heading1"/>
        <w:bidi w:val="0"/>
        <w:rPr>
          <w:rFonts w:ascii="Times New Roman" w:hAnsi="Times New Roman"/>
        </w:rPr>
      </w:pPr>
      <w:r>
        <w:rPr>
          <w:rFonts w:ascii="Times New Roman" w:hAnsi="Times New Roman"/>
        </w:rPr>
        <w:br w:type="page"/>
        <w:t xml:space="preserve">ORGÁNY FONDU </w:t>
      </w:r>
    </w:p>
    <w:p w:rsidR="004C20F3">
      <w:pPr>
        <w:bidi w:val="0"/>
        <w:rPr>
          <w:rFonts w:ascii="Times New Roman" w:hAnsi="Times New Roman"/>
        </w:rPr>
      </w:pPr>
      <w:r>
        <w:rPr>
          <w:rFonts w:ascii="Times New Roman" w:hAnsi="Times New Roman"/>
        </w:rPr>
        <w:t>Orgánmi Fondu sú prezídium, dozorná rada a výkonný výbor.</w:t>
      </w:r>
    </w:p>
    <w:p w:rsidR="004C20F3">
      <w:pPr>
        <w:pStyle w:val="Heading3"/>
        <w:bidi w:val="0"/>
        <w:rPr>
          <w:rFonts w:ascii="Times New Roman" w:hAnsi="Times New Roman"/>
        </w:rPr>
      </w:pPr>
      <w:r>
        <w:rPr>
          <w:rFonts w:ascii="Times New Roman" w:hAnsi="Times New Roman"/>
        </w:rPr>
        <w:t>I. Prezídium</w:t>
      </w:r>
    </w:p>
    <w:p w:rsidR="004C20F3">
      <w:pPr>
        <w:bidi w:val="0"/>
        <w:rPr>
          <w:rFonts w:ascii="Times New Roman" w:hAnsi="Times New Roman"/>
        </w:rPr>
      </w:pPr>
      <w:r>
        <w:rPr>
          <w:rFonts w:ascii="Times New Roman" w:hAnsi="Times New Roman"/>
        </w:rPr>
        <w:t>Najvyšším orgánom Fondu je prezídium, ktoré pozostáva z deviatich členov. Podľa § 31 ods. 2 zákona prezidenta prezídia, viceprezidenta a ďalších sedem členov prezídia Fondu volí a odvoláva na návrh vlády alebo výboru Národnej rady Slovenskej republiky Národná rada Slovenskej republiky (ďalej aj „NR SR“) tajným hlasovaním.</w:t>
      </w:r>
    </w:p>
    <w:p w:rsidR="004C20F3">
      <w:pPr>
        <w:bidi w:val="0"/>
        <w:rPr>
          <w:rFonts w:ascii="Times New Roman" w:hAnsi="Times New Roman"/>
        </w:rPr>
      </w:pPr>
      <w:r>
        <w:rPr>
          <w:rFonts w:ascii="Times New Roman" w:hAnsi="Times New Roman"/>
        </w:rPr>
        <w:t>V zmysle § 32 ods. 2 a 3 zákona Prezídium Fondu zodpovedá najmä za vypracovanie:</w:t>
      </w:r>
    </w:p>
    <w:p w:rsidR="004C20F3">
      <w:pPr>
        <w:pStyle w:val="ostavec3"/>
        <w:tabs>
          <w:tab w:val="clear" w:pos="1494"/>
        </w:tabs>
        <w:bidi w:val="0"/>
        <w:ind w:left="924" w:hanging="357"/>
        <w:rPr>
          <w:rFonts w:ascii="Times New Roman" w:hAnsi="Times New Roman"/>
        </w:rPr>
      </w:pPr>
      <w:r>
        <w:rPr>
          <w:rFonts w:ascii="Times New Roman" w:hAnsi="Times New Roman"/>
        </w:rPr>
        <w:t>návrhu na použitie majetku Fondu podľa § 28 ods. 3 písm. b) zákona,</w:t>
      </w:r>
    </w:p>
    <w:p w:rsidR="004C20F3">
      <w:pPr>
        <w:pStyle w:val="ostavec3"/>
        <w:tabs>
          <w:tab w:val="clear" w:pos="1494"/>
        </w:tabs>
        <w:bidi w:val="0"/>
        <w:ind w:left="924" w:hanging="357"/>
        <w:rPr>
          <w:rFonts w:ascii="Times New Roman" w:hAnsi="Times New Roman"/>
        </w:rPr>
      </w:pPr>
      <w:r>
        <w:rPr>
          <w:rFonts w:ascii="Times New Roman" w:hAnsi="Times New Roman"/>
        </w:rPr>
        <w:t>návrhu rozpočtu Fondu,</w:t>
      </w:r>
    </w:p>
    <w:p w:rsidR="004C20F3">
      <w:pPr>
        <w:pStyle w:val="ostavec3"/>
        <w:tabs>
          <w:tab w:val="clear" w:pos="1494"/>
        </w:tabs>
        <w:bidi w:val="0"/>
        <w:ind w:left="924" w:hanging="357"/>
        <w:rPr>
          <w:rFonts w:ascii="Times New Roman" w:hAnsi="Times New Roman"/>
        </w:rPr>
      </w:pPr>
      <w:r>
        <w:rPr>
          <w:rFonts w:ascii="Times New Roman" w:hAnsi="Times New Roman"/>
        </w:rPr>
        <w:t>ročnej účtovnej závierky Fondu,</w:t>
      </w:r>
    </w:p>
    <w:p w:rsidR="004C20F3">
      <w:pPr>
        <w:pStyle w:val="ostavec3"/>
        <w:tabs>
          <w:tab w:val="clear" w:pos="1494"/>
        </w:tabs>
        <w:bidi w:val="0"/>
        <w:ind w:left="924" w:hanging="357"/>
        <w:rPr>
          <w:rFonts w:ascii="Times New Roman" w:hAnsi="Times New Roman"/>
        </w:rPr>
      </w:pPr>
      <w:r>
        <w:rPr>
          <w:rFonts w:ascii="Times New Roman" w:hAnsi="Times New Roman"/>
        </w:rPr>
        <w:t>výročnej správy o činnosti Fondu za predchádzajúci rok,</w:t>
      </w:r>
    </w:p>
    <w:p w:rsidR="004C20F3">
      <w:pPr>
        <w:bidi w:val="0"/>
        <w:ind w:firstLine="0"/>
        <w:rPr>
          <w:rFonts w:ascii="Times New Roman" w:hAnsi="Times New Roman"/>
        </w:rPr>
      </w:pPr>
      <w:r>
        <w:rPr>
          <w:rFonts w:ascii="Times New Roman" w:hAnsi="Times New Roman"/>
        </w:rPr>
        <w:t>ktoré po prerokovaní v Dozornej rade Fondu a vo vláde Slovenskej republiky predkladá na schválenie Národnej rade Slovenskej republiky. Do pôsobnosti prezídia patrí aj vymenúvanie a odvolávanie členov výkonného výboru.</w:t>
      </w:r>
    </w:p>
    <w:p w:rsidR="004C20F3">
      <w:pPr>
        <w:pStyle w:val="BodyTextIndent2"/>
        <w:bidi w:val="0"/>
        <w:spacing w:after="120"/>
        <w:ind w:firstLine="0"/>
        <w:rPr>
          <w:rFonts w:ascii="Times New Roman" w:hAnsi="Times New Roman"/>
        </w:rPr>
      </w:pPr>
    </w:p>
    <w:p w:rsidR="004C20F3">
      <w:pPr>
        <w:pStyle w:val="BodyTextIndent2"/>
        <w:bidi w:val="0"/>
        <w:spacing w:after="120"/>
        <w:ind w:firstLine="0"/>
        <w:rPr>
          <w:rFonts w:ascii="Times New Roman" w:hAnsi="Times New Roman"/>
        </w:rPr>
      </w:pPr>
      <w:r>
        <w:rPr>
          <w:rFonts w:ascii="Times New Roman" w:hAnsi="Times New Roman"/>
        </w:rPr>
        <w:t>Počas roku 2009 pracovalo prezídium v nasledovnom zložení:</w:t>
      </w:r>
    </w:p>
    <w:tbl>
      <w:tblPr>
        <w:tblStyle w:val="TableNormal"/>
        <w:tblW w:w="0" w:type="auto"/>
        <w:tblCellMar>
          <w:top w:w="0" w:type="dxa"/>
          <w:left w:w="70" w:type="dxa"/>
          <w:bottom w:w="0" w:type="dxa"/>
          <w:right w:w="70" w:type="dxa"/>
        </w:tblCellMar>
      </w:tblPr>
      <w:tblGrid>
        <w:gridCol w:w="3850"/>
        <w:gridCol w:w="5362"/>
      </w:tblGrid>
      <w:tr>
        <w:tblPrEx>
          <w:tblW w:w="0" w:type="auto"/>
          <w:tblCellMar>
            <w:top w:w="0" w:type="dxa"/>
            <w:left w:w="70" w:type="dxa"/>
            <w:bottom w:w="0" w:type="dxa"/>
            <w:right w:w="70" w:type="dxa"/>
          </w:tblCellMar>
        </w:tblPrEx>
        <w:tc>
          <w:tcPr>
            <w:tcW w:w="3850" w:type="dxa"/>
            <w:tcBorders>
              <w:top w:val="nil"/>
              <w:left w:val="nil"/>
              <w:bottom w:val="nil"/>
              <w:right w:val="nil"/>
            </w:tcBorders>
            <w:textDirection w:val="lrTb"/>
            <w:vAlign w:val="top"/>
          </w:tcPr>
          <w:p w:rsidR="004C20F3">
            <w:pPr>
              <w:bidi w:val="0"/>
              <w:rPr>
                <w:rFonts w:ascii="Times New Roman" w:hAnsi="Times New Roman"/>
                <w:i/>
                <w:iCs/>
              </w:rPr>
            </w:pPr>
            <w:r>
              <w:rPr>
                <w:rFonts w:ascii="Times New Roman" w:hAnsi="Times New Roman"/>
                <w:i/>
                <w:iCs/>
              </w:rPr>
              <w:t>JUDr. Peter Šimko</w:t>
            </w:r>
          </w:p>
          <w:p w:rsidR="004C20F3">
            <w:pPr>
              <w:bidi w:val="0"/>
              <w:rPr>
                <w:rFonts w:ascii="Times New Roman" w:hAnsi="Times New Roman"/>
                <w:i/>
                <w:iCs/>
              </w:rPr>
            </w:pPr>
            <w:r>
              <w:rPr>
                <w:rFonts w:ascii="Times New Roman" w:hAnsi="Times New Roman"/>
                <w:i/>
                <w:iCs/>
              </w:rPr>
              <w:t>Ing.Vladimír Kocourek</w:t>
            </w:r>
          </w:p>
          <w:p w:rsidR="004C20F3">
            <w:pPr>
              <w:bidi w:val="0"/>
              <w:rPr>
                <w:rFonts w:ascii="Times New Roman" w:hAnsi="Times New Roman"/>
                <w:i/>
                <w:iCs/>
              </w:rPr>
            </w:pPr>
            <w:r>
              <w:rPr>
                <w:rFonts w:ascii="Times New Roman" w:hAnsi="Times New Roman"/>
                <w:i/>
                <w:iCs/>
              </w:rPr>
              <w:t>Ing. Jozef Cudrák</w:t>
            </w:r>
          </w:p>
          <w:p w:rsidR="004C20F3">
            <w:pPr>
              <w:bidi w:val="0"/>
              <w:rPr>
                <w:rFonts w:ascii="Times New Roman" w:hAnsi="Times New Roman"/>
                <w:i/>
                <w:iCs/>
              </w:rPr>
            </w:pPr>
            <w:r>
              <w:rPr>
                <w:rFonts w:ascii="Times New Roman" w:hAnsi="Times New Roman"/>
                <w:i/>
                <w:iCs/>
              </w:rPr>
              <w:t>Ing. Vladimír Taraba, PhD.</w:t>
            </w:r>
          </w:p>
          <w:p w:rsidR="004C20F3">
            <w:pPr>
              <w:bidi w:val="0"/>
              <w:rPr>
                <w:rFonts w:ascii="Times New Roman" w:hAnsi="Times New Roman"/>
                <w:i/>
                <w:iCs/>
              </w:rPr>
            </w:pPr>
            <w:r>
              <w:rPr>
                <w:rFonts w:ascii="Times New Roman" w:hAnsi="Times New Roman"/>
                <w:i/>
                <w:iCs/>
              </w:rPr>
              <w:t xml:space="preserve">Ing. Pavol Hanus </w:t>
            </w:r>
          </w:p>
          <w:p w:rsidR="004C20F3">
            <w:pPr>
              <w:bidi w:val="0"/>
              <w:rPr>
                <w:rFonts w:ascii="Times New Roman" w:hAnsi="Times New Roman"/>
                <w:i/>
                <w:iCs/>
              </w:rPr>
            </w:pPr>
            <w:r>
              <w:rPr>
                <w:rFonts w:ascii="Times New Roman" w:hAnsi="Times New Roman"/>
                <w:i/>
                <w:iCs/>
              </w:rPr>
              <w:t>Ing. Peter Oremus</w:t>
            </w:r>
          </w:p>
          <w:p w:rsidR="004C20F3">
            <w:pPr>
              <w:bidi w:val="0"/>
              <w:rPr>
                <w:rFonts w:ascii="Times New Roman" w:hAnsi="Times New Roman"/>
                <w:i/>
                <w:iCs/>
              </w:rPr>
            </w:pPr>
            <w:r>
              <w:rPr>
                <w:rFonts w:ascii="Times New Roman" w:hAnsi="Times New Roman"/>
                <w:i/>
                <w:iCs/>
              </w:rPr>
              <w:t>Ľubomír Želiezka</w:t>
            </w:r>
          </w:p>
          <w:p w:rsidR="004C20F3">
            <w:pPr>
              <w:bidi w:val="0"/>
              <w:rPr>
                <w:rFonts w:ascii="Times New Roman" w:hAnsi="Times New Roman"/>
                <w:i/>
                <w:iCs/>
              </w:rPr>
            </w:pPr>
            <w:r>
              <w:rPr>
                <w:rFonts w:ascii="Times New Roman" w:hAnsi="Times New Roman"/>
                <w:i/>
                <w:iCs/>
              </w:rPr>
              <w:t>Mgr. Gerhard Majling</w:t>
            </w:r>
          </w:p>
          <w:p w:rsidR="004C20F3">
            <w:pPr>
              <w:bidi w:val="0"/>
              <w:rPr>
                <w:rFonts w:ascii="Times New Roman" w:hAnsi="Times New Roman"/>
                <w:i/>
                <w:iCs/>
              </w:rPr>
            </w:pPr>
            <w:r>
              <w:rPr>
                <w:rFonts w:ascii="Times New Roman" w:hAnsi="Times New Roman"/>
                <w:i/>
                <w:iCs/>
              </w:rPr>
              <w:t>Ing. Peter Greguš</w:t>
            </w:r>
          </w:p>
        </w:tc>
        <w:tc>
          <w:tcPr>
            <w:tcW w:w="5362" w:type="dxa"/>
            <w:tcBorders>
              <w:top w:val="nil"/>
              <w:left w:val="nil"/>
              <w:bottom w:val="nil"/>
              <w:right w:val="nil"/>
            </w:tcBorders>
            <w:textDirection w:val="lrTb"/>
            <w:vAlign w:val="top"/>
          </w:tcPr>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rPr>
            </w:pPr>
            <w:r>
              <w:rPr>
                <w:rFonts w:ascii="Times New Roman" w:hAnsi="Times New Roman"/>
                <w:sz w:val="24"/>
                <w:szCs w:val="24"/>
              </w:rPr>
              <w:t>prezident</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sz w:val="24"/>
                <w:szCs w:val="24"/>
              </w:rPr>
            </w:pPr>
            <w:r>
              <w:rPr>
                <w:rFonts w:ascii="Times New Roman" w:hAnsi="Times New Roman"/>
                <w:sz w:val="24"/>
                <w:szCs w:val="24"/>
              </w:rPr>
              <w:t>viceprezident</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sz w:val="24"/>
                <w:szCs w:val="24"/>
              </w:rPr>
            </w:pPr>
            <w:r>
              <w:rPr>
                <w:rFonts w:ascii="Times New Roman" w:hAnsi="Times New Roman"/>
                <w:sz w:val="24"/>
                <w:szCs w:val="24"/>
              </w:rPr>
              <w:t>člen</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sz w:val="24"/>
                <w:szCs w:val="24"/>
              </w:rPr>
            </w:pPr>
            <w:r>
              <w:rPr>
                <w:rFonts w:ascii="Times New Roman" w:hAnsi="Times New Roman"/>
                <w:sz w:val="24"/>
                <w:szCs w:val="24"/>
              </w:rPr>
              <w:t>člen</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sz w:val="24"/>
                <w:szCs w:val="24"/>
              </w:rPr>
            </w:pPr>
            <w:r>
              <w:rPr>
                <w:rFonts w:ascii="Times New Roman" w:hAnsi="Times New Roman"/>
                <w:sz w:val="24"/>
                <w:szCs w:val="24"/>
              </w:rPr>
              <w:t>člen</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sz w:val="24"/>
                <w:szCs w:val="24"/>
              </w:rPr>
            </w:pPr>
            <w:r>
              <w:rPr>
                <w:rFonts w:ascii="Times New Roman" w:hAnsi="Times New Roman"/>
                <w:sz w:val="24"/>
                <w:szCs w:val="24"/>
              </w:rPr>
              <w:t>člen</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sz w:val="24"/>
                <w:szCs w:val="24"/>
              </w:rPr>
            </w:pPr>
            <w:r>
              <w:rPr>
                <w:rFonts w:ascii="Times New Roman" w:hAnsi="Times New Roman"/>
                <w:sz w:val="24"/>
                <w:szCs w:val="24"/>
              </w:rPr>
              <w:t>člen</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Times New Roman" w:hAnsi="Times New Roman"/>
                <w:sz w:val="24"/>
                <w:szCs w:val="24"/>
              </w:rPr>
            </w:pPr>
            <w:r>
              <w:rPr>
                <w:rFonts w:ascii="Times New Roman" w:hAnsi="Times New Roman"/>
                <w:sz w:val="24"/>
                <w:szCs w:val="24"/>
              </w:rPr>
              <w:t>člen</w:t>
            </w:r>
          </w:p>
          <w:p w:rsidR="004C20F3" w:rsidP="004C20F3">
            <w:pPr>
              <w:pStyle w:val="BodyTextIndent"/>
              <w:numPr>
                <w:ilvl w:val="1"/>
                <w:numId w:val="1"/>
              </w:numPr>
              <w:tabs>
                <w:tab w:val="num" w:pos="470"/>
                <w:tab w:val="clear" w:pos="1440"/>
              </w:tabs>
              <w:overflowPunct/>
              <w:autoSpaceDE/>
              <w:autoSpaceDN/>
              <w:bidi w:val="0"/>
              <w:adjustRightInd/>
              <w:spacing w:line="240" w:lineRule="auto"/>
              <w:ind w:left="470"/>
              <w:textAlignment w:val="auto"/>
              <w:rPr>
                <w:rFonts w:ascii="Arial" w:hAnsi="Arial" w:cs="Arial"/>
                <w:sz w:val="24"/>
                <w:szCs w:val="24"/>
              </w:rPr>
            </w:pPr>
            <w:r>
              <w:rPr>
                <w:rFonts w:ascii="Times New Roman" w:hAnsi="Times New Roman"/>
                <w:sz w:val="24"/>
                <w:szCs w:val="24"/>
              </w:rPr>
              <w:t>člen</w:t>
            </w:r>
          </w:p>
        </w:tc>
      </w:tr>
    </w:tbl>
    <w:p w:rsidR="004C20F3">
      <w:pPr>
        <w:bidi w:val="0"/>
        <w:ind w:firstLine="0"/>
        <w:rPr>
          <w:rFonts w:ascii="Times New Roman" w:hAnsi="Times New Roman"/>
          <w:szCs w:val="26"/>
        </w:rPr>
      </w:pPr>
    </w:p>
    <w:p w:rsidR="004C20F3">
      <w:pPr>
        <w:pStyle w:val="Heading3"/>
        <w:bidi w:val="0"/>
        <w:rPr>
          <w:rFonts w:ascii="Times New Roman" w:hAnsi="Times New Roman"/>
        </w:rPr>
      </w:pPr>
      <w:r>
        <w:rPr>
          <w:rFonts w:ascii="Times New Roman" w:hAnsi="Times New Roman"/>
        </w:rPr>
        <w:t>II. Dozorná rada</w:t>
      </w:r>
    </w:p>
    <w:p w:rsidR="004C20F3">
      <w:pPr>
        <w:bidi w:val="0"/>
        <w:ind w:firstLine="709"/>
        <w:rPr>
          <w:rFonts w:ascii="Times New Roman" w:hAnsi="Times New Roman"/>
        </w:rPr>
      </w:pPr>
      <w:r>
        <w:rPr>
          <w:rFonts w:ascii="Times New Roman" w:hAnsi="Times New Roman"/>
        </w:rPr>
        <w:t>Dozorná rada Fondu kontroluje hospodárenie Fondu a súlad činnosti Fondu so zákonom, Štatútom Fondu a inými všeobecne záväznými právnymi predpismi. Na zistené nedostatky upozorňuje Prezídium Fondu, vládu Slovenskej republiky, Národnú radu Slovenskej republiky, príp. iné orgány.</w:t>
      </w:r>
    </w:p>
    <w:p w:rsidR="004C20F3">
      <w:pPr>
        <w:bidi w:val="0"/>
        <w:rPr>
          <w:rFonts w:ascii="Times New Roman" w:hAnsi="Times New Roman"/>
        </w:rPr>
      </w:pPr>
      <w:r>
        <w:rPr>
          <w:rFonts w:ascii="Times New Roman" w:hAnsi="Times New Roman"/>
        </w:rPr>
        <w:t>Podľa ustanovenia § 37 ods. 1 zákona sa dozorná rada skladá zo siedmich členov. Predsedu a ďalších členov volí a odvoláva na návrh výboru Národnej rady Slovenskej republiky Národná rada Slovenskej republiky tajným hlasovaním.</w:t>
      </w:r>
    </w:p>
    <w:p w:rsidR="004C20F3">
      <w:pPr>
        <w:bidi w:val="0"/>
        <w:rPr>
          <w:rFonts w:ascii="Times New Roman" w:hAnsi="Times New Roman"/>
        </w:rPr>
      </w:pPr>
    </w:p>
    <w:p w:rsidR="004C20F3">
      <w:pPr>
        <w:bidi w:val="0"/>
        <w:rPr>
          <w:rFonts w:ascii="Times New Roman" w:hAnsi="Times New Roman"/>
        </w:rPr>
      </w:pPr>
    </w:p>
    <w:p w:rsidR="004C20F3">
      <w:pPr>
        <w:bidi w:val="0"/>
        <w:spacing w:after="120"/>
        <w:ind w:firstLine="0"/>
        <w:rPr>
          <w:rFonts w:ascii="Times New Roman" w:hAnsi="Times New Roman"/>
        </w:rPr>
      </w:pPr>
      <w:r>
        <w:rPr>
          <w:rFonts w:ascii="Times New Roman" w:hAnsi="Times New Roman"/>
        </w:rPr>
        <w:br w:type="page"/>
        <w:t>Počas roku 2009 pracovala dozorná rada v nasledovnom zložení:</w:t>
      </w:r>
    </w:p>
    <w:tbl>
      <w:tblPr>
        <w:tblStyle w:val="TableNormal"/>
        <w:tblW w:w="0" w:type="auto"/>
        <w:tblCellMar>
          <w:top w:w="0" w:type="dxa"/>
          <w:left w:w="70" w:type="dxa"/>
          <w:bottom w:w="0" w:type="dxa"/>
          <w:right w:w="70" w:type="dxa"/>
        </w:tblCellMar>
      </w:tblPr>
      <w:tblGrid>
        <w:gridCol w:w="2950"/>
        <w:gridCol w:w="6262"/>
      </w:tblGrid>
      <w:tr>
        <w:tblPrEx>
          <w:tblW w:w="0" w:type="auto"/>
          <w:tblCellMar>
            <w:top w:w="0" w:type="dxa"/>
            <w:left w:w="70" w:type="dxa"/>
            <w:bottom w:w="0" w:type="dxa"/>
            <w:right w:w="70" w:type="dxa"/>
          </w:tblCellMar>
        </w:tblPrEx>
        <w:tc>
          <w:tcPr>
            <w:tcW w:w="2950" w:type="dxa"/>
            <w:tcBorders>
              <w:top w:val="nil"/>
              <w:left w:val="nil"/>
              <w:bottom w:val="nil"/>
              <w:right w:val="nil"/>
            </w:tcBorders>
            <w:textDirection w:val="lrTb"/>
            <w:vAlign w:val="top"/>
          </w:tcPr>
          <w:p w:rsidR="004C20F3">
            <w:pPr>
              <w:bidi w:val="0"/>
              <w:rPr>
                <w:rFonts w:ascii="Times New Roman" w:hAnsi="Times New Roman"/>
                <w:i/>
                <w:iCs/>
              </w:rPr>
            </w:pPr>
            <w:r>
              <w:rPr>
                <w:rFonts w:ascii="Times New Roman" w:hAnsi="Times New Roman"/>
                <w:i/>
                <w:iCs/>
              </w:rPr>
              <w:t>Ing. Anna Bubeníková</w:t>
            </w:r>
          </w:p>
          <w:p w:rsidR="004C20F3">
            <w:pPr>
              <w:bidi w:val="0"/>
              <w:rPr>
                <w:rFonts w:ascii="Times New Roman" w:hAnsi="Times New Roman"/>
                <w:i/>
                <w:iCs/>
              </w:rPr>
            </w:pPr>
            <w:r>
              <w:rPr>
                <w:rFonts w:ascii="Times New Roman" w:hAnsi="Times New Roman"/>
                <w:i/>
                <w:iCs/>
              </w:rPr>
              <w:t>Mgr. Ivan Švec</w:t>
            </w:r>
          </w:p>
          <w:p w:rsidR="004C20F3">
            <w:pPr>
              <w:bidi w:val="0"/>
              <w:rPr>
                <w:rFonts w:ascii="Times New Roman" w:hAnsi="Times New Roman"/>
                <w:i/>
                <w:iCs/>
              </w:rPr>
            </w:pPr>
            <w:r>
              <w:rPr>
                <w:rFonts w:ascii="Times New Roman" w:hAnsi="Times New Roman"/>
                <w:i/>
                <w:iCs/>
              </w:rPr>
              <w:t>JUDr. Karol Gordík</w:t>
            </w:r>
          </w:p>
          <w:p w:rsidR="004C20F3">
            <w:pPr>
              <w:bidi w:val="0"/>
              <w:rPr>
                <w:rFonts w:ascii="Times New Roman" w:hAnsi="Times New Roman"/>
                <w:i/>
                <w:iCs/>
              </w:rPr>
            </w:pPr>
            <w:r>
              <w:rPr>
                <w:rFonts w:ascii="Times New Roman" w:hAnsi="Times New Roman"/>
                <w:i/>
                <w:iCs/>
              </w:rPr>
              <w:t>Ing. László Pomothy</w:t>
            </w:r>
          </w:p>
          <w:p w:rsidR="004C20F3">
            <w:pPr>
              <w:bidi w:val="0"/>
              <w:rPr>
                <w:rFonts w:ascii="Times New Roman" w:hAnsi="Times New Roman"/>
                <w:i/>
                <w:iCs/>
              </w:rPr>
            </w:pPr>
            <w:r>
              <w:rPr>
                <w:rFonts w:ascii="Times New Roman" w:hAnsi="Times New Roman"/>
                <w:i/>
                <w:iCs/>
              </w:rPr>
              <w:t>Ing. Viliam Holeva</w:t>
            </w:r>
          </w:p>
          <w:p w:rsidR="004C20F3">
            <w:pPr>
              <w:bidi w:val="0"/>
              <w:rPr>
                <w:rFonts w:ascii="Times New Roman" w:hAnsi="Times New Roman"/>
                <w:i/>
                <w:iCs/>
              </w:rPr>
            </w:pPr>
            <w:r>
              <w:rPr>
                <w:rFonts w:ascii="Times New Roman" w:hAnsi="Times New Roman"/>
                <w:i/>
                <w:iCs/>
              </w:rPr>
              <w:t>Ing. Jaroslav Ivan</w:t>
            </w:r>
          </w:p>
          <w:p w:rsidR="004C20F3">
            <w:pPr>
              <w:bidi w:val="0"/>
              <w:rPr>
                <w:rFonts w:ascii="Times New Roman" w:hAnsi="Times New Roman"/>
              </w:rPr>
            </w:pPr>
            <w:r>
              <w:rPr>
                <w:rFonts w:ascii="Times New Roman" w:hAnsi="Times New Roman"/>
                <w:i/>
                <w:iCs/>
              </w:rPr>
              <w:t>RSDr. Milan Mikláš</w:t>
            </w:r>
          </w:p>
        </w:tc>
        <w:tc>
          <w:tcPr>
            <w:tcW w:w="6262" w:type="dxa"/>
            <w:tcBorders>
              <w:top w:val="nil"/>
              <w:left w:val="nil"/>
              <w:bottom w:val="nil"/>
              <w:right w:val="nil"/>
            </w:tcBorders>
            <w:textDirection w:val="lrTb"/>
            <w:vAlign w:val="top"/>
          </w:tcPr>
          <w:p w:rsidR="004C20F3" w:rsidP="004C20F3">
            <w:pPr>
              <w:numPr>
                <w:ilvl w:val="1"/>
                <w:numId w:val="1"/>
              </w:numPr>
              <w:tabs>
                <w:tab w:val="num" w:pos="434"/>
                <w:tab w:val="clear" w:pos="1440"/>
              </w:tabs>
              <w:bidi w:val="0"/>
              <w:ind w:left="434"/>
              <w:rPr>
                <w:rFonts w:ascii="Times New Roman" w:hAnsi="Times New Roman"/>
              </w:rPr>
            </w:pPr>
            <w:r>
              <w:rPr>
                <w:rFonts w:ascii="Times New Roman" w:hAnsi="Times New Roman"/>
              </w:rPr>
              <w:t>predseda</w:t>
            </w:r>
          </w:p>
          <w:p w:rsidR="004C20F3" w:rsidP="004C20F3">
            <w:pPr>
              <w:numPr>
                <w:ilvl w:val="1"/>
                <w:numId w:val="1"/>
              </w:numPr>
              <w:tabs>
                <w:tab w:val="num" w:pos="434"/>
                <w:tab w:val="clear" w:pos="1440"/>
              </w:tabs>
              <w:bidi w:val="0"/>
              <w:ind w:left="434"/>
              <w:rPr>
                <w:rFonts w:ascii="Times New Roman" w:hAnsi="Times New Roman"/>
              </w:rPr>
            </w:pPr>
            <w:r>
              <w:rPr>
                <w:rFonts w:ascii="Times New Roman" w:hAnsi="Times New Roman"/>
              </w:rPr>
              <w:t>podpredseda</w:t>
            </w:r>
          </w:p>
          <w:p w:rsidR="004C20F3" w:rsidP="004C20F3">
            <w:pPr>
              <w:numPr>
                <w:ilvl w:val="1"/>
                <w:numId w:val="1"/>
              </w:numPr>
              <w:tabs>
                <w:tab w:val="num" w:pos="434"/>
                <w:tab w:val="clear" w:pos="1440"/>
              </w:tabs>
              <w:bidi w:val="0"/>
              <w:ind w:left="434"/>
              <w:rPr>
                <w:rFonts w:ascii="Times New Roman" w:hAnsi="Times New Roman"/>
              </w:rPr>
            </w:pPr>
            <w:r>
              <w:rPr>
                <w:rFonts w:ascii="Times New Roman" w:hAnsi="Times New Roman"/>
              </w:rPr>
              <w:t>člen</w:t>
            </w:r>
          </w:p>
          <w:p w:rsidR="004C20F3" w:rsidP="004C20F3">
            <w:pPr>
              <w:numPr>
                <w:ilvl w:val="1"/>
                <w:numId w:val="1"/>
              </w:numPr>
              <w:tabs>
                <w:tab w:val="num" w:pos="434"/>
                <w:tab w:val="clear" w:pos="1440"/>
              </w:tabs>
              <w:bidi w:val="0"/>
              <w:ind w:left="434"/>
              <w:rPr>
                <w:rFonts w:ascii="Times New Roman" w:hAnsi="Times New Roman"/>
              </w:rPr>
            </w:pPr>
            <w:r>
              <w:rPr>
                <w:rFonts w:ascii="Times New Roman" w:hAnsi="Times New Roman"/>
              </w:rPr>
              <w:t>člen</w:t>
            </w:r>
          </w:p>
          <w:p w:rsidR="004C20F3" w:rsidP="004C20F3">
            <w:pPr>
              <w:numPr>
                <w:ilvl w:val="1"/>
                <w:numId w:val="1"/>
              </w:numPr>
              <w:tabs>
                <w:tab w:val="num" w:pos="434"/>
                <w:tab w:val="clear" w:pos="1440"/>
              </w:tabs>
              <w:bidi w:val="0"/>
              <w:ind w:left="434"/>
              <w:rPr>
                <w:rFonts w:ascii="Times New Roman" w:hAnsi="Times New Roman"/>
              </w:rPr>
            </w:pPr>
            <w:r>
              <w:rPr>
                <w:rFonts w:ascii="Times New Roman" w:hAnsi="Times New Roman"/>
              </w:rPr>
              <w:t>člen</w:t>
            </w:r>
          </w:p>
          <w:p w:rsidR="004C20F3" w:rsidP="004C20F3">
            <w:pPr>
              <w:numPr>
                <w:ilvl w:val="1"/>
                <w:numId w:val="1"/>
              </w:numPr>
              <w:tabs>
                <w:tab w:val="num" w:pos="434"/>
                <w:tab w:val="clear" w:pos="1440"/>
              </w:tabs>
              <w:bidi w:val="0"/>
              <w:ind w:left="434"/>
              <w:rPr>
                <w:rFonts w:ascii="Times New Roman" w:hAnsi="Times New Roman"/>
              </w:rPr>
            </w:pPr>
            <w:r>
              <w:rPr>
                <w:rFonts w:ascii="Times New Roman" w:hAnsi="Times New Roman"/>
              </w:rPr>
              <w:t>člen</w:t>
            </w:r>
          </w:p>
          <w:p w:rsidR="004C20F3" w:rsidP="004C20F3">
            <w:pPr>
              <w:numPr>
                <w:ilvl w:val="1"/>
                <w:numId w:val="1"/>
              </w:numPr>
              <w:tabs>
                <w:tab w:val="num" w:pos="434"/>
                <w:tab w:val="clear" w:pos="1440"/>
              </w:tabs>
              <w:bidi w:val="0"/>
              <w:ind w:left="434"/>
              <w:rPr>
                <w:rFonts w:ascii="Times New Roman" w:hAnsi="Times New Roman"/>
              </w:rPr>
            </w:pPr>
            <w:r>
              <w:rPr>
                <w:rFonts w:ascii="Times New Roman" w:hAnsi="Times New Roman"/>
              </w:rPr>
              <w:t>člen</w:t>
            </w:r>
          </w:p>
        </w:tc>
      </w:tr>
    </w:tbl>
    <w:p w:rsidR="004C20F3">
      <w:pPr>
        <w:bidi w:val="0"/>
        <w:ind w:firstLine="0"/>
        <w:rPr>
          <w:rFonts w:ascii="Times New Roman" w:hAnsi="Times New Roman"/>
          <w:b/>
          <w:bCs/>
          <w:i/>
          <w:iCs/>
          <w:sz w:val="26"/>
          <w:szCs w:val="26"/>
        </w:rPr>
      </w:pPr>
    </w:p>
    <w:p w:rsidR="004C20F3">
      <w:pPr>
        <w:pStyle w:val="Heading3"/>
        <w:bidi w:val="0"/>
        <w:rPr>
          <w:rFonts w:ascii="Times New Roman" w:hAnsi="Times New Roman"/>
        </w:rPr>
      </w:pPr>
      <w:r>
        <w:rPr>
          <w:rFonts w:ascii="Times New Roman" w:hAnsi="Times New Roman"/>
        </w:rPr>
        <w:t>III. Výkonný výbor</w:t>
      </w:r>
    </w:p>
    <w:p w:rsidR="004C20F3">
      <w:pPr>
        <w:bidi w:val="0"/>
        <w:rPr>
          <w:rFonts w:ascii="Times New Roman" w:hAnsi="Times New Roman"/>
        </w:rPr>
      </w:pPr>
      <w:r>
        <w:rPr>
          <w:rFonts w:ascii="Times New Roman" w:hAnsi="Times New Roman"/>
        </w:rPr>
        <w:t>Výkonný výbor Fondu je štatutárny orgán Fondu, ktorý riadi jeho činnosť. Podľa ustanovenia § 35 ods. 1 zákona sa výkonný výbor skladá z jedenástich členov. Funkciu predsedu vykonáva viceprezident prezídia. Ostatných desať členov výkonného výboru, ktorých volí prezídium, je poverených vedením jednotlivých sekcií. Všetci členovia výkonného výboru sú zamestnancami Fondu.</w:t>
      </w:r>
    </w:p>
    <w:p w:rsidR="004C20F3">
      <w:pPr>
        <w:bidi w:val="0"/>
        <w:spacing w:before="240"/>
        <w:ind w:firstLine="0"/>
        <w:rPr>
          <w:rFonts w:ascii="Times New Roman" w:hAnsi="Times New Roman"/>
        </w:rPr>
      </w:pPr>
      <w:r>
        <w:rPr>
          <w:rFonts w:ascii="Times New Roman" w:hAnsi="Times New Roman"/>
        </w:rPr>
        <w:t>Počas roku 2009 pracoval výkonný výbor v nasledovnom zložení:</w:t>
      </w:r>
    </w:p>
    <w:tbl>
      <w:tblPr>
        <w:tblStyle w:val="TableNormal"/>
        <w:tblW w:w="9790" w:type="dxa"/>
        <w:tblCellMar>
          <w:top w:w="0" w:type="dxa"/>
          <w:left w:w="70" w:type="dxa"/>
          <w:bottom w:w="0" w:type="dxa"/>
          <w:right w:w="70" w:type="dxa"/>
        </w:tblCellMar>
      </w:tblPr>
      <w:tblGrid>
        <w:gridCol w:w="3490"/>
        <w:gridCol w:w="6300"/>
      </w:tblGrid>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Vladimír Kocourek</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 w:val="clear" w:pos="1440"/>
              </w:tabs>
              <w:overflowPunct/>
              <w:autoSpaceDE/>
              <w:autoSpaceDN/>
              <w:bidi w:val="0"/>
              <w:adjustRightInd/>
              <w:spacing w:line="240" w:lineRule="auto"/>
              <w:ind w:left="470" w:hanging="180"/>
              <w:textAlignment w:val="auto"/>
              <w:rPr>
                <w:rFonts w:ascii="Times New Roman" w:hAnsi="Times New Roman"/>
                <w:sz w:val="24"/>
                <w:szCs w:val="24"/>
              </w:rPr>
            </w:pPr>
            <w:r>
              <w:rPr>
                <w:rFonts w:ascii="Times New Roman" w:hAnsi="Times New Roman"/>
                <w:sz w:val="24"/>
                <w:szCs w:val="24"/>
              </w:rPr>
              <w:t>predseda</w:t>
            </w:r>
          </w:p>
        </w:tc>
      </w:tr>
      <w:tr>
        <w:tblPrEx>
          <w:tblW w:w="9790" w:type="dxa"/>
          <w:tblCellMar>
            <w:top w:w="0" w:type="dxa"/>
            <w:left w:w="70" w:type="dxa"/>
            <w:bottom w:w="0" w:type="dxa"/>
            <w:right w:w="70" w:type="dxa"/>
          </w:tblCellMar>
        </w:tblPrEx>
        <w:trPr>
          <w:trHeight w:val="658"/>
        </w:trPr>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Pavol Krištof</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 w:val="clear" w:pos="1440"/>
              </w:tabs>
              <w:overflowPunct/>
              <w:autoSpaceDE/>
              <w:autoSpaceDN/>
              <w:bidi w:val="0"/>
              <w:adjustRightInd/>
              <w:spacing w:line="240" w:lineRule="auto"/>
              <w:ind w:left="650"/>
              <w:textAlignment w:val="auto"/>
              <w:rPr>
                <w:rFonts w:ascii="Times New Roman" w:hAnsi="Times New Roman"/>
                <w:sz w:val="24"/>
                <w:szCs w:val="24"/>
              </w:rPr>
            </w:pPr>
            <w:r>
              <w:rPr>
                <w:rFonts w:ascii="Times New Roman" w:hAnsi="Times New Roman"/>
                <w:sz w:val="24"/>
                <w:szCs w:val="24"/>
              </w:rPr>
              <w:t xml:space="preserve">podpredseda a riaditeľ sekcie prípravy a realizácie preda-jov, odvolaný uznesením prezídia č. 87/216/09 z 28.5.2009 </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PhDr. Michal Valach</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 w:val="clear" w:pos="1440"/>
              </w:tabs>
              <w:overflowPunct/>
              <w:autoSpaceDE/>
              <w:autoSpaceDN/>
              <w:bidi w:val="0"/>
              <w:adjustRightInd/>
              <w:spacing w:line="240" w:lineRule="auto"/>
              <w:ind w:left="650"/>
              <w:textAlignment w:val="auto"/>
              <w:rPr>
                <w:rFonts w:ascii="Times New Roman" w:hAnsi="Times New Roman"/>
                <w:sz w:val="24"/>
                <w:szCs w:val="24"/>
              </w:rPr>
            </w:pPr>
            <w:r>
              <w:rPr>
                <w:rFonts w:ascii="Times New Roman" w:hAnsi="Times New Roman"/>
                <w:sz w:val="24"/>
                <w:szCs w:val="24"/>
              </w:rPr>
              <w:t>člen a riaditeľ sekcie prípravy a realizácie predajov, me-novaný uznesením prezídia č. 7/CCXVI/09 zo 16.7.2009</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JUDr. Daniel Lukáč</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650"/>
              <w:textAlignment w:val="auto"/>
              <w:rPr>
                <w:rFonts w:ascii="Times New Roman" w:hAnsi="Times New Roman"/>
                <w:sz w:val="24"/>
                <w:szCs w:val="24"/>
              </w:rPr>
            </w:pPr>
            <w:r>
              <w:rPr>
                <w:rFonts w:ascii="Times New Roman" w:hAnsi="Times New Roman"/>
                <w:sz w:val="24"/>
                <w:szCs w:val="24"/>
              </w:rPr>
              <w:t>podpredseda a riaditeľ sekcie právnej, kontroly a sťažností, vzdal sa funkcie dňa 23.9.2009</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Jozef Valo</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650"/>
              <w:textAlignment w:val="auto"/>
              <w:rPr>
                <w:rFonts w:ascii="Times New Roman" w:hAnsi="Times New Roman"/>
                <w:sz w:val="24"/>
                <w:szCs w:val="24"/>
              </w:rPr>
            </w:pPr>
            <w:r>
              <w:rPr>
                <w:rFonts w:ascii="Times New Roman" w:hAnsi="Times New Roman"/>
                <w:sz w:val="24"/>
                <w:szCs w:val="24"/>
              </w:rPr>
              <w:t>člen a riaditeľ sekcie právnej, kontroly a sťažností, me-novaný uznesením prezídia č. 2/CCXX/09 z 10.11.2009</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Pavel Čerňanský, Ph.D.</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650"/>
              <w:textAlignment w:val="auto"/>
              <w:rPr>
                <w:rFonts w:ascii="Times New Roman" w:hAnsi="Times New Roman"/>
                <w:sz w:val="24"/>
                <w:szCs w:val="24"/>
              </w:rPr>
            </w:pPr>
            <w:r>
              <w:rPr>
                <w:rFonts w:ascii="Times New Roman" w:hAnsi="Times New Roman"/>
                <w:sz w:val="24"/>
                <w:szCs w:val="24"/>
              </w:rPr>
              <w:t>člen a riaditeľ sekcie zakladateľských činností a výkonu práv akcionára</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Juraj Konevič</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470" w:hanging="180"/>
              <w:textAlignment w:val="auto"/>
              <w:rPr>
                <w:rFonts w:ascii="Times New Roman" w:hAnsi="Times New Roman"/>
                <w:sz w:val="24"/>
                <w:szCs w:val="24"/>
              </w:rPr>
            </w:pPr>
            <w:r>
              <w:rPr>
                <w:rFonts w:ascii="Times New Roman" w:hAnsi="Times New Roman"/>
                <w:sz w:val="24"/>
                <w:szCs w:val="24"/>
              </w:rPr>
              <w:t>podpredseda a riaditeľ sekcie stratégie</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Pavol Kusenda</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470" w:hanging="180"/>
              <w:textAlignment w:val="auto"/>
              <w:rPr>
                <w:rFonts w:ascii="Times New Roman" w:hAnsi="Times New Roman"/>
                <w:sz w:val="24"/>
                <w:szCs w:val="24"/>
              </w:rPr>
            </w:pPr>
            <w:r>
              <w:rPr>
                <w:rFonts w:ascii="Times New Roman" w:hAnsi="Times New Roman"/>
                <w:sz w:val="24"/>
                <w:szCs w:val="24"/>
              </w:rPr>
              <w:t>člen a riaditeľ sekcie ekonomiky</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Vladimír Macašek</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470" w:hanging="180"/>
              <w:textAlignment w:val="auto"/>
              <w:rPr>
                <w:rFonts w:ascii="Times New Roman" w:hAnsi="Times New Roman"/>
                <w:sz w:val="24"/>
                <w:szCs w:val="24"/>
              </w:rPr>
            </w:pPr>
            <w:r>
              <w:rPr>
                <w:rFonts w:ascii="Times New Roman" w:hAnsi="Times New Roman"/>
                <w:sz w:val="24"/>
                <w:szCs w:val="24"/>
              </w:rPr>
              <w:t>člen a riaditeľ sekcie logistiky</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JUDr. Milan Magát</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470" w:hanging="180"/>
              <w:textAlignment w:val="auto"/>
              <w:rPr>
                <w:rFonts w:ascii="Times New Roman" w:hAnsi="Times New Roman"/>
                <w:sz w:val="24"/>
                <w:szCs w:val="24"/>
              </w:rPr>
            </w:pPr>
            <w:r>
              <w:rPr>
                <w:rFonts w:ascii="Times New Roman" w:hAnsi="Times New Roman"/>
                <w:sz w:val="24"/>
                <w:szCs w:val="24"/>
              </w:rPr>
              <w:t>člen a riaditeľ sekcie reštitúcií a bezodplatných prevodov</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Ľubomír Neslušan</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470" w:hanging="180"/>
              <w:textAlignment w:val="auto"/>
              <w:rPr>
                <w:rFonts w:ascii="Times New Roman" w:hAnsi="Times New Roman"/>
                <w:sz w:val="24"/>
                <w:szCs w:val="24"/>
              </w:rPr>
            </w:pPr>
            <w:r>
              <w:rPr>
                <w:rFonts w:ascii="Times New Roman" w:hAnsi="Times New Roman"/>
                <w:sz w:val="24"/>
                <w:szCs w:val="24"/>
              </w:rPr>
              <w:t>podpredseda a riaditeľ sekcie sledovania pohľadávok</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Roman Schlosser</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650"/>
              <w:textAlignment w:val="auto"/>
              <w:rPr>
                <w:rFonts w:ascii="Times New Roman" w:hAnsi="Times New Roman"/>
                <w:sz w:val="24"/>
                <w:szCs w:val="24"/>
              </w:rPr>
            </w:pPr>
            <w:r>
              <w:rPr>
                <w:rFonts w:ascii="Times New Roman" w:hAnsi="Times New Roman"/>
                <w:sz w:val="24"/>
                <w:szCs w:val="24"/>
              </w:rPr>
              <w:t>člen a riaditeľ sekcie vymáhania pohľadávok a odstupova-nia od zmlúv</w:t>
            </w:r>
          </w:p>
        </w:tc>
      </w:tr>
      <w:tr>
        <w:tblPrEx>
          <w:tblW w:w="9790" w:type="dxa"/>
          <w:tblCellMar>
            <w:top w:w="0" w:type="dxa"/>
            <w:left w:w="70" w:type="dxa"/>
            <w:bottom w:w="0" w:type="dxa"/>
            <w:right w:w="70" w:type="dxa"/>
          </w:tblCellMar>
        </w:tblPrEx>
        <w:tc>
          <w:tcPr>
            <w:tcW w:w="3490" w:type="dxa"/>
            <w:tcBorders>
              <w:top w:val="none" w:sz="0" w:space="0" w:color="auto"/>
              <w:left w:val="none" w:sz="0" w:space="0" w:color="auto"/>
              <w:bottom w:val="none" w:sz="0" w:space="0" w:color="auto"/>
              <w:right w:val="none" w:sz="0" w:space="0" w:color="auto"/>
            </w:tcBorders>
            <w:textDirection w:val="lrTb"/>
            <w:vAlign w:val="top"/>
          </w:tcPr>
          <w:p w:rsidR="004C20F3">
            <w:pPr>
              <w:pStyle w:val="BodyText"/>
              <w:bidi w:val="0"/>
              <w:spacing w:line="240" w:lineRule="auto"/>
              <w:ind w:right="470" w:firstLine="0"/>
              <w:jc w:val="left"/>
              <w:rPr>
                <w:rFonts w:ascii="Times New Roman" w:hAnsi="Times New Roman"/>
                <w:i/>
                <w:iCs/>
              </w:rPr>
            </w:pPr>
            <w:r>
              <w:rPr>
                <w:rFonts w:ascii="Times New Roman" w:hAnsi="Times New Roman"/>
                <w:i/>
                <w:iCs/>
                <w:sz w:val="24"/>
              </w:rPr>
              <w:t>Ing. Ján Vaculčiak</w:t>
            </w:r>
          </w:p>
        </w:tc>
        <w:tc>
          <w:tcPr>
            <w:tcW w:w="6300" w:type="dxa"/>
            <w:tcBorders>
              <w:top w:val="none" w:sz="0" w:space="0" w:color="auto"/>
              <w:left w:val="none" w:sz="0" w:space="0" w:color="auto"/>
              <w:bottom w:val="none" w:sz="0" w:space="0" w:color="auto"/>
              <w:right w:val="none" w:sz="0" w:space="0" w:color="auto"/>
            </w:tcBorders>
            <w:textDirection w:val="lrTb"/>
            <w:vAlign w:val="top"/>
          </w:tcPr>
          <w:p w:rsidR="004C20F3" w:rsidP="004C20F3">
            <w:pPr>
              <w:pStyle w:val="BodyTextIndent"/>
              <w:numPr>
                <w:ilvl w:val="1"/>
                <w:numId w:val="1"/>
              </w:numPr>
              <w:tabs>
                <w:tab w:val="num" w:pos="650"/>
              </w:tabs>
              <w:overflowPunct/>
              <w:autoSpaceDE/>
              <w:autoSpaceDN/>
              <w:bidi w:val="0"/>
              <w:adjustRightInd/>
              <w:spacing w:line="240" w:lineRule="auto"/>
              <w:ind w:left="470" w:hanging="180"/>
              <w:textAlignment w:val="auto"/>
              <w:rPr>
                <w:rFonts w:ascii="Times New Roman" w:hAnsi="Times New Roman"/>
                <w:sz w:val="24"/>
                <w:szCs w:val="24"/>
              </w:rPr>
            </w:pPr>
            <w:r>
              <w:rPr>
                <w:rFonts w:ascii="Times New Roman" w:hAnsi="Times New Roman"/>
                <w:sz w:val="24"/>
                <w:szCs w:val="24"/>
              </w:rPr>
              <w:t>člen a riaditeľ sekcie kapitálového trhu a dlhopisov</w:t>
            </w:r>
          </w:p>
        </w:tc>
      </w:tr>
    </w:tbl>
    <w:p w:rsidR="004C20F3">
      <w:pPr>
        <w:pStyle w:val="Heading1"/>
        <w:bidi w:val="0"/>
        <w:rPr>
          <w:rFonts w:ascii="Times New Roman" w:hAnsi="Times New Roman"/>
        </w:rPr>
      </w:pPr>
      <w:r>
        <w:rPr>
          <w:rFonts w:ascii="Times New Roman" w:hAnsi="Times New Roman"/>
          <w:color w:val="FF0000"/>
        </w:rPr>
        <w:br w:type="page"/>
      </w:r>
      <w:r>
        <w:rPr>
          <w:rFonts w:ascii="Times New Roman" w:hAnsi="Times New Roman"/>
        </w:rPr>
        <w:t>HLAVNÉ AKTIVITY FONDU V ROKU 2009</w:t>
      </w:r>
    </w:p>
    <w:p w:rsidR="004C20F3">
      <w:pPr>
        <w:pStyle w:val="Footer"/>
        <w:tabs>
          <w:tab w:val="clear" w:pos="4536"/>
          <w:tab w:val="clear" w:pos="9072"/>
        </w:tabs>
        <w:bidi w:val="0"/>
        <w:ind w:firstLine="0"/>
        <w:rPr>
          <w:rFonts w:ascii="Times New Roman" w:hAnsi="Times New Roman"/>
        </w:rPr>
      </w:pP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pokračovanie v aktualizácii evidencie majetku Fondu, vrátane jeho majetkových účastí v obchodných spoločnostiach, s ktorými možno naložiť podľa § 10 a § 28 ods. 3 písm. m), ods.  8 a ods. 9 zákona,</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realizácia predajov majetkových účastí Fondu podľa príslušných ustanovení § 28 ods.3 písm. m) a písm. g) zákona s využitím predkupného práva (Slovenské lodenice Komárno, a.s. so sídlom v Bratislave a České aerolinie, a.s. so sídlom v Prahe),</w:t>
      </w:r>
    </w:p>
    <w:p w:rsidR="004C20F3">
      <w:pPr>
        <w:pStyle w:val="ostavec3"/>
        <w:tabs>
          <w:tab w:val="left" w:pos="540"/>
          <w:tab w:val="clear" w:pos="924"/>
          <w:tab w:val="clear" w:pos="1494"/>
        </w:tabs>
        <w:bidi w:val="0"/>
        <w:ind w:left="540" w:hanging="540"/>
        <w:rPr>
          <w:rFonts w:ascii="Times New Roman" w:hAnsi="Times New Roman"/>
          <w:bCs/>
        </w:rPr>
      </w:pPr>
      <w:r>
        <w:rPr>
          <w:rFonts w:ascii="Times New Roman" w:hAnsi="Times New Roman"/>
        </w:rPr>
        <w:t xml:space="preserve">sledovanie, spravovanie a vymáhanie pohľadávok Fondu, </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zabezpečenie úkonov spojených s prihlásením a starostlivosťou o svoju pohľadávku v súvislosti s vyhlásením konkurzu na spoločnosť Novácke chemické závody, a.s. so sídlom v Novákoch, ku ktorému došlo v závere roku 2009, vzhľadom k tomu, že vláda SR vydala podľa § 2 zákona č. 493/2009 Z.z. o niektorých opatreniach týkajúcich sa strategických spoločností rozhodnutie o strategickom význame spoločnosti Novácke chemické závody, a.s. v konkurze,</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výkon akcionárskych práv v spoločnostiach, v ktorých má Fond majetkovú účasť,</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uspokojovanie reštitučných nárokov oprávnených osôb, ktorých nárok vyplýva zo zákona č. 87/1991 Zb. o mimosúdnych rehabilitáciách v znení neskorších predpisov, formou vydania cenného papiera – zmenky,</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pokračovanie v bezodplatných prevodoch akcií vodárenských spoločností na obce a mestá v súlade s § 12 ods. 2 písm. d.) zákona,</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pokračovanie vo vyplácaní dlhopisov Fondu aj po uplynutí premlčania nároku oprávnených osôb (právo na ich vyplatenie sa premlčalo vo všeobecnej trojročnej premlčacej dobe podľa zákona č. 40/1964 Zb. Občianskeho zákonníka v znení neskorších predpisov, t.j. 31.12.2004),</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činnosti spojené s prevodom zaknihovaných cenných papierov ponúknutých fyzickými osobami bezodplatne Fondu; povinnosť Fondu zabezpečiť všetky náklady spojené s takýmito prevodmi bola upravená novelami zákona č. 92/1991 Zb. o podmienkach prevodu majetku štátu na iné osoby, a to zákonom č. 160/2009 Z. z. z 15.4.2009 a zákonom č. 563/2009 Z. z.z 1.12.2009,</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zastupovanie, vrátane účasti na súdnych pojednávaniach v súdnych sporoch súvisiacich s vymáhaním pohľadávok, ktoré vyplývajú z uzatvorených zmlúv ako aj sporov o určenie neplatnosti uzatvorenia kúpnej zmluvy s kupujúcim, o vydanie predbežných opatrení, atď.,</w:t>
      </w:r>
    </w:p>
    <w:p w:rsidR="004C20F3">
      <w:pPr>
        <w:pStyle w:val="ostavec3"/>
        <w:tabs>
          <w:tab w:val="left" w:pos="540"/>
          <w:tab w:val="clear" w:pos="924"/>
          <w:tab w:val="clear" w:pos="1494"/>
        </w:tabs>
        <w:bidi w:val="0"/>
        <w:ind w:left="540" w:hanging="540"/>
        <w:rPr>
          <w:rFonts w:ascii="Times New Roman" w:hAnsi="Times New Roman"/>
        </w:rPr>
      </w:pPr>
      <w:r>
        <w:rPr>
          <w:rFonts w:ascii="Times New Roman" w:hAnsi="Times New Roman"/>
        </w:rPr>
        <w:t>zabezpečovanie úloh vnútornej legislatívy Fondu a legislatívna činnosť vonkajšia – stanoviská, pozmeňujúce návrhy v medzirezortnom pripomienkovom konaní k návrhom zákonov, návrhom zmien zákonov, vyhlášok a nariadení vlády; poskytovanie ďalších právnych služieb, najmä vybavovania dožiadaní súdov, orgánov verejnej správy, právnických a fyzických osôb.</w:t>
      </w:r>
    </w:p>
    <w:p w:rsidR="004C20F3">
      <w:pPr>
        <w:pStyle w:val="Heading3"/>
        <w:bidi w:val="0"/>
        <w:spacing w:before="0"/>
        <w:rPr>
          <w:rFonts w:ascii="Times New Roman" w:hAnsi="Times New Roman"/>
        </w:rPr>
      </w:pPr>
      <w:r>
        <w:rPr>
          <w:rFonts w:ascii="Times New Roman" w:hAnsi="Times New Roman"/>
        </w:rPr>
        <w:br w:type="page"/>
        <w:t>I. Príprava a realizácia predajov</w:t>
      </w:r>
    </w:p>
    <w:p w:rsidR="004C20F3">
      <w:pPr>
        <w:bidi w:val="0"/>
        <w:rPr>
          <w:rFonts w:ascii="Times New Roman" w:hAnsi="Times New Roman"/>
        </w:rPr>
      </w:pPr>
      <w:r>
        <w:rPr>
          <w:rFonts w:ascii="Times New Roman" w:hAnsi="Times New Roman"/>
        </w:rPr>
        <w:t>Činnosť Fondu v oblasti prípravy a realizácie predajov v roku 2009 bola ovplyvnená najmä zastavením privatizačného procesu vo volebnom období 2006-2010, ktoré znamenalo, že vládou SR, resp. Ministerstvom hospodárstva Slovenskej republiky (ďalej aj „MH SR“) nebolo vydané žiadne nové rozhodnutie o privatizácii podľa § 10 zákona. V roku 2009 Fond pokračoval najmä v príprave a realizácii rozhodnutí o spôsobe naloženia s majetkom Fondu podľa § 28 ods. 8 a § 28 ods. 3 písm. m) zákona. V súvislosti s touto činnosťou Fond predkladá žiadosti na MH SR o vydanie predchádzajúceho súhlasu MH SR k spôsobu naloženia s majetkom alebo majetkovými účasťami Fondu podľa § 28 ods. 7 zákona (okrem majetku získaného odstúpením od zmluvy). S uvedeným súvisí i príprava materiálov pre rozhodovanie orgánov Fondu o nakladaní s majetkom a majetkovými účasťami Fondu podľa § 28 ods. 7 zákona a následne  zabezpečenie úkonov súvisiacich s prípravou, organizáciou a realizáciou výberu kupujúceho na základe písomného súhlasu vydaného MH SR o spôsobe naloženia s majetkom alebo majetkovými účasťami Fondu priamym predajom podľa § 28 ods. 8 zákona. Príprava a realizácia predajov v roku 2009 nadväzovala na výber a začaté predaje podľa vypracovaného zoznamu majetku Fondu. Tento zoznam bol opätovne v roku 2009 aktualizovaný v osobitných častiach pre majetkovú účasť a majetok, s ktorými možno alebo nemožno ďalej nakladať. Ide väčšinou o doplnenia zoznamu z hľadiska vstupu spoločností do konkurzu, likvidácie a pod., t.j. vyradenie spoločností s akciami, resp. s majetkom ktorých nemožno ďalej nakladať. V roku 2009 Fond pokračoval v aktualizácii evidencie majetku Fondu vrátane jeho majetkových účastí v obchodných spoločnostiach, s ktorým možno naložiť podľa § 28 ods. 3 písm. m), ods. 8 a 9 zákona</w:t>
      </w:r>
      <w:bookmarkStart w:id="1" w:name="OLE_LINK3"/>
      <w:r>
        <w:rPr>
          <w:rFonts w:ascii="Times New Roman" w:hAnsi="Times New Roman"/>
        </w:rPr>
        <w:t>.</w:t>
      </w:r>
    </w:p>
    <w:p w:rsidR="004C20F3">
      <w:pPr>
        <w:bidi w:val="0"/>
        <w:rPr>
          <w:rFonts w:ascii="Times New Roman" w:hAnsi="Times New Roman"/>
        </w:rPr>
      </w:pPr>
      <w:r>
        <w:rPr>
          <w:rFonts w:ascii="Times New Roman" w:hAnsi="Times New Roman"/>
        </w:rPr>
        <w:t>Sekcia prípravy a realizácie predajov zabezpečovala v roku 2009 predaj a kúpu majetkových účastí Fondu podľa príslušných ustanovení § 28 ods. 3 písm. m) a písm. g) zákona s využitím predkupného práva, pričom nadväzovala na schválený postup a rozhodnutia orgánov Fondu z rokov 2006 – 2008:</w:t>
      </w:r>
    </w:p>
    <w:p w:rsidR="004C20F3" w:rsidP="004C20F3">
      <w:pPr>
        <w:numPr>
          <w:ilvl w:val="3"/>
          <w:numId w:val="1"/>
        </w:numPr>
        <w:tabs>
          <w:tab w:val="num" w:pos="360"/>
          <w:tab w:val="clear" w:pos="2880"/>
        </w:tabs>
        <w:bidi w:val="0"/>
        <w:ind w:hanging="2880"/>
        <w:rPr>
          <w:rFonts w:ascii="Times New Roman" w:hAnsi="Times New Roman"/>
          <w:b/>
          <w:bCs/>
        </w:rPr>
      </w:pPr>
      <w:r>
        <w:rPr>
          <w:rFonts w:ascii="Times New Roman" w:hAnsi="Times New Roman"/>
          <w:b/>
          <w:bCs/>
        </w:rPr>
        <w:t>Slovenské lodenice Komárno, a.s., so sídlom v Bratislave</w:t>
      </w:r>
    </w:p>
    <w:p w:rsidR="004C20F3">
      <w:pPr>
        <w:bidi w:val="0"/>
        <w:ind w:firstLine="0"/>
        <w:rPr>
          <w:rFonts w:ascii="Times New Roman" w:hAnsi="Times New Roman"/>
        </w:rPr>
      </w:pPr>
      <w:r>
        <w:rPr>
          <w:rFonts w:ascii="Times New Roman" w:hAnsi="Times New Roman"/>
        </w:rPr>
        <w:t xml:space="preserve">Predmetom predaja bol prevod 8 100 ks akcií v menovitej hodnote jednej akcie 331,939189 € (10 000,-Sk), t.j. 30% majetkovej účasti Fondu na podnikaní spoločnosti Slovenské lodenice Komárno, a.s., so sídlom v Bratislave, na kupujúceho - obchodnú spoločnosť E.I.C. a.s., so sídlom v Bratislave, za kúpnu cenu 1 593 334,56 €. </w:t>
      </w:r>
      <w:r>
        <w:rPr>
          <w:rFonts w:ascii="Times New Roman" w:hAnsi="Times New Roman"/>
          <w:bCs/>
        </w:rPr>
        <w:t xml:space="preserve">Spôsob predaja prebiehal v súlade s uznesením Prezídia Fondu z 26.1.2006, ktorým bolo rozhodnuté o spôsobe naloženia s majetkovou účasťou Fondu na podnikaní spoločnosti Slovenské lodenice Komárno, a.s. realizáciou predkupného práva. </w:t>
      </w:r>
      <w:r>
        <w:rPr>
          <w:rFonts w:ascii="Times New Roman" w:hAnsi="Times New Roman"/>
        </w:rPr>
        <w:t>Predaj bol realizovaný v súlade s rozhodnutím Prezídia Fondu z 28.4.2009 o naložení s majetkovou účasťou Fondu na podnikaní spoločnosti Slovenské lodenice Komárno, a.s. so sídlom Poľná 3, 811 08, Bratislava, IČO: 35 796 812 podľa § 28 ods. 3 písm. m) a § 28 ods. 1 písm. d) zákona a v súlade s článkom 14 Akcionárskej zmluvy zo dňa 1.7.2003 v znení dodatkov (ďalej aj „Akcionárska zmluva“) predajom na základe predkupného práva. Kúpna cena akcií bola v súlade s príslušnými ustanoveniami Akcionárskej zmluvy určená ako cena trhová. Po splnení všetkých zmluvných podmienok a zaplatení kúpnej ceny boli akcie dňa 14.7.2009 prevedené na kupujúceho pri dodržaní všetkých lehôt dohodnutých v zmluve.</w:t>
      </w:r>
    </w:p>
    <w:p w:rsidR="004C20F3" w:rsidP="004C20F3">
      <w:pPr>
        <w:numPr>
          <w:ilvl w:val="3"/>
          <w:numId w:val="1"/>
        </w:numPr>
        <w:tabs>
          <w:tab w:val="num" w:pos="360"/>
          <w:tab w:val="clear" w:pos="2880"/>
        </w:tabs>
        <w:bidi w:val="0"/>
        <w:ind w:hanging="2880"/>
        <w:rPr>
          <w:rFonts w:ascii="Times New Roman" w:hAnsi="Times New Roman"/>
          <w:b/>
          <w:bCs/>
        </w:rPr>
      </w:pPr>
      <w:r>
        <w:rPr>
          <w:rFonts w:ascii="Times New Roman" w:hAnsi="Times New Roman"/>
          <w:b/>
          <w:bCs/>
        </w:rPr>
        <w:t>České aerolinie a.s., so sídlom v Prahe</w:t>
      </w:r>
    </w:p>
    <w:p w:rsidR="004C20F3">
      <w:pPr>
        <w:bidi w:val="0"/>
        <w:ind w:firstLine="0"/>
        <w:rPr>
          <w:rFonts w:ascii="Times New Roman" w:hAnsi="Times New Roman"/>
        </w:rPr>
      </w:pPr>
      <w:r>
        <w:rPr>
          <w:rFonts w:ascii="Times New Roman" w:hAnsi="Times New Roman"/>
        </w:rPr>
        <w:t>Predmetom predaja bolo 670 kusov akcií v menovitej hodnote 1 akcie 10 000,- Kč, vydaných v podobe 1 listinnej hromadnej akcie na meno v menovitej hodnote 6 700 000,- Kč, t.j. 0,24 % základného imania spoločnosti České aerolinie a.s., so sídlom Letiště Ruzyně, kupujúcemu: Česká republika- Ministerstvo financií, za ponukovú cenu 402 670 €, t.j. 601 €/akcia. Prezídium Fondu svojim uznesením zo dňa 31.3.2009 rozhodlo podľa § 28 ods. 3 písm. m) zákona o predaji 670 ks akcií spoločnosti České aerolinie a.s., so sídlom Letiště Ruzyně, 160 08 Praha 6, IČO: 45 79 59 08 (ďalej aj „ČSA a.s.“ alebo „emitent“) s obmedzenou prevoditeľnosťou podľa čl. 9 stanov spoločnosti ČSA a.s., na základe predkupného práva za ponukovú cenu 601 € za 1 ks kmeňovej akcie v menovitej hodnote jednej akcie 10 000,- Kč., t.j.0,24 % podielu na základnom imaní emitenta. Ponuková cena bola stanovená na základe výberového konania na nadobúdateľa majetkových účastí Fondu vo vybraných spoločnostiach vyhláseného dňa 18.4.2008, pričom jednou zo spoločností bola aj ČSA a.s..</w:t>
      </w:r>
    </w:p>
    <w:p w:rsidR="004C20F3">
      <w:pPr>
        <w:bidi w:val="0"/>
        <w:rPr>
          <w:rFonts w:ascii="Times New Roman" w:hAnsi="Times New Roman"/>
        </w:rPr>
      </w:pPr>
      <w:r>
        <w:rPr>
          <w:rFonts w:ascii="Times New Roman" w:hAnsi="Times New Roman"/>
        </w:rPr>
        <w:t xml:space="preserve">Fond obdržal v rámci tohto výberového konania záväzné ponuky. Najvyššia ponuka, navýšená o náklady na poradcu výberového konania sa stala ponukovou cenou v rámci uplatnenia si predkupného práva akcionárov ČSA a.s. v zmysle stanov spoločnosti ČSA a.s. Fond  touto ponukou následne oslovil všetkých akcionárov, ktorí mali možnosť uplatniť si predkupné právo do 60 dní od doručenia ponuky. </w:t>
      </w:r>
    </w:p>
    <w:p w:rsidR="004C20F3">
      <w:pPr>
        <w:bidi w:val="0"/>
        <w:rPr>
          <w:rFonts w:ascii="Times New Roman" w:hAnsi="Times New Roman"/>
          <w:bCs/>
        </w:rPr>
      </w:pPr>
      <w:r>
        <w:rPr>
          <w:rFonts w:ascii="Times New Roman" w:hAnsi="Times New Roman"/>
        </w:rPr>
        <w:t>Jediným záujemcom o kúpu všetkých ponúknutých akcií bola Česká republika - Ministerstvo financií . Zmluva bola uzavretá v súlade s uznesením Výkonného výboru Fondu zo 16.6.2009 a so súhlasom predstavenstva spoločnosti ČSA, a.s. s prevodom v zmysle stanov spoločnosti.</w:t>
      </w:r>
    </w:p>
    <w:p w:rsidR="004C20F3">
      <w:pPr>
        <w:bidi w:val="0"/>
        <w:rPr>
          <w:rFonts w:ascii="Times New Roman" w:hAnsi="Times New Roman"/>
          <w:bCs/>
        </w:rPr>
      </w:pPr>
      <w:r>
        <w:rPr>
          <w:rFonts w:ascii="Times New Roman" w:hAnsi="Times New Roman"/>
          <w:bCs/>
        </w:rPr>
        <w:t>Po splnení všetkých zmluvných podmienok a zaplatení kúpnej ceny boli akcie dňa 28.7.2009 prevedené na kupujúceho pri dodržaní všetkých lehôt dohodnutých v zmluve.</w:t>
      </w:r>
    </w:p>
    <w:p w:rsidR="004C20F3">
      <w:pPr>
        <w:bidi w:val="0"/>
        <w:ind w:firstLine="0"/>
        <w:rPr>
          <w:rFonts w:ascii="Times New Roman" w:hAnsi="Times New Roman"/>
          <w:b/>
          <w:bCs/>
        </w:rPr>
      </w:pPr>
      <w:r>
        <w:rPr>
          <w:rFonts w:ascii="Times New Roman" w:hAnsi="Times New Roman"/>
          <w:b/>
          <w:bCs/>
        </w:rPr>
        <w:t>Predaj akcií v roku 2009</w:t>
      </w:r>
    </w:p>
    <w:tbl>
      <w:tblPr>
        <w:tblStyle w:val="TableNormal"/>
        <w:tblW w:w="9180" w:type="dxa"/>
        <w:tblInd w:w="30" w:type="dxa"/>
        <w:tblLayout w:type="fixed"/>
        <w:tblCellMar>
          <w:top w:w="0" w:type="dxa"/>
          <w:left w:w="30" w:type="dxa"/>
          <w:bottom w:w="0" w:type="dxa"/>
          <w:right w:w="30" w:type="dxa"/>
        </w:tblCellMar>
      </w:tblPr>
      <w:tblGrid>
        <w:gridCol w:w="4860"/>
        <w:gridCol w:w="2340"/>
        <w:gridCol w:w="1980"/>
      </w:tblGrid>
      <w:tr>
        <w:tblPrEx>
          <w:tblW w:w="9180" w:type="dxa"/>
          <w:tblInd w:w="30" w:type="dxa"/>
          <w:tblLayout w:type="fixed"/>
          <w:tblCellMar>
            <w:top w:w="0" w:type="dxa"/>
            <w:left w:w="30" w:type="dxa"/>
            <w:bottom w:w="0" w:type="dxa"/>
            <w:right w:w="30" w:type="dxa"/>
          </w:tblCellMar>
        </w:tblPrEx>
        <w:trPr>
          <w:trHeight w:val="835"/>
        </w:trPr>
        <w:tc>
          <w:tcPr>
            <w:tcW w:w="4860" w:type="dxa"/>
            <w:tcBorders>
              <w:top w:val="single" w:sz="6" w:space="0" w:color="auto"/>
              <w:left w:val="none" w:sz="0" w:space="0" w:color="auto"/>
              <w:bottom w:val="double" w:sz="6" w:space="0" w:color="auto"/>
              <w:right w:val="none" w:sz="0" w:space="0" w:color="auto"/>
            </w:tcBorders>
            <w:shd w:val="solid" w:color="CCCCFF" w:fill="FFCC99"/>
            <w:textDirection w:val="lrTb"/>
            <w:vAlign w:val="center"/>
          </w:tcPr>
          <w:p w:rsidR="004C20F3">
            <w:pPr>
              <w:autoSpaceDE w:val="0"/>
              <w:autoSpaceDN w:val="0"/>
              <w:bidi w:val="0"/>
              <w:adjustRightInd w:val="0"/>
              <w:ind w:firstLine="150"/>
              <w:rPr>
                <w:rFonts w:ascii="Arial Narrow" w:hAnsi="Arial Narrow" w:cs="Arial"/>
                <w:b/>
                <w:bCs/>
                <w:sz w:val="20"/>
                <w:szCs w:val="20"/>
              </w:rPr>
            </w:pPr>
            <w:r>
              <w:rPr>
                <w:rFonts w:ascii="Arial Narrow" w:hAnsi="Arial Narrow" w:cs="Arial"/>
                <w:b/>
                <w:bCs/>
                <w:sz w:val="20"/>
                <w:szCs w:val="20"/>
              </w:rPr>
              <w:t>Zmluva</w:t>
            </w:r>
          </w:p>
        </w:tc>
        <w:tc>
          <w:tcPr>
            <w:tcW w:w="2340" w:type="dxa"/>
            <w:tcBorders>
              <w:top w:val="single" w:sz="6" w:space="0" w:color="auto"/>
              <w:left w:val="none" w:sz="0" w:space="0" w:color="auto"/>
              <w:bottom w:val="double" w:sz="6" w:space="0" w:color="auto"/>
              <w:right w:val="none" w:sz="0" w:space="0" w:color="auto"/>
            </w:tcBorders>
            <w:shd w:val="solid" w:color="CCCCFF" w:fill="FFCC99"/>
            <w:textDirection w:val="lrTb"/>
            <w:vAlign w:val="center"/>
          </w:tcPr>
          <w:p w:rsidR="004C20F3">
            <w:pPr>
              <w:autoSpaceDE w:val="0"/>
              <w:autoSpaceDN w:val="0"/>
              <w:bidi w:val="0"/>
              <w:adjustRightInd w:val="0"/>
              <w:ind w:firstLine="0"/>
              <w:jc w:val="center"/>
              <w:rPr>
                <w:rFonts w:ascii="Arial Narrow" w:hAnsi="Arial Narrow" w:cs="Arial"/>
                <w:b/>
                <w:bCs/>
                <w:sz w:val="20"/>
                <w:szCs w:val="20"/>
              </w:rPr>
            </w:pPr>
            <w:r>
              <w:rPr>
                <w:rFonts w:ascii="Arial Narrow" w:hAnsi="Arial Narrow" w:cs="Arial"/>
                <w:b/>
                <w:bCs/>
                <w:sz w:val="20"/>
                <w:szCs w:val="20"/>
              </w:rPr>
              <w:t>Počet predávaných CP v ks</w:t>
            </w:r>
          </w:p>
        </w:tc>
        <w:tc>
          <w:tcPr>
            <w:tcW w:w="1980" w:type="dxa"/>
            <w:tcBorders>
              <w:top w:val="single" w:sz="6" w:space="0" w:color="auto"/>
              <w:left w:val="none" w:sz="0" w:space="0" w:color="auto"/>
              <w:bottom w:val="double" w:sz="6" w:space="0" w:color="auto"/>
              <w:right w:val="none" w:sz="0" w:space="0" w:color="auto"/>
            </w:tcBorders>
            <w:shd w:val="solid" w:color="CCCCFF" w:fill="FFCC99"/>
            <w:textDirection w:val="lrTb"/>
            <w:vAlign w:val="center"/>
          </w:tcPr>
          <w:p w:rsidR="004C20F3">
            <w:pPr>
              <w:autoSpaceDE w:val="0"/>
              <w:autoSpaceDN w:val="0"/>
              <w:bidi w:val="0"/>
              <w:adjustRightInd w:val="0"/>
              <w:ind w:firstLine="0"/>
              <w:jc w:val="center"/>
              <w:rPr>
                <w:rFonts w:ascii="Arial Narrow" w:hAnsi="Arial Narrow" w:cs="Arial"/>
                <w:b/>
                <w:bCs/>
                <w:sz w:val="20"/>
                <w:szCs w:val="20"/>
              </w:rPr>
            </w:pPr>
            <w:r>
              <w:rPr>
                <w:rFonts w:ascii="Arial Narrow" w:hAnsi="Arial Narrow" w:cs="Arial"/>
                <w:b/>
                <w:bCs/>
                <w:sz w:val="20"/>
                <w:szCs w:val="20"/>
              </w:rPr>
              <w:t>Kúpna cena v €</w:t>
            </w:r>
          </w:p>
        </w:tc>
      </w:tr>
      <w:tr>
        <w:tblPrEx>
          <w:tblW w:w="9180" w:type="dxa"/>
          <w:tblInd w:w="30" w:type="dxa"/>
          <w:tblLayout w:type="fixed"/>
          <w:tblCellMar>
            <w:top w:w="0" w:type="dxa"/>
            <w:left w:w="30" w:type="dxa"/>
            <w:bottom w:w="0" w:type="dxa"/>
            <w:right w:w="30" w:type="dxa"/>
          </w:tblCellMar>
        </w:tblPrEx>
        <w:trPr>
          <w:trHeight w:val="322"/>
        </w:trPr>
        <w:tc>
          <w:tcPr>
            <w:tcW w:w="4860" w:type="dxa"/>
            <w:tcBorders>
              <w:top w:val="double" w:sz="6" w:space="0" w:color="auto"/>
              <w:left w:val="none" w:sz="0" w:space="0" w:color="auto"/>
              <w:bottom w:val="none" w:sz="0" w:space="0" w:color="auto"/>
              <w:right w:val="none" w:sz="0" w:space="0" w:color="auto"/>
            </w:tcBorders>
            <w:textDirection w:val="lrTb"/>
            <w:vAlign w:val="center"/>
          </w:tcPr>
          <w:p w:rsidR="004C20F3">
            <w:pPr>
              <w:pStyle w:val="BodyText3"/>
              <w:bidi w:val="0"/>
              <w:spacing w:before="0"/>
              <w:ind w:firstLine="150"/>
              <w:jc w:val="left"/>
              <w:rPr>
                <w:rFonts w:ascii="Arial Narrow" w:hAnsi="Arial Narrow" w:cs="Arial"/>
                <w:i w:val="0"/>
                <w:iCs w:val="0"/>
                <w:sz w:val="20"/>
                <w:szCs w:val="20"/>
              </w:rPr>
            </w:pPr>
            <w:r>
              <w:rPr>
                <w:rFonts w:ascii="Arial Narrow" w:hAnsi="Arial Narrow" w:cs="Arial"/>
                <w:i w:val="0"/>
                <w:iCs w:val="0"/>
                <w:sz w:val="20"/>
              </w:rPr>
              <w:t>Zmluva o kúpe akcií č. 2265/2009 z 04.06.2009 (SLK, a.s.)</w:t>
            </w:r>
          </w:p>
        </w:tc>
        <w:tc>
          <w:tcPr>
            <w:tcW w:w="2340"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8 100</w:t>
            </w:r>
          </w:p>
        </w:tc>
        <w:tc>
          <w:tcPr>
            <w:tcW w:w="1980"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1 593 334,56</w:t>
            </w:r>
          </w:p>
        </w:tc>
      </w:tr>
      <w:tr>
        <w:tblPrEx>
          <w:tblW w:w="9180" w:type="dxa"/>
          <w:tblInd w:w="30" w:type="dxa"/>
          <w:tblLayout w:type="fixed"/>
          <w:tblCellMar>
            <w:top w:w="0" w:type="dxa"/>
            <w:left w:w="30" w:type="dxa"/>
            <w:bottom w:w="0" w:type="dxa"/>
            <w:right w:w="30" w:type="dxa"/>
          </w:tblCellMar>
        </w:tblPrEx>
        <w:trPr>
          <w:trHeight w:val="322"/>
        </w:trPr>
        <w:tc>
          <w:tcPr>
            <w:tcW w:w="4860"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ind w:firstLine="150"/>
              <w:rPr>
                <w:rFonts w:ascii="Arial Narrow" w:hAnsi="Arial Narrow" w:cs="Arial"/>
                <w:sz w:val="20"/>
                <w:szCs w:val="20"/>
              </w:rPr>
            </w:pPr>
            <w:r>
              <w:rPr>
                <w:rFonts w:ascii="Arial Narrow" w:hAnsi="Arial Narrow" w:cs="Arial"/>
                <w:sz w:val="20"/>
              </w:rPr>
              <w:t>Zmluva o kúpe akcií č. 2266/2009 z 01.07.2009 (ČSA,a.s)</w:t>
            </w:r>
          </w:p>
        </w:tc>
        <w:tc>
          <w:tcPr>
            <w:tcW w:w="2340"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670</w:t>
            </w:r>
          </w:p>
        </w:tc>
        <w:tc>
          <w:tcPr>
            <w:tcW w:w="1980"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402 670,00</w:t>
            </w:r>
          </w:p>
        </w:tc>
      </w:tr>
      <w:tr>
        <w:tblPrEx>
          <w:tblW w:w="9180" w:type="dxa"/>
          <w:tblInd w:w="30" w:type="dxa"/>
          <w:tblLayout w:type="fixed"/>
          <w:tblCellMar>
            <w:top w:w="0" w:type="dxa"/>
            <w:left w:w="30" w:type="dxa"/>
            <w:bottom w:w="0" w:type="dxa"/>
            <w:right w:w="30" w:type="dxa"/>
          </w:tblCellMar>
        </w:tblPrEx>
        <w:trPr>
          <w:trHeight w:val="365"/>
        </w:trPr>
        <w:tc>
          <w:tcPr>
            <w:tcW w:w="4860"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ind w:firstLine="150"/>
              <w:rPr>
                <w:rFonts w:ascii="Arial Narrow" w:hAnsi="Arial Narrow" w:cs="Arial"/>
                <w:b/>
                <w:bCs/>
                <w:sz w:val="20"/>
                <w:szCs w:val="20"/>
              </w:rPr>
            </w:pPr>
            <w:r>
              <w:rPr>
                <w:rFonts w:ascii="Arial Narrow" w:hAnsi="Arial Narrow" w:cs="Arial"/>
                <w:b/>
                <w:bCs/>
                <w:sz w:val="20"/>
                <w:szCs w:val="20"/>
              </w:rPr>
              <w:t>Spolu</w:t>
            </w:r>
          </w:p>
        </w:tc>
        <w:tc>
          <w:tcPr>
            <w:tcW w:w="2340"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jc w:val="left"/>
              <w:rPr>
                <w:rFonts w:ascii="Arial Narrow" w:hAnsi="Arial Narrow" w:cs="Arial"/>
                <w:b/>
                <w:bCs/>
                <w:sz w:val="20"/>
                <w:szCs w:val="20"/>
              </w:rPr>
            </w:pPr>
          </w:p>
        </w:tc>
        <w:tc>
          <w:tcPr>
            <w:tcW w:w="1980"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jc w:val="right"/>
              <w:rPr>
                <w:rFonts w:ascii="Arial Narrow" w:hAnsi="Arial Narrow" w:cs="Arial"/>
                <w:b/>
                <w:bCs/>
                <w:sz w:val="20"/>
                <w:szCs w:val="20"/>
              </w:rPr>
            </w:pPr>
            <w:r>
              <w:rPr>
                <w:rFonts w:ascii="Arial Narrow" w:hAnsi="Arial Narrow" w:cs="Arial"/>
                <w:b/>
                <w:bCs/>
                <w:sz w:val="20"/>
                <w:szCs w:val="20"/>
              </w:rPr>
              <w:t>1 996 004,56</w:t>
            </w:r>
          </w:p>
        </w:tc>
      </w:tr>
    </w:tbl>
    <w:p w:rsidR="004C20F3">
      <w:pPr>
        <w:bidi w:val="0"/>
        <w:ind w:firstLine="0"/>
        <w:rPr>
          <w:rFonts w:ascii="Times New Roman" w:hAnsi="Times New Roman"/>
        </w:rPr>
      </w:pPr>
    </w:p>
    <w:p w:rsidR="004C20F3" w:rsidP="004C20F3">
      <w:pPr>
        <w:numPr>
          <w:ilvl w:val="3"/>
          <w:numId w:val="1"/>
        </w:numPr>
        <w:tabs>
          <w:tab w:val="num" w:pos="360"/>
          <w:tab w:val="clear" w:pos="2880"/>
        </w:tabs>
        <w:bidi w:val="0"/>
        <w:ind w:hanging="2880"/>
        <w:rPr>
          <w:rFonts w:ascii="Times New Roman" w:hAnsi="Times New Roman"/>
          <w:b/>
        </w:rPr>
      </w:pPr>
      <w:r>
        <w:rPr>
          <w:rFonts w:ascii="Times New Roman" w:hAnsi="Times New Roman"/>
          <w:b/>
        </w:rPr>
        <w:t>Burza cenných papierov v Bratislave, a.s.</w:t>
      </w:r>
    </w:p>
    <w:p w:rsidR="004C20F3">
      <w:pPr>
        <w:bidi w:val="0"/>
        <w:ind w:firstLine="0"/>
        <w:rPr>
          <w:rFonts w:ascii="Times New Roman" w:hAnsi="Times New Roman"/>
        </w:rPr>
      </w:pPr>
      <w:r>
        <w:rPr>
          <w:rFonts w:ascii="Times New Roman" w:hAnsi="Times New Roman"/>
        </w:rPr>
        <w:t xml:space="preserve"> V roku 2009 bola realizovaná kúpa 600 ks akcií (t.j. 1,74 %-ný podiel na základnom imaní) spoločnosti Burza cenných papierov v Bratislave a.s., so sídlom Bratislava (ďalej len „BCPB,a.s.“), a to na základe uplatnenia si predkupného práva Fondu ako jedného z akcionárov spoločnosti za ponukovú cenu:</w:t>
      </w:r>
    </w:p>
    <w:p w:rsidR="004C20F3" w:rsidP="004C20F3">
      <w:pPr>
        <w:numPr>
          <w:numId w:val="7"/>
        </w:numPr>
        <w:tabs>
          <w:tab w:val="left" w:pos="360"/>
        </w:tabs>
        <w:overflowPunct w:val="0"/>
        <w:autoSpaceDE w:val="0"/>
        <w:autoSpaceDN w:val="0"/>
        <w:bidi w:val="0"/>
        <w:adjustRightInd w:val="0"/>
        <w:rPr>
          <w:rFonts w:ascii="Times New Roman" w:hAnsi="Times New Roman"/>
          <w:szCs w:val="20"/>
        </w:rPr>
      </w:pPr>
      <w:r>
        <w:rPr>
          <w:rFonts w:ascii="Times New Roman" w:hAnsi="Times New Roman"/>
          <w:szCs w:val="20"/>
        </w:rPr>
        <w:t>spoločnosť KORUNA Invest a.s., so sídlom v Bratislave ako akcionár ponúkla 200 ks akcií v menovitej hodnote jednej akcie 331,940 €, t.j. 0,58 % podiel na základnom imaní za ponukovú cenu 92 942,97 €.</w:t>
      </w:r>
    </w:p>
    <w:p w:rsidR="004C20F3">
      <w:pPr>
        <w:pStyle w:val="BodyTextIndent2"/>
        <w:numPr>
          <w:numId w:val="7"/>
        </w:numPr>
        <w:bidi w:val="0"/>
        <w:rPr>
          <w:rFonts w:ascii="Times New Roman" w:hAnsi="Times New Roman"/>
        </w:rPr>
      </w:pPr>
      <w:r>
        <w:rPr>
          <w:rFonts w:ascii="Times New Roman" w:hAnsi="Times New Roman"/>
        </w:rPr>
        <w:t>spoločnosť Capital Partners Development a.s., so sídlom v Bratislave ako akcionár ponúkla 400 ks akcií v menovitej hodnote jednej akcie 331,940 €, t.j. 1,16 %-ný podiel na základnom imaní, za ponukovú cenu 185 222,07 €.</w:t>
      </w:r>
    </w:p>
    <w:p w:rsidR="004C20F3">
      <w:pPr>
        <w:tabs>
          <w:tab w:val="left" w:pos="360"/>
        </w:tabs>
        <w:overflowPunct w:val="0"/>
        <w:autoSpaceDE w:val="0"/>
        <w:autoSpaceDN w:val="0"/>
        <w:bidi w:val="0"/>
        <w:adjustRightInd w:val="0"/>
        <w:ind w:firstLine="0"/>
        <w:rPr>
          <w:rFonts w:ascii="Times New Roman" w:hAnsi="Times New Roman"/>
          <w:szCs w:val="20"/>
        </w:rPr>
      </w:pPr>
      <w:r>
        <w:rPr>
          <w:rFonts w:ascii="Times New Roman" w:hAnsi="Times New Roman"/>
          <w:szCs w:val="20"/>
        </w:rPr>
        <w:t>Fond ako majoritný akcionár si na základe rozhodnutia Prezídia Fondu z 12.7.2007  uplatnil predkupné právo na akcie spoločnosti BCPB, a.s. a realizoval kúpu týchto akcií v súlade s § 28 ods.3 písm. g) zákona a v súlade so stanovami spoločnosti BCPB, a.s..</w:t>
      </w:r>
    </w:p>
    <w:p w:rsidR="004C20F3">
      <w:pPr>
        <w:pStyle w:val="BodyTextIndent3"/>
        <w:bidi w:val="0"/>
        <w:ind w:firstLine="0"/>
        <w:rPr>
          <w:rFonts w:ascii="Times New Roman" w:hAnsi="Times New Roman"/>
          <w:color w:val="auto"/>
        </w:rPr>
      </w:pPr>
      <w:r>
        <w:rPr>
          <w:rFonts w:ascii="Times New Roman" w:hAnsi="Times New Roman"/>
          <w:color w:val="auto"/>
        </w:rPr>
        <w:t>V súlade s podmienkami zmlúv boli akcie dňa 27.5.2009 a 28.5.2009 prevedené na Fond pri dodržaní všetkých lehôt a podmienok dohodnutých v zmluvách, následne bola uhradená kúpna cena.</w:t>
      </w:r>
    </w:p>
    <w:p w:rsidR="004C20F3">
      <w:pPr>
        <w:pStyle w:val="BodyTextIndent3"/>
        <w:bidi w:val="0"/>
        <w:ind w:firstLine="0"/>
        <w:rPr>
          <w:rFonts w:ascii="Times New Roman" w:hAnsi="Times New Roman"/>
          <w:color w:val="auto"/>
        </w:rPr>
      </w:pPr>
    </w:p>
    <w:p w:rsidR="004C20F3">
      <w:pPr>
        <w:pStyle w:val="BodyTextIndent3"/>
        <w:bidi w:val="0"/>
        <w:ind w:firstLine="0"/>
        <w:rPr>
          <w:rFonts w:ascii="Times New Roman" w:hAnsi="Times New Roman"/>
          <w:b/>
          <w:bCs/>
          <w:color w:val="auto"/>
        </w:rPr>
      </w:pPr>
      <w:r>
        <w:rPr>
          <w:rFonts w:ascii="Times New Roman" w:hAnsi="Times New Roman"/>
          <w:b/>
          <w:bCs/>
          <w:color w:val="auto"/>
        </w:rPr>
        <w:t>Kúpa akcií v roku 2009</w:t>
      </w:r>
    </w:p>
    <w:tbl>
      <w:tblPr>
        <w:tblStyle w:val="TableNormal"/>
        <w:tblW w:w="0" w:type="auto"/>
        <w:tblInd w:w="30" w:type="dxa"/>
        <w:tblLayout w:type="fixed"/>
        <w:tblCellMar>
          <w:top w:w="0" w:type="dxa"/>
          <w:left w:w="30" w:type="dxa"/>
          <w:bottom w:w="0" w:type="dxa"/>
          <w:right w:w="30" w:type="dxa"/>
        </w:tblCellMar>
      </w:tblPr>
      <w:tblGrid>
        <w:gridCol w:w="4860"/>
        <w:gridCol w:w="2340"/>
        <w:gridCol w:w="1800"/>
      </w:tblGrid>
      <w:tr>
        <w:tblPrEx>
          <w:tblW w:w="0" w:type="auto"/>
          <w:tblInd w:w="30" w:type="dxa"/>
          <w:tblLayout w:type="fixed"/>
          <w:tblCellMar>
            <w:top w:w="0" w:type="dxa"/>
            <w:left w:w="30" w:type="dxa"/>
            <w:bottom w:w="0" w:type="dxa"/>
            <w:right w:w="30" w:type="dxa"/>
          </w:tblCellMar>
        </w:tblPrEx>
        <w:trPr>
          <w:trHeight w:val="835"/>
        </w:trPr>
        <w:tc>
          <w:tcPr>
            <w:tcW w:w="4860" w:type="dxa"/>
            <w:tcBorders>
              <w:top w:val="single" w:sz="6" w:space="0" w:color="auto"/>
              <w:left w:val="none" w:sz="0" w:space="0" w:color="auto"/>
              <w:bottom w:val="double" w:sz="6" w:space="0" w:color="auto"/>
              <w:right w:val="none" w:sz="0" w:space="0" w:color="auto"/>
            </w:tcBorders>
            <w:shd w:val="solid" w:color="CCCCFF" w:fill="FFCC99"/>
            <w:textDirection w:val="lrTb"/>
            <w:vAlign w:val="center"/>
          </w:tcPr>
          <w:p w:rsidR="004C20F3">
            <w:pPr>
              <w:autoSpaceDE w:val="0"/>
              <w:autoSpaceDN w:val="0"/>
              <w:bidi w:val="0"/>
              <w:adjustRightInd w:val="0"/>
              <w:ind w:firstLine="150"/>
              <w:rPr>
                <w:rFonts w:ascii="Arial Narrow" w:hAnsi="Arial Narrow" w:cs="Arial"/>
                <w:b/>
                <w:bCs/>
                <w:sz w:val="20"/>
                <w:szCs w:val="20"/>
              </w:rPr>
            </w:pPr>
            <w:r>
              <w:rPr>
                <w:rFonts w:ascii="Arial Narrow" w:hAnsi="Arial Narrow" w:cs="Arial"/>
                <w:b/>
                <w:bCs/>
                <w:sz w:val="20"/>
                <w:szCs w:val="20"/>
              </w:rPr>
              <w:t>Zmluva</w:t>
            </w:r>
          </w:p>
        </w:tc>
        <w:tc>
          <w:tcPr>
            <w:tcW w:w="2340" w:type="dxa"/>
            <w:tcBorders>
              <w:top w:val="single" w:sz="6" w:space="0" w:color="auto"/>
              <w:left w:val="none" w:sz="0" w:space="0" w:color="auto"/>
              <w:bottom w:val="double" w:sz="6" w:space="0" w:color="auto"/>
              <w:right w:val="none" w:sz="0" w:space="0" w:color="auto"/>
            </w:tcBorders>
            <w:shd w:val="solid" w:color="CCCCFF" w:fill="FFCC99"/>
            <w:textDirection w:val="lrTb"/>
            <w:vAlign w:val="center"/>
          </w:tcPr>
          <w:p w:rsidR="004C20F3">
            <w:pPr>
              <w:autoSpaceDE w:val="0"/>
              <w:autoSpaceDN w:val="0"/>
              <w:bidi w:val="0"/>
              <w:adjustRightInd w:val="0"/>
              <w:ind w:firstLine="0"/>
              <w:jc w:val="center"/>
              <w:rPr>
                <w:rFonts w:ascii="Arial Narrow" w:hAnsi="Arial Narrow" w:cs="Arial"/>
                <w:b/>
                <w:bCs/>
                <w:sz w:val="20"/>
                <w:szCs w:val="20"/>
              </w:rPr>
            </w:pPr>
            <w:r>
              <w:rPr>
                <w:rFonts w:ascii="Arial Narrow" w:hAnsi="Arial Narrow" w:cs="Arial"/>
                <w:b/>
                <w:bCs/>
                <w:sz w:val="20"/>
                <w:szCs w:val="20"/>
              </w:rPr>
              <w:t>Počet kupovaných CP v ks</w:t>
            </w:r>
          </w:p>
        </w:tc>
        <w:tc>
          <w:tcPr>
            <w:tcW w:w="1800" w:type="dxa"/>
            <w:tcBorders>
              <w:top w:val="single" w:sz="6" w:space="0" w:color="auto"/>
              <w:left w:val="none" w:sz="0" w:space="0" w:color="auto"/>
              <w:bottom w:val="double" w:sz="6" w:space="0" w:color="auto"/>
              <w:right w:val="none" w:sz="0" w:space="0" w:color="auto"/>
            </w:tcBorders>
            <w:shd w:val="solid" w:color="CCCCFF" w:fill="FFCC99"/>
            <w:textDirection w:val="lrTb"/>
            <w:vAlign w:val="center"/>
          </w:tcPr>
          <w:p w:rsidR="004C20F3">
            <w:pPr>
              <w:autoSpaceDE w:val="0"/>
              <w:autoSpaceDN w:val="0"/>
              <w:bidi w:val="0"/>
              <w:adjustRightInd w:val="0"/>
              <w:ind w:firstLine="0"/>
              <w:jc w:val="center"/>
              <w:rPr>
                <w:rFonts w:ascii="Arial Narrow" w:hAnsi="Arial Narrow" w:cs="Arial"/>
                <w:b/>
                <w:bCs/>
                <w:sz w:val="20"/>
                <w:szCs w:val="20"/>
              </w:rPr>
            </w:pPr>
            <w:r>
              <w:rPr>
                <w:rFonts w:ascii="Arial Narrow" w:hAnsi="Arial Narrow" w:cs="Arial"/>
                <w:b/>
                <w:bCs/>
                <w:sz w:val="20"/>
                <w:szCs w:val="20"/>
              </w:rPr>
              <w:t>Kúpna cena v €</w:t>
            </w:r>
          </w:p>
        </w:tc>
      </w:tr>
      <w:tr>
        <w:tblPrEx>
          <w:tblW w:w="0" w:type="auto"/>
          <w:tblInd w:w="30" w:type="dxa"/>
          <w:tblLayout w:type="fixed"/>
          <w:tblCellMar>
            <w:top w:w="0" w:type="dxa"/>
            <w:left w:w="30" w:type="dxa"/>
            <w:bottom w:w="0" w:type="dxa"/>
            <w:right w:w="30" w:type="dxa"/>
          </w:tblCellMar>
        </w:tblPrEx>
        <w:trPr>
          <w:trHeight w:val="322"/>
        </w:trPr>
        <w:tc>
          <w:tcPr>
            <w:tcW w:w="4860" w:type="dxa"/>
            <w:tcBorders>
              <w:top w:val="double" w:sz="6" w:space="0" w:color="auto"/>
              <w:left w:val="none" w:sz="0" w:space="0" w:color="auto"/>
              <w:bottom w:val="none" w:sz="0" w:space="0" w:color="auto"/>
              <w:right w:val="none" w:sz="0" w:space="0" w:color="auto"/>
            </w:tcBorders>
            <w:textDirection w:val="lrTb"/>
            <w:vAlign w:val="center"/>
          </w:tcPr>
          <w:p w:rsidR="004C20F3">
            <w:pPr>
              <w:pStyle w:val="BodyText3"/>
              <w:bidi w:val="0"/>
              <w:spacing w:before="0"/>
              <w:ind w:firstLine="150"/>
              <w:jc w:val="left"/>
              <w:rPr>
                <w:rFonts w:ascii="Arial Narrow" w:hAnsi="Arial Narrow" w:cs="Arial"/>
                <w:i w:val="0"/>
                <w:iCs w:val="0"/>
                <w:sz w:val="20"/>
                <w:szCs w:val="20"/>
              </w:rPr>
            </w:pPr>
            <w:r>
              <w:rPr>
                <w:rFonts w:ascii="Arial Narrow" w:hAnsi="Arial Narrow" w:cs="Arial"/>
                <w:i w:val="0"/>
                <w:iCs w:val="0"/>
                <w:sz w:val="20"/>
              </w:rPr>
              <w:t>Zmluva o kúpe akcií č. 1/2009 z 26.05.2009 (BCPB,a.s)</w:t>
            </w:r>
          </w:p>
        </w:tc>
        <w:tc>
          <w:tcPr>
            <w:tcW w:w="2340"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200</w:t>
            </w:r>
          </w:p>
        </w:tc>
        <w:tc>
          <w:tcPr>
            <w:tcW w:w="1800"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92 942,97</w:t>
            </w:r>
          </w:p>
        </w:tc>
      </w:tr>
      <w:tr>
        <w:tblPrEx>
          <w:tblW w:w="0" w:type="auto"/>
          <w:tblInd w:w="30" w:type="dxa"/>
          <w:tblLayout w:type="fixed"/>
          <w:tblCellMar>
            <w:top w:w="0" w:type="dxa"/>
            <w:left w:w="30" w:type="dxa"/>
            <w:bottom w:w="0" w:type="dxa"/>
            <w:right w:w="30" w:type="dxa"/>
          </w:tblCellMar>
        </w:tblPrEx>
        <w:trPr>
          <w:trHeight w:val="322"/>
        </w:trPr>
        <w:tc>
          <w:tcPr>
            <w:tcW w:w="4860"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ind w:firstLine="150"/>
              <w:rPr>
                <w:rFonts w:ascii="Arial Narrow" w:hAnsi="Arial Narrow" w:cs="Arial"/>
                <w:sz w:val="20"/>
                <w:szCs w:val="20"/>
              </w:rPr>
            </w:pPr>
            <w:r>
              <w:rPr>
                <w:rFonts w:ascii="Arial Narrow" w:hAnsi="Arial Narrow" w:cs="Arial"/>
                <w:sz w:val="20"/>
              </w:rPr>
              <w:t>Zmluva o kúpe akcií č. 2/2009 z 26.05.2009 (BCPB,a.s.)</w:t>
            </w:r>
          </w:p>
        </w:tc>
        <w:tc>
          <w:tcPr>
            <w:tcW w:w="2340"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400</w:t>
            </w:r>
          </w:p>
        </w:tc>
        <w:tc>
          <w:tcPr>
            <w:tcW w:w="1800"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185 222,07</w:t>
            </w:r>
          </w:p>
        </w:tc>
      </w:tr>
      <w:tr>
        <w:tblPrEx>
          <w:tblW w:w="0" w:type="auto"/>
          <w:tblInd w:w="30" w:type="dxa"/>
          <w:tblLayout w:type="fixed"/>
          <w:tblCellMar>
            <w:top w:w="0" w:type="dxa"/>
            <w:left w:w="30" w:type="dxa"/>
            <w:bottom w:w="0" w:type="dxa"/>
            <w:right w:w="30" w:type="dxa"/>
          </w:tblCellMar>
        </w:tblPrEx>
        <w:trPr>
          <w:trHeight w:val="365"/>
        </w:trPr>
        <w:tc>
          <w:tcPr>
            <w:tcW w:w="4860"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ind w:firstLine="150"/>
              <w:rPr>
                <w:rFonts w:ascii="Arial Narrow" w:hAnsi="Arial Narrow" w:cs="Arial"/>
                <w:b/>
                <w:bCs/>
                <w:sz w:val="20"/>
                <w:szCs w:val="20"/>
              </w:rPr>
            </w:pPr>
            <w:r>
              <w:rPr>
                <w:rFonts w:ascii="Arial Narrow" w:hAnsi="Arial Narrow" w:cs="Arial"/>
                <w:b/>
                <w:bCs/>
                <w:sz w:val="20"/>
                <w:szCs w:val="20"/>
              </w:rPr>
              <w:t>Spolu</w:t>
            </w:r>
          </w:p>
        </w:tc>
        <w:tc>
          <w:tcPr>
            <w:tcW w:w="2340"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jc w:val="right"/>
              <w:rPr>
                <w:rFonts w:ascii="Arial Narrow" w:hAnsi="Arial Narrow" w:cs="Arial"/>
                <w:b/>
                <w:bCs/>
                <w:sz w:val="20"/>
                <w:szCs w:val="20"/>
              </w:rPr>
            </w:pPr>
            <w:r>
              <w:rPr>
                <w:rFonts w:ascii="Arial Narrow" w:hAnsi="Arial Narrow" w:cs="Arial"/>
                <w:b/>
                <w:bCs/>
                <w:sz w:val="20"/>
                <w:szCs w:val="20"/>
              </w:rPr>
              <w:t>600</w:t>
            </w:r>
          </w:p>
        </w:tc>
        <w:tc>
          <w:tcPr>
            <w:tcW w:w="1800"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jc w:val="right"/>
              <w:rPr>
                <w:rFonts w:ascii="Arial Narrow" w:hAnsi="Arial Narrow" w:cs="Arial"/>
                <w:b/>
                <w:bCs/>
                <w:sz w:val="20"/>
                <w:szCs w:val="20"/>
              </w:rPr>
            </w:pPr>
            <w:r>
              <w:rPr>
                <w:rFonts w:ascii="Arial Narrow" w:hAnsi="Arial Narrow" w:cs="Arial"/>
                <w:b/>
                <w:bCs/>
                <w:sz w:val="20"/>
                <w:szCs w:val="20"/>
              </w:rPr>
              <w:t>278 165,04</w:t>
            </w:r>
          </w:p>
        </w:tc>
      </w:tr>
    </w:tbl>
    <w:p w:rsidR="004C20F3">
      <w:pPr>
        <w:bidi w:val="0"/>
        <w:rPr>
          <w:rFonts w:ascii="Times New Roman" w:hAnsi="Times New Roman"/>
        </w:rPr>
      </w:pPr>
      <w:r>
        <w:rPr>
          <w:rFonts w:ascii="Times New Roman" w:hAnsi="Times New Roman"/>
        </w:rPr>
        <w:t>V roku 2009 neboli sekciou prípravy a realizácie predajov realizované predaje na základe obchodných verejných súťaží alebo výberových konaní na predaj majetku, resp. majetkových účastí Fondu .</w:t>
      </w:r>
    </w:p>
    <w:p w:rsidR="004C20F3">
      <w:pPr>
        <w:bidi w:val="0"/>
        <w:rPr>
          <w:rFonts w:ascii="Times New Roman" w:hAnsi="Times New Roman"/>
        </w:rPr>
      </w:pPr>
      <w:r>
        <w:rPr>
          <w:rFonts w:ascii="Times New Roman" w:hAnsi="Times New Roman"/>
        </w:rPr>
        <w:t xml:space="preserve">Fond pokračoval v roku 2009 v príprave nasledovných predajov: </w:t>
      </w:r>
    </w:p>
    <w:p w:rsidR="004C20F3" w:rsidP="004C20F3">
      <w:pPr>
        <w:pStyle w:val="BodyText"/>
        <w:numPr>
          <w:numId w:val="8"/>
        </w:numPr>
        <w:tabs>
          <w:tab w:val="num" w:pos="360"/>
          <w:tab w:val="clear" w:pos="720"/>
        </w:tabs>
        <w:bidi w:val="0"/>
        <w:spacing w:line="240" w:lineRule="auto"/>
        <w:ind w:left="284" w:hanging="284"/>
        <w:rPr>
          <w:rFonts w:ascii="Times New Roman" w:hAnsi="Times New Roman"/>
          <w:sz w:val="24"/>
        </w:rPr>
      </w:pPr>
      <w:r>
        <w:rPr>
          <w:rFonts w:ascii="Times New Roman" w:hAnsi="Times New Roman"/>
          <w:b/>
          <w:bCs/>
          <w:sz w:val="24"/>
        </w:rPr>
        <w:t xml:space="preserve">Fakultná nemocnica so sídlom v Nitre, </w:t>
      </w:r>
      <w:r>
        <w:rPr>
          <w:rFonts w:ascii="Times New Roman" w:hAnsi="Times New Roman"/>
          <w:sz w:val="24"/>
        </w:rPr>
        <w:t xml:space="preserve">Špitálska 6, IČO 17 336 007 – časť Zubná poliklinika Párovce (stará), Koceľova 29, Nitra </w:t>
      </w:r>
      <w:r>
        <w:rPr>
          <w:rFonts w:ascii="Times New Roman" w:hAnsi="Times New Roman"/>
          <w:b/>
          <w:bCs/>
          <w:sz w:val="24"/>
        </w:rPr>
        <w:t xml:space="preserve">- </w:t>
      </w:r>
      <w:r>
        <w:rPr>
          <w:rFonts w:ascii="Times New Roman" w:hAnsi="Times New Roman"/>
          <w:sz w:val="24"/>
        </w:rPr>
        <w:t>realizácia rozhodnutia vlády SR č. 562/2005 z 13.7.2005 o privatizácii časti zdravotníckeho zariadenia priamym predajom kupujúcemu DIA-NE, spol. s r.o., Nitra za kúpnu cenu 835 000,- Sk, t.j. 27 882,89 €. Kúpna zmluva nebola v roku 2009 uzavretá .</w:t>
      </w:r>
    </w:p>
    <w:p w:rsidR="004C20F3" w:rsidP="004C20F3">
      <w:pPr>
        <w:pStyle w:val="BodyText"/>
        <w:numPr>
          <w:numId w:val="8"/>
        </w:numPr>
        <w:tabs>
          <w:tab w:val="num" w:pos="360"/>
          <w:tab w:val="clear" w:pos="720"/>
        </w:tabs>
        <w:bidi w:val="0"/>
        <w:spacing w:line="240" w:lineRule="auto"/>
        <w:ind w:left="284" w:hanging="284"/>
        <w:rPr>
          <w:rFonts w:ascii="Times New Roman" w:hAnsi="Times New Roman"/>
          <w:sz w:val="24"/>
        </w:rPr>
      </w:pPr>
      <w:r>
        <w:rPr>
          <w:rFonts w:ascii="Times New Roman" w:hAnsi="Times New Roman"/>
          <w:b/>
          <w:bCs/>
          <w:sz w:val="24"/>
        </w:rPr>
        <w:t>Výskumno-vývojový ústav pozemných stavieb NOVA, š.p.</w:t>
      </w:r>
      <w:r>
        <w:rPr>
          <w:rFonts w:ascii="Times New Roman" w:hAnsi="Times New Roman"/>
          <w:sz w:val="24"/>
        </w:rPr>
        <w:t>, -realizácia časti A/ rozhodnutia Prezídia Fondu č. 932/2000 z 18.12.2000 o naložení s majetkom Fondu, ktorý Fond nadobudol odstúpením od Zmluvy o predaji podniku č. 1767/1996 zo 17.12.1996, ktorým bola časť citovaného majetku vo verejnom záujme – záber pre výstavbu diaľnice D-61- určená na priamy predaj kupujúcemu Slovenská republika, Slovenská správa ciest, za kúpnu cenu 1 532 788,-Sk, t.j. 50 879,24 €. Citované rozhodnutie nebolo realizované z viacerých dôvodov, najmä z dôvodu zmeny kompetencií kupujúceho, zmeny rozsahu reálne zabraných pozemkov pod stavbu diaľnice. Príprava v roku 2009 nebola ukončená.</w:t>
      </w:r>
    </w:p>
    <w:p w:rsidR="004C20F3" w:rsidP="004C20F3">
      <w:pPr>
        <w:pStyle w:val="BodyText"/>
        <w:numPr>
          <w:numId w:val="8"/>
        </w:numPr>
        <w:tabs>
          <w:tab w:val="num" w:pos="360"/>
          <w:tab w:val="clear" w:pos="720"/>
        </w:tabs>
        <w:bidi w:val="0"/>
        <w:spacing w:line="240" w:lineRule="auto"/>
        <w:ind w:left="284" w:hanging="284"/>
        <w:rPr>
          <w:rFonts w:ascii="Times New Roman" w:hAnsi="Times New Roman"/>
          <w:sz w:val="24"/>
          <w:u w:val="single"/>
        </w:rPr>
      </w:pPr>
      <w:r>
        <w:rPr>
          <w:rFonts w:ascii="Times New Roman" w:hAnsi="Times New Roman"/>
          <w:b/>
          <w:bCs/>
          <w:sz w:val="24"/>
        </w:rPr>
        <w:t>BARDEJOVSKÉ KÚPELE, a.s.</w:t>
      </w:r>
      <w:r>
        <w:rPr>
          <w:rFonts w:ascii="Times New Roman" w:hAnsi="Times New Roman"/>
          <w:sz w:val="24"/>
        </w:rPr>
        <w:t xml:space="preserve">, so sídlom v Bardejovských Kúpeľoch - naloženie s majetkovou účasťou Fondu na podnikaní spoločnosti, vo výške 208 ks akcií, t.j. 0,07 % základného imania spoločnosti, ktoré boli pôvodne určené rozhodnutím o privatizácii na vysporiadanie reštitučného nároku oprávneným osobám, avšak právoplatným rozsudkom Okresného súdu Bardejov nastala zmena v spôsobe vysporiadania reštitučného nároku (vydaním nehnuteľností in natura oprávneným osobám). </w:t>
      </w:r>
      <w:bookmarkEnd w:id="1"/>
      <w:r>
        <w:rPr>
          <w:rFonts w:ascii="Times New Roman" w:hAnsi="Times New Roman"/>
          <w:sz w:val="24"/>
        </w:rPr>
        <w:t>Príprava v roku 2009 nebola ukončená.</w:t>
      </w:r>
    </w:p>
    <w:p w:rsidR="004C20F3">
      <w:pPr>
        <w:pStyle w:val="Heading3"/>
        <w:bidi w:val="0"/>
        <w:rPr>
          <w:rFonts w:ascii="Times New Roman" w:hAnsi="Times New Roman"/>
        </w:rPr>
      </w:pPr>
      <w:r>
        <w:rPr>
          <w:rFonts w:ascii="Times New Roman" w:hAnsi="Times New Roman"/>
        </w:rPr>
        <w:t xml:space="preserve">II. Kapitálový trh a dlhopisy </w:t>
      </w:r>
    </w:p>
    <w:p w:rsidR="004C20F3">
      <w:pPr>
        <w:bidi w:val="0"/>
        <w:rPr>
          <w:rFonts w:ascii="Times New Roman" w:hAnsi="Times New Roman"/>
        </w:rPr>
      </w:pPr>
      <w:r>
        <w:rPr>
          <w:rFonts w:ascii="Times New Roman" w:hAnsi="Times New Roman"/>
        </w:rPr>
        <w:t>Základnými úlohami sekcie kapitálového trhu a dlhopisov Fondu v roku 2009 bolo zabezpečenie výplaty menovitej hodnoty a výnosu dlhopisu Fondu oprávneným osobám, realizácia prevodov cenných papierov v Centrálnom depozitári cenných papierov SR, a.s. (ďalej len „CDCP“) a plnenie úloh vyplývajúcich zo zákona č. 160/2009 Z. z. spojených s prevodom tzv. „bezcenných“ cenných papierov na Fond.</w:t>
      </w:r>
    </w:p>
    <w:p w:rsidR="004C20F3">
      <w:pPr>
        <w:bidi w:val="0"/>
        <w:rPr>
          <w:rFonts w:ascii="Times New Roman" w:hAnsi="Times New Roman"/>
        </w:rPr>
      </w:pPr>
      <w:r>
        <w:rPr>
          <w:rFonts w:ascii="Times New Roman" w:hAnsi="Times New Roman"/>
        </w:rPr>
        <w:t>Emisiu vo výške 3,3 mil. kusov dlhopisov Fondu vydal Fond k 1.1.1996 a v zmysle zákona ich splatil najmä v roku 2001. Zákon č. 717/2004 Z.z. z 2.12.2004 umožnil Fondu vyplácať dlhopisy aj po ich premlčaní, a preto Fond v realizácii výplat týchto cenných papierov oprávneným osobám pokračoval aj v roku 2009. Obdržané písomné žiadosti o vyplatenie dlhopisov Fondu boli vybavované na základe evidencie, ktorá sa dodnes nachádza v spoločnosti RM-S Market, o.c.p., a.s. (ďalej aj „RMSM“). Fond  vykonával tiež všetky činnosti súvisiace s prvým splatením, resp. s opätovným vyplatením tých dlhopisov Fondu, ktoré si oprávnené osoby neprevzali už v roku 2001.</w:t>
      </w:r>
    </w:p>
    <w:p w:rsidR="004C20F3">
      <w:pPr>
        <w:bidi w:val="0"/>
        <w:rPr>
          <w:rFonts w:ascii="Times New Roman" w:hAnsi="Times New Roman"/>
        </w:rPr>
      </w:pPr>
      <w:r>
        <w:rPr>
          <w:rFonts w:ascii="Times New Roman" w:hAnsi="Times New Roman"/>
        </w:rPr>
        <w:t>V roku 2009 bolo oprávneným osobám vyplatených 364 kusov dlhopisov Fondu v sume cca 149 tis. €. Ku koncu roka 2009 Fond evidoval vyše 220 rozpracovaných žiadostí dedičov, pri ktorých ide najmä o novoobjavené dedičstvá. K 31.12.2009 ostalo v evidencii viac ako 37 tis. oprávnených osôb na výplatu dlhopisov Fondu v celkovom objeme cca 16,200 mil. €. Tento relatívne vysoký počet nevyplatených dlhopisov Fondu súvisí najmä s úmrtiami oprávnených majiteľov, s neinformovanosťou dedičov, s dlhotrvajúcimi dedičskými konaniami, so zmenenými identifikačnými údajmi (priezvisko, bydlisko), s dlhodobými pobytmi oprávnených osôb v zahraničí, o čom nie je Fond informovaný a pod..</w:t>
      </w:r>
    </w:p>
    <w:p w:rsidR="004C20F3">
      <w:pPr>
        <w:autoSpaceDN w:val="0"/>
        <w:bidi w:val="0"/>
        <w:rPr>
          <w:rFonts w:ascii="Times New Roman" w:hAnsi="Times New Roman"/>
        </w:rPr>
      </w:pPr>
      <w:r>
        <w:rPr>
          <w:rFonts w:ascii="Times New Roman" w:hAnsi="Times New Roman"/>
        </w:rPr>
        <w:t xml:space="preserve">Prevod akcií v majetku Fondu, ktoré nie sú obchodované na BCPB, a.s., zabezpečil Fond v CDCP na základe uzatvorených zmlúv. Služby súvisiace s prevodom cenných papierov boli realizované priamo zo sídla Fondu (zadávanie tzv. „polpríkazov“) </w:t>
      </w:r>
      <w:bookmarkStart w:id="2" w:name="OLE_LINK1"/>
      <w:r>
        <w:rPr>
          <w:rFonts w:ascii="Times New Roman" w:hAnsi="Times New Roman"/>
        </w:rPr>
        <w:t xml:space="preserve">prostredníctvom </w:t>
      </w:r>
      <w:bookmarkEnd w:id="2"/>
      <w:r>
        <w:rPr>
          <w:rFonts w:ascii="Times New Roman" w:hAnsi="Times New Roman"/>
        </w:rPr>
        <w:t>elektronického systému CDCP. Takto bolo v roku 2009 uskutočnených 38 prevodov zaknihovaných cenných papierov a jeden prevod listinných cenných papierov. Sekcia zabezpečovala tiež činnosť 100%-nej dcérskej spoločnosti Fondu - DLHOPIS, o.c.p., a.s.. Zmeny a ukončenia evidovania záložného práva na predané akcie boli vykonávané pre Fond pri priehradke CDCP.</w:t>
      </w:r>
    </w:p>
    <w:p w:rsidR="004C20F3">
      <w:pPr>
        <w:bidi w:val="0"/>
        <w:ind w:firstLine="0"/>
        <w:rPr>
          <w:rFonts w:ascii="Times New Roman" w:hAnsi="Times New Roman"/>
          <w:b/>
          <w:bCs/>
        </w:rPr>
      </w:pPr>
      <w:r>
        <w:rPr>
          <w:rFonts w:ascii="Times New Roman" w:hAnsi="Times New Roman"/>
          <w:b/>
          <w:bCs/>
        </w:rPr>
        <w:t>Prevody cenných papierov v roku 2009</w:t>
      </w:r>
    </w:p>
    <w:tbl>
      <w:tblPr>
        <w:tblStyle w:val="TableNormal"/>
        <w:tblW w:w="0" w:type="auto"/>
        <w:tblInd w:w="30" w:type="dxa"/>
        <w:tblLayout w:type="fixed"/>
        <w:tblCellMar>
          <w:left w:w="30" w:type="dxa"/>
          <w:right w:w="30" w:type="dxa"/>
        </w:tblCellMar>
      </w:tblPr>
      <w:tblGrid>
        <w:gridCol w:w="4400"/>
        <w:gridCol w:w="1533"/>
        <w:gridCol w:w="1533"/>
        <w:gridCol w:w="1534"/>
      </w:tblGrid>
      <w:tr>
        <w:tblPrEx>
          <w:tblW w:w="0" w:type="auto"/>
          <w:tblInd w:w="30" w:type="dxa"/>
          <w:tblLayout w:type="fixed"/>
          <w:tblCellMar>
            <w:left w:w="30" w:type="dxa"/>
            <w:right w:w="30" w:type="dxa"/>
          </w:tblCellMar>
        </w:tblPrEx>
        <w:trPr>
          <w:trHeight w:val="835"/>
        </w:trPr>
        <w:tc>
          <w:tcPr>
            <w:tcW w:w="4400" w:type="dxa"/>
            <w:tcBorders>
              <w:top w:val="single" w:sz="6" w:space="0" w:color="auto"/>
              <w:left w:val="none" w:sz="0" w:space="0" w:color="auto"/>
              <w:bottom w:val="double" w:sz="6" w:space="0" w:color="auto"/>
              <w:right w:val="none" w:sz="0" w:space="0" w:color="auto"/>
            </w:tcBorders>
            <w:shd w:val="solid" w:color="CCCCFF" w:fill="CCCCFF"/>
            <w:textDirection w:val="lrTb"/>
            <w:vAlign w:val="center"/>
          </w:tcPr>
          <w:p w:rsidR="004C20F3">
            <w:pPr>
              <w:autoSpaceDE w:val="0"/>
              <w:autoSpaceDN w:val="0"/>
              <w:bidi w:val="0"/>
              <w:adjustRightInd w:val="0"/>
              <w:ind w:firstLine="150"/>
              <w:jc w:val="center"/>
              <w:rPr>
                <w:rFonts w:ascii="Arial Narrow" w:hAnsi="Arial Narrow" w:cs="Arial"/>
                <w:b/>
                <w:bCs/>
                <w:sz w:val="20"/>
                <w:szCs w:val="20"/>
              </w:rPr>
            </w:pPr>
            <w:r>
              <w:rPr>
                <w:rFonts w:ascii="Arial Narrow" w:hAnsi="Arial Narrow" w:cs="Arial"/>
                <w:b/>
                <w:bCs/>
                <w:sz w:val="20"/>
                <w:szCs w:val="20"/>
              </w:rPr>
              <w:t>Druh prevodu</w:t>
            </w:r>
          </w:p>
        </w:tc>
        <w:tc>
          <w:tcPr>
            <w:tcW w:w="1533" w:type="dxa"/>
            <w:tcBorders>
              <w:top w:val="single" w:sz="6" w:space="0" w:color="auto"/>
              <w:left w:val="none" w:sz="0" w:space="0" w:color="auto"/>
              <w:bottom w:val="double" w:sz="6" w:space="0" w:color="auto"/>
              <w:right w:val="none" w:sz="0" w:space="0" w:color="auto"/>
            </w:tcBorders>
            <w:shd w:val="solid" w:color="CCCCFF" w:fill="CCCCFF"/>
            <w:textDirection w:val="lrTb"/>
            <w:vAlign w:val="center"/>
          </w:tcPr>
          <w:p w:rsidR="004C20F3">
            <w:pPr>
              <w:autoSpaceDE w:val="0"/>
              <w:autoSpaceDN w:val="0"/>
              <w:bidi w:val="0"/>
              <w:adjustRightInd w:val="0"/>
              <w:ind w:firstLine="70"/>
              <w:jc w:val="center"/>
              <w:rPr>
                <w:rFonts w:ascii="Arial Narrow" w:hAnsi="Arial Narrow" w:cs="Arial"/>
                <w:b/>
                <w:bCs/>
                <w:sz w:val="20"/>
                <w:szCs w:val="20"/>
              </w:rPr>
            </w:pPr>
            <w:r>
              <w:rPr>
                <w:rFonts w:ascii="Arial Narrow" w:hAnsi="Arial Narrow" w:cs="Arial"/>
                <w:b/>
                <w:bCs/>
                <w:sz w:val="20"/>
                <w:szCs w:val="20"/>
              </w:rPr>
              <w:t xml:space="preserve">Počet prevodov </w:t>
            </w:r>
          </w:p>
        </w:tc>
        <w:tc>
          <w:tcPr>
            <w:tcW w:w="1533" w:type="dxa"/>
            <w:tcBorders>
              <w:top w:val="single" w:sz="6" w:space="0" w:color="auto"/>
              <w:left w:val="none" w:sz="0" w:space="0" w:color="auto"/>
              <w:bottom w:val="double" w:sz="6" w:space="0" w:color="auto"/>
              <w:right w:val="none" w:sz="0" w:space="0" w:color="auto"/>
            </w:tcBorders>
            <w:shd w:val="solid" w:color="CCCCFF" w:fill="CCCCFF"/>
            <w:textDirection w:val="lrTb"/>
            <w:vAlign w:val="center"/>
          </w:tcPr>
          <w:p w:rsidR="004C20F3">
            <w:pPr>
              <w:autoSpaceDE w:val="0"/>
              <w:autoSpaceDN w:val="0"/>
              <w:bidi w:val="0"/>
              <w:adjustRightInd w:val="0"/>
              <w:ind w:firstLine="157"/>
              <w:jc w:val="center"/>
              <w:rPr>
                <w:rFonts w:ascii="Arial Narrow" w:hAnsi="Arial Narrow" w:cs="Arial"/>
                <w:b/>
                <w:bCs/>
                <w:sz w:val="20"/>
                <w:szCs w:val="20"/>
              </w:rPr>
            </w:pPr>
            <w:r>
              <w:rPr>
                <w:rFonts w:ascii="Arial Narrow" w:hAnsi="Arial Narrow" w:cs="Arial"/>
                <w:b/>
                <w:bCs/>
                <w:sz w:val="20"/>
                <w:szCs w:val="20"/>
              </w:rPr>
              <w:t>Počet CP (ks)</w:t>
            </w:r>
          </w:p>
        </w:tc>
        <w:tc>
          <w:tcPr>
            <w:tcW w:w="1534" w:type="dxa"/>
            <w:tcBorders>
              <w:top w:val="single" w:sz="6" w:space="0" w:color="auto"/>
              <w:left w:val="none" w:sz="0" w:space="0" w:color="auto"/>
              <w:bottom w:val="double" w:sz="6" w:space="0" w:color="auto"/>
              <w:right w:val="none" w:sz="0" w:space="0" w:color="auto"/>
            </w:tcBorders>
            <w:shd w:val="solid" w:color="CCCCFF" w:fill="CCCCFF"/>
            <w:textDirection w:val="lrTb"/>
            <w:vAlign w:val="center"/>
          </w:tcPr>
          <w:p w:rsidR="004C20F3">
            <w:pPr>
              <w:autoSpaceDE w:val="0"/>
              <w:autoSpaceDN w:val="0"/>
              <w:bidi w:val="0"/>
              <w:adjustRightInd w:val="0"/>
              <w:jc w:val="center"/>
              <w:rPr>
                <w:rFonts w:ascii="Arial Narrow" w:hAnsi="Arial Narrow" w:cs="Arial"/>
                <w:b/>
                <w:bCs/>
                <w:sz w:val="20"/>
                <w:szCs w:val="20"/>
              </w:rPr>
            </w:pPr>
            <w:r>
              <w:rPr>
                <w:rFonts w:ascii="Arial Narrow" w:hAnsi="Arial Narrow" w:cs="Arial"/>
                <w:b/>
                <w:bCs/>
                <w:sz w:val="20"/>
                <w:szCs w:val="20"/>
              </w:rPr>
              <w:t>%</w:t>
            </w:r>
          </w:p>
        </w:tc>
      </w:tr>
      <w:tr>
        <w:tblPrEx>
          <w:tblW w:w="0" w:type="auto"/>
          <w:tblInd w:w="30" w:type="dxa"/>
          <w:tblLayout w:type="fixed"/>
          <w:tblCellMar>
            <w:left w:w="30" w:type="dxa"/>
            <w:right w:w="30" w:type="dxa"/>
          </w:tblCellMar>
        </w:tblPrEx>
        <w:trPr>
          <w:trHeight w:val="322"/>
        </w:trPr>
        <w:tc>
          <w:tcPr>
            <w:tcW w:w="4400"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ind w:firstLine="150"/>
              <w:rPr>
                <w:rFonts w:ascii="Arial Narrow" w:hAnsi="Arial Narrow" w:cs="Arial"/>
                <w:sz w:val="20"/>
                <w:szCs w:val="20"/>
              </w:rPr>
            </w:pPr>
            <w:r>
              <w:rPr>
                <w:rFonts w:ascii="Arial Narrow" w:hAnsi="Arial Narrow" w:cs="Arial"/>
                <w:sz w:val="20"/>
                <w:szCs w:val="20"/>
              </w:rPr>
              <w:t>Prevody akcií na základe kúpnych zmlúv</w:t>
            </w:r>
          </w:p>
        </w:tc>
        <w:tc>
          <w:tcPr>
            <w:tcW w:w="1533"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 xml:space="preserve"> 5</w:t>
            </w:r>
          </w:p>
        </w:tc>
        <w:tc>
          <w:tcPr>
            <w:tcW w:w="1533"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9 370</w:t>
            </w:r>
          </w:p>
        </w:tc>
        <w:tc>
          <w:tcPr>
            <w:tcW w:w="1534" w:type="dxa"/>
            <w:tcBorders>
              <w:top w:val="double" w:sz="6" w:space="0" w:color="auto"/>
              <w:left w:val="none" w:sz="0" w:space="0" w:color="auto"/>
              <w:bottom w:val="none" w:sz="0"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10,98</w:t>
            </w:r>
          </w:p>
        </w:tc>
      </w:tr>
      <w:tr>
        <w:tblPrEx>
          <w:tblW w:w="0" w:type="auto"/>
          <w:tblInd w:w="30" w:type="dxa"/>
          <w:tblLayout w:type="fixed"/>
          <w:tblCellMar>
            <w:left w:w="30" w:type="dxa"/>
            <w:right w:w="30" w:type="dxa"/>
          </w:tblCellMar>
        </w:tblPrEx>
        <w:trPr>
          <w:trHeight w:val="322"/>
        </w:trPr>
        <w:tc>
          <w:tcPr>
            <w:tcW w:w="4400"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ind w:firstLine="150"/>
              <w:rPr>
                <w:rFonts w:ascii="Arial Narrow" w:hAnsi="Arial Narrow" w:cs="Arial"/>
                <w:sz w:val="20"/>
                <w:szCs w:val="20"/>
              </w:rPr>
            </w:pPr>
            <w:r>
              <w:rPr>
                <w:rFonts w:ascii="Arial Narrow" w:hAnsi="Arial Narrow" w:cs="Arial"/>
                <w:sz w:val="20"/>
                <w:szCs w:val="20"/>
              </w:rPr>
              <w:t>Bezodplatné prevody akcií na obce a mestá</w:t>
            </w:r>
          </w:p>
        </w:tc>
        <w:tc>
          <w:tcPr>
            <w:tcW w:w="1533"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 xml:space="preserve"> 34</w:t>
            </w:r>
          </w:p>
        </w:tc>
        <w:tc>
          <w:tcPr>
            <w:tcW w:w="1533"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75 978</w:t>
            </w:r>
          </w:p>
        </w:tc>
        <w:tc>
          <w:tcPr>
            <w:tcW w:w="1534" w:type="dxa"/>
            <w:tcBorders>
              <w:top w:val="none" w:sz="0" w:space="0" w:color="auto"/>
              <w:left w:val="none" w:sz="0" w:space="0" w:color="auto"/>
              <w:bottom w:val="double" w:sz="6" w:space="0" w:color="auto"/>
              <w:right w:val="none" w:sz="0" w:space="0" w:color="auto"/>
            </w:tcBorders>
            <w:textDirection w:val="lrTb"/>
            <w:vAlign w:val="center"/>
          </w:tcPr>
          <w:p w:rsidR="004C20F3">
            <w:pPr>
              <w:autoSpaceDE w:val="0"/>
              <w:autoSpaceDN w:val="0"/>
              <w:bidi w:val="0"/>
              <w:adjustRightInd w:val="0"/>
              <w:jc w:val="right"/>
              <w:rPr>
                <w:rFonts w:ascii="Arial Narrow" w:hAnsi="Arial Narrow" w:cs="Arial"/>
                <w:sz w:val="20"/>
                <w:szCs w:val="20"/>
              </w:rPr>
            </w:pPr>
            <w:r>
              <w:rPr>
                <w:rFonts w:ascii="Arial Narrow" w:hAnsi="Arial Narrow" w:cs="Arial"/>
                <w:sz w:val="20"/>
                <w:szCs w:val="20"/>
              </w:rPr>
              <w:t>89,02</w:t>
            </w:r>
          </w:p>
        </w:tc>
      </w:tr>
      <w:tr>
        <w:tblPrEx>
          <w:tblW w:w="0" w:type="auto"/>
          <w:tblInd w:w="30" w:type="dxa"/>
          <w:tblLayout w:type="fixed"/>
          <w:tblCellMar>
            <w:left w:w="30" w:type="dxa"/>
            <w:right w:w="30" w:type="dxa"/>
          </w:tblCellMar>
        </w:tblPrEx>
        <w:trPr>
          <w:trHeight w:val="365"/>
        </w:trPr>
        <w:tc>
          <w:tcPr>
            <w:tcW w:w="4400"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ind w:firstLine="150"/>
              <w:rPr>
                <w:rFonts w:ascii="Arial Narrow" w:hAnsi="Arial Narrow" w:cs="Arial"/>
                <w:b/>
                <w:bCs/>
                <w:sz w:val="20"/>
                <w:szCs w:val="20"/>
              </w:rPr>
            </w:pPr>
            <w:r>
              <w:rPr>
                <w:rFonts w:ascii="Arial Narrow" w:hAnsi="Arial Narrow" w:cs="Arial"/>
                <w:b/>
                <w:bCs/>
                <w:sz w:val="20"/>
                <w:szCs w:val="20"/>
              </w:rPr>
              <w:t>Spolu</w:t>
            </w:r>
          </w:p>
        </w:tc>
        <w:tc>
          <w:tcPr>
            <w:tcW w:w="1533"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jc w:val="right"/>
              <w:rPr>
                <w:rFonts w:ascii="Arial Narrow" w:hAnsi="Arial Narrow" w:cs="Arial"/>
                <w:b/>
                <w:bCs/>
                <w:sz w:val="20"/>
                <w:szCs w:val="20"/>
              </w:rPr>
            </w:pPr>
            <w:r>
              <w:rPr>
                <w:rFonts w:ascii="Arial Narrow" w:hAnsi="Arial Narrow" w:cs="Arial"/>
                <w:b/>
                <w:bCs/>
                <w:sz w:val="20"/>
                <w:szCs w:val="20"/>
              </w:rPr>
              <w:t xml:space="preserve"> 39</w:t>
            </w:r>
          </w:p>
        </w:tc>
        <w:tc>
          <w:tcPr>
            <w:tcW w:w="1533"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jc w:val="right"/>
              <w:rPr>
                <w:rFonts w:ascii="Arial Narrow" w:hAnsi="Arial Narrow" w:cs="Arial"/>
                <w:b/>
                <w:bCs/>
                <w:sz w:val="20"/>
                <w:szCs w:val="20"/>
              </w:rPr>
            </w:pPr>
            <w:r>
              <w:rPr>
                <w:rFonts w:ascii="Arial Narrow" w:hAnsi="Arial Narrow" w:cs="Arial"/>
                <w:b/>
                <w:bCs/>
                <w:sz w:val="20"/>
                <w:szCs w:val="20"/>
              </w:rPr>
              <w:t xml:space="preserve"> 85 348</w:t>
            </w:r>
          </w:p>
        </w:tc>
        <w:tc>
          <w:tcPr>
            <w:tcW w:w="1534" w:type="dxa"/>
            <w:tcBorders>
              <w:top w:val="double" w:sz="6" w:space="0" w:color="auto"/>
              <w:left w:val="none" w:sz="0" w:space="0" w:color="auto"/>
              <w:bottom w:val="single" w:sz="6" w:space="0" w:color="auto"/>
              <w:right w:val="none" w:sz="0" w:space="0" w:color="auto"/>
            </w:tcBorders>
            <w:shd w:val="solid" w:color="CCCCFF" w:fill="FFCC99"/>
            <w:textDirection w:val="lrTb"/>
            <w:vAlign w:val="center"/>
          </w:tcPr>
          <w:p w:rsidR="004C20F3">
            <w:pPr>
              <w:autoSpaceDE w:val="0"/>
              <w:autoSpaceDN w:val="0"/>
              <w:bidi w:val="0"/>
              <w:adjustRightInd w:val="0"/>
              <w:jc w:val="right"/>
              <w:rPr>
                <w:rFonts w:ascii="Arial Narrow" w:hAnsi="Arial Narrow" w:cs="Arial"/>
                <w:b/>
                <w:bCs/>
                <w:sz w:val="20"/>
                <w:szCs w:val="20"/>
              </w:rPr>
            </w:pPr>
            <w:r>
              <w:rPr>
                <w:rFonts w:ascii="Arial Narrow" w:hAnsi="Arial Narrow" w:cs="Arial"/>
                <w:b/>
                <w:bCs/>
                <w:sz w:val="20"/>
                <w:szCs w:val="20"/>
              </w:rPr>
              <w:t>100,00</w:t>
            </w:r>
          </w:p>
        </w:tc>
      </w:tr>
    </w:tbl>
    <w:p w:rsidR="004C20F3">
      <w:pPr>
        <w:bidi w:val="0"/>
        <w:rPr>
          <w:rFonts w:ascii="Times New Roman" w:hAnsi="Times New Roman"/>
        </w:rPr>
      </w:pPr>
      <w:r>
        <w:rPr>
          <w:rFonts w:ascii="Times New Roman" w:hAnsi="Times New Roman"/>
        </w:rPr>
        <w:t>V nadväznosti na uvedené činnosti Fond viedol a spravoval v internej evidencii majetkový účet cenných papierov Fondu evidovaných v CDCP. V tejto súvislosti realizoval všetky zmeny v evidencii účtu cenných papierov a zabezpečoval všetky požiadavky a potreby súvisiace so službami v CDCP. Pritom išlo najmä o výpisy z registra záložných práv a výpisy z majetkového účtu cenných papierov pre potreby účasti Fondu na valných zhromaždeniach v akciových spoločnostiach s majetkovou účasťou Fondu a podobne.</w:t>
      </w:r>
    </w:p>
    <w:p w:rsidR="004C20F3">
      <w:pPr>
        <w:bidi w:val="0"/>
        <w:rPr>
          <w:rFonts w:ascii="Times New Roman" w:hAnsi="Times New Roman"/>
        </w:rPr>
      </w:pPr>
      <w:r>
        <w:rPr>
          <w:rFonts w:ascii="Times New Roman" w:hAnsi="Times New Roman"/>
        </w:rPr>
        <w:t>Novelami zákona č. 92/1991 Zb. o podmienkach prevodu majetku štátu na iné osoby, a to zákonom č. 160/2009 Z. z. z 15.4.2009 a zákonom č. 563/2009 Z. z. z 1.12.2009, vznikla Fondu povinnosť zabezpečiť činnosti spojené s prevodom zaknihovaných cenných papierov ponúknutých fyzickými osobami bezodplatne Fondu. Všetky náklady spojené s touto úlohou je povinný hradiť Fond, znamená to, že pre fyzické osoby sú tieto služby poskytované bezplatne.</w:t>
      </w:r>
    </w:p>
    <w:p w:rsidR="004C20F3">
      <w:pPr>
        <w:bidi w:val="0"/>
        <w:rPr>
          <w:rFonts w:ascii="Times New Roman" w:hAnsi="Times New Roman"/>
        </w:rPr>
      </w:pPr>
      <w:r>
        <w:rPr>
          <w:rFonts w:ascii="Times New Roman" w:hAnsi="Times New Roman"/>
        </w:rPr>
        <w:t>Dňa 31.7.2009 bola uzavretá Rámcová zmluva medzi Fondom a CDCP o spolupráci pri technickom a prevádzkovom zabezpečení prevodu zaknihovaných cenných papierov z účtov majiteľov vedených v CDCP na Fond.</w:t>
      </w:r>
    </w:p>
    <w:p w:rsidR="004C20F3">
      <w:pPr>
        <w:bidi w:val="0"/>
        <w:rPr>
          <w:rFonts w:ascii="Times New Roman" w:hAnsi="Times New Roman"/>
        </w:rPr>
      </w:pPr>
      <w:r>
        <w:rPr>
          <w:rFonts w:ascii="Times New Roman" w:hAnsi="Times New Roman"/>
        </w:rPr>
        <w:t xml:space="preserve">V súvislosti s plnením nových úloh vyhlásil Fond dňa 13.7.2009 verejné výberové konanie na poskytovateľa finančných služieb pri zabezpečovaní predmetných prevodov cenných papierov. Víťazom sa stala spoločnosť RM-S Market, o.c.p., a.s., s ktorou Fond dňa 25.8.2009 uzavrel Mandátnu zmluvu o spolupráci. RMSM si vybral za svojho subdodávateľa Slovenskú poštu, a.s.. Prevody cenných papierov začalo vykonávať 18 pracovísk od 1.10.2009 a od 1.11.2009 ďalších 22 určených pracovísk Slovenskej pošty, a.s.. Spolu s tromi (3) vlastnými pracoviskami RMSM to bolo 43 miest na Slovensku. Doterajšia prax však ukazuje na potrebu otvorenia ďalších, minimálne desiatich (10), pracovísk, s cieľom optimálnejšieho územného pokrytia. </w:t>
      </w:r>
    </w:p>
    <w:p w:rsidR="004C20F3">
      <w:pPr>
        <w:pStyle w:val="Heading1"/>
        <w:bidi w:val="0"/>
        <w:rPr>
          <w:rFonts w:ascii="Times New Roman" w:hAnsi="Times New Roman"/>
          <w:i w:val="0"/>
          <w:iCs/>
          <w:caps w:val="0"/>
          <w:sz w:val="24"/>
          <w:u w:val="none"/>
        </w:rPr>
      </w:pPr>
      <w:r>
        <w:rPr>
          <w:rFonts w:ascii="Times New Roman" w:hAnsi="Times New Roman"/>
          <w:i w:val="0"/>
          <w:iCs/>
          <w:caps w:val="0"/>
          <w:sz w:val="24"/>
          <w:u w:val="none"/>
        </w:rPr>
        <w:t>Prehľad o rozdelení pracovísk podľa krajov k 31.decembru 2009</w:t>
      </w:r>
    </w:p>
    <w:tbl>
      <w:tblPr>
        <w:tblStyle w:val="TableNormal"/>
        <w:tblW w:w="9015" w:type="dxa"/>
        <w:tblLayout w:type="fixed"/>
        <w:tblCellMar>
          <w:left w:w="0" w:type="dxa"/>
          <w:right w:w="0" w:type="dxa"/>
        </w:tblCellMar>
      </w:tblPr>
      <w:tblGrid>
        <w:gridCol w:w="1635"/>
        <w:gridCol w:w="1620"/>
        <w:gridCol w:w="1260"/>
        <w:gridCol w:w="1260"/>
        <w:gridCol w:w="1800"/>
        <w:gridCol w:w="1440"/>
      </w:tblGrid>
      <w:tr>
        <w:tblPrEx>
          <w:tblW w:w="9015" w:type="dxa"/>
          <w:tblLayout w:type="fixed"/>
          <w:tblCellMar>
            <w:left w:w="0" w:type="dxa"/>
            <w:right w:w="0" w:type="dxa"/>
          </w:tblCellMar>
        </w:tblPrEx>
        <w:trPr>
          <w:trHeight w:val="270"/>
        </w:trPr>
        <w:tc>
          <w:tcPr>
            <w:tcW w:w="1635" w:type="dxa"/>
            <w:tcBorders>
              <w:top w:val="single" w:sz="8" w:space="0" w:color="auto"/>
              <w:left w:val="single" w:sz="8" w:space="0" w:color="auto"/>
              <w:bottom w:val="single" w:sz="8" w:space="0" w:color="auto"/>
              <w:right w:val="single" w:sz="4" w:space="0" w:color="auto"/>
            </w:tcBorders>
            <w:shd w:val="clear" w:color="auto" w:fill="CCCCFF"/>
            <w:noWrap/>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b/>
                <w:bCs/>
                <w:sz w:val="20"/>
                <w:szCs w:val="16"/>
              </w:rPr>
            </w:pPr>
            <w:r>
              <w:rPr>
                <w:rFonts w:ascii="Arial Narrow" w:hAnsi="Arial Narrow"/>
                <w:b/>
                <w:bCs/>
                <w:sz w:val="20"/>
                <w:szCs w:val="16"/>
              </w:rPr>
              <w:t>Kraj</w:t>
            </w:r>
          </w:p>
        </w:tc>
        <w:tc>
          <w:tcPr>
            <w:tcW w:w="162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center"/>
          </w:tcPr>
          <w:p w:rsidR="004C20F3">
            <w:pPr>
              <w:bidi w:val="0"/>
              <w:ind w:firstLine="165"/>
              <w:jc w:val="center"/>
              <w:rPr>
                <w:rFonts w:ascii="Arial Narrow" w:eastAsia="Arial Unicode MS" w:hAnsi="Arial Narrow"/>
                <w:b/>
                <w:bCs/>
                <w:sz w:val="20"/>
                <w:szCs w:val="16"/>
              </w:rPr>
            </w:pPr>
            <w:r>
              <w:rPr>
                <w:rFonts w:ascii="Arial Narrow" w:hAnsi="Arial Narrow"/>
                <w:b/>
                <w:bCs/>
                <w:sz w:val="20"/>
                <w:szCs w:val="16"/>
              </w:rPr>
              <w:t>Mesto</w:t>
            </w:r>
          </w:p>
        </w:tc>
        <w:tc>
          <w:tcPr>
            <w:tcW w:w="126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b/>
                <w:bCs/>
                <w:sz w:val="20"/>
                <w:szCs w:val="16"/>
              </w:rPr>
            </w:pPr>
            <w:r>
              <w:rPr>
                <w:rFonts w:ascii="Arial Narrow" w:hAnsi="Arial Narrow"/>
                <w:b/>
                <w:bCs/>
                <w:sz w:val="20"/>
                <w:szCs w:val="16"/>
              </w:rPr>
              <w:t>Pracovisko</w:t>
            </w:r>
          </w:p>
        </w:tc>
        <w:tc>
          <w:tcPr>
            <w:tcW w:w="1260" w:type="dxa"/>
            <w:tcBorders>
              <w:top w:val="single" w:sz="8" w:space="0" w:color="auto"/>
              <w:left w:val="single" w:sz="8" w:space="0" w:color="auto"/>
              <w:bottom w:val="single" w:sz="8" w:space="0" w:color="auto"/>
              <w:right w:val="single" w:sz="4" w:space="0" w:color="auto"/>
            </w:tcBorders>
            <w:shd w:val="clear" w:color="auto" w:fill="CCCCFF"/>
            <w:noWrap/>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b/>
                <w:bCs/>
                <w:sz w:val="20"/>
                <w:szCs w:val="16"/>
              </w:rPr>
            </w:pPr>
            <w:r>
              <w:rPr>
                <w:rFonts w:ascii="Arial Narrow" w:hAnsi="Arial Narrow"/>
                <w:b/>
                <w:bCs/>
                <w:sz w:val="20"/>
                <w:szCs w:val="16"/>
              </w:rPr>
              <w:t>Kraj/RMSM</w:t>
            </w:r>
          </w:p>
        </w:tc>
        <w:tc>
          <w:tcPr>
            <w:tcW w:w="180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center"/>
          </w:tcPr>
          <w:p w:rsidR="004C20F3">
            <w:pPr>
              <w:bidi w:val="0"/>
              <w:ind w:firstLine="165"/>
              <w:jc w:val="center"/>
              <w:rPr>
                <w:rFonts w:ascii="Arial Narrow" w:eastAsia="Arial Unicode MS" w:hAnsi="Arial Narrow"/>
                <w:b/>
                <w:bCs/>
                <w:sz w:val="20"/>
                <w:szCs w:val="16"/>
              </w:rPr>
            </w:pPr>
            <w:r>
              <w:rPr>
                <w:rFonts w:ascii="Arial Narrow" w:hAnsi="Arial Narrow"/>
                <w:b/>
                <w:bCs/>
                <w:sz w:val="20"/>
                <w:szCs w:val="16"/>
              </w:rPr>
              <w:t>Mesto</w:t>
            </w:r>
          </w:p>
        </w:tc>
        <w:tc>
          <w:tcPr>
            <w:tcW w:w="1440" w:type="dxa"/>
            <w:tcBorders>
              <w:top w:val="single" w:sz="8" w:space="0" w:color="auto"/>
              <w:left w:val="nil"/>
              <w:bottom w:val="single" w:sz="8" w:space="0" w:color="auto"/>
              <w:right w:val="single" w:sz="4" w:space="0" w:color="auto"/>
            </w:tcBorders>
            <w:shd w:val="clear" w:color="auto" w:fill="CCCCFF"/>
            <w:noWrap/>
            <w:tcMar>
              <w:top w:w="15" w:type="dxa"/>
              <w:left w:w="15" w:type="dxa"/>
              <w:bottom w:w="0" w:type="dxa"/>
              <w:right w:w="15" w:type="dxa"/>
            </w:tcMar>
            <w:textDirection w:val="lrTb"/>
            <w:vAlign w:val="center"/>
          </w:tcPr>
          <w:p w:rsidR="004C20F3">
            <w:pPr>
              <w:bidi w:val="0"/>
              <w:ind w:firstLine="180"/>
              <w:jc w:val="center"/>
              <w:rPr>
                <w:rFonts w:ascii="Arial Narrow" w:eastAsia="Arial Unicode MS" w:hAnsi="Arial Narrow"/>
                <w:b/>
                <w:bCs/>
                <w:sz w:val="20"/>
                <w:szCs w:val="16"/>
              </w:rPr>
            </w:pPr>
            <w:r>
              <w:rPr>
                <w:rFonts w:ascii="Arial Narrow" w:hAnsi="Arial Narrow"/>
                <w:b/>
                <w:bCs/>
                <w:sz w:val="20"/>
                <w:szCs w:val="16"/>
              </w:rPr>
              <w:t>Pracovisko</w:t>
            </w:r>
          </w:p>
        </w:tc>
      </w:tr>
      <w:tr>
        <w:tblPrEx>
          <w:tblW w:w="9015" w:type="dxa"/>
          <w:tblLayout w:type="fixed"/>
          <w:tblCellMar>
            <w:left w:w="0" w:type="dxa"/>
            <w:right w:w="0" w:type="dxa"/>
          </w:tblCellMar>
        </w:tblPrEx>
        <w:trPr>
          <w:cantSplit/>
          <w:trHeight w:val="255"/>
        </w:trPr>
        <w:tc>
          <w:tcPr>
            <w:tcW w:w="1635"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textDirection w:val="lrTb"/>
            <w:vAlign w:val="center"/>
          </w:tcPr>
          <w:p w:rsidR="004C20F3">
            <w:pPr>
              <w:bidi w:val="0"/>
              <w:ind w:firstLine="180"/>
              <w:jc w:val="left"/>
              <w:rPr>
                <w:rFonts w:ascii="Arial Narrow" w:eastAsia="Arial Unicode MS" w:hAnsi="Arial Narrow"/>
                <w:b/>
                <w:bCs/>
                <w:sz w:val="20"/>
                <w:szCs w:val="16"/>
              </w:rPr>
            </w:pPr>
            <w:r>
              <w:rPr>
                <w:rFonts w:ascii="Arial Narrow" w:hAnsi="Arial Narrow"/>
                <w:b/>
                <w:bCs/>
                <w:sz w:val="20"/>
                <w:szCs w:val="16"/>
              </w:rPr>
              <w:t>Banskobystrický</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Banská Bystrica</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b/>
                <w:bCs/>
                <w:sz w:val="20"/>
                <w:szCs w:val="16"/>
              </w:rPr>
            </w:pPr>
            <w:r>
              <w:rPr>
                <w:rFonts w:ascii="Arial Narrow" w:hAnsi="Arial Narrow"/>
                <w:b/>
                <w:bCs/>
                <w:sz w:val="20"/>
                <w:szCs w:val="16"/>
              </w:rPr>
              <w:t>Prešovský</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Humenné</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Lučenec</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Poprad</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Rimavská Sobota</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Prešov</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Veľký Krtíš</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Stará Ľubovňa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Zvolen</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Svidník</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Žiar nad Hronom</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b/>
                <w:bCs/>
                <w:sz w:val="20"/>
                <w:szCs w:val="16"/>
              </w:rPr>
            </w:pPr>
            <w:r>
              <w:rPr>
                <w:rFonts w:ascii="Arial Narrow" w:hAnsi="Arial Narrow"/>
                <w:b/>
                <w:bCs/>
                <w:sz w:val="20"/>
                <w:szCs w:val="16"/>
              </w:rPr>
              <w:t>Trenčiansky</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Považská Bystrica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textDirection w:val="lrTb"/>
            <w:vAlign w:val="center"/>
          </w:tcPr>
          <w:p w:rsidR="004C20F3">
            <w:pPr>
              <w:bidi w:val="0"/>
              <w:ind w:firstLine="180"/>
              <w:jc w:val="left"/>
              <w:rPr>
                <w:rFonts w:ascii="Arial Narrow" w:eastAsia="Arial Unicode MS" w:hAnsi="Arial Narrow"/>
                <w:b/>
                <w:bCs/>
                <w:sz w:val="20"/>
                <w:szCs w:val="16"/>
              </w:rPr>
            </w:pPr>
            <w:r>
              <w:rPr>
                <w:rFonts w:ascii="Arial Narrow" w:hAnsi="Arial Narrow"/>
                <w:b/>
                <w:bCs/>
                <w:sz w:val="20"/>
                <w:szCs w:val="16"/>
              </w:rPr>
              <w:t>Bratislavský</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Bratislava 11</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Prievidza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Bratislava 214</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Trenčín</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Modra</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Bánovce n/Bebravou</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Pezinok</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b/>
                <w:bCs/>
                <w:sz w:val="20"/>
                <w:szCs w:val="16"/>
              </w:rPr>
            </w:pPr>
            <w:r>
              <w:rPr>
                <w:rFonts w:ascii="Arial Narrow" w:hAnsi="Arial Narrow"/>
                <w:b/>
                <w:bCs/>
                <w:sz w:val="20"/>
                <w:szCs w:val="16"/>
              </w:rPr>
              <w:t>Trnavský</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Dunajská Streda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val="restart"/>
            <w:tcBorders>
              <w:top w:val="nil"/>
              <w:left w:val="single" w:sz="8" w:space="0" w:color="auto"/>
              <w:bottom w:val="single" w:sz="4" w:space="0" w:color="auto"/>
              <w:right w:val="single" w:sz="4" w:space="0" w:color="auto"/>
            </w:tcBorders>
            <w:noWrap/>
            <w:tcMar>
              <w:top w:w="15" w:type="dxa"/>
              <w:left w:w="15" w:type="dxa"/>
              <w:bottom w:w="0" w:type="dxa"/>
              <w:right w:w="15" w:type="dxa"/>
            </w:tcMar>
            <w:textDirection w:val="lrTb"/>
            <w:vAlign w:val="center"/>
          </w:tcPr>
          <w:p w:rsidR="004C20F3">
            <w:pPr>
              <w:bidi w:val="0"/>
              <w:ind w:firstLine="180"/>
              <w:jc w:val="left"/>
              <w:rPr>
                <w:rFonts w:ascii="Arial Narrow" w:eastAsia="Arial Unicode MS" w:hAnsi="Arial Narrow"/>
                <w:b/>
                <w:bCs/>
                <w:sz w:val="20"/>
                <w:szCs w:val="16"/>
              </w:rPr>
            </w:pPr>
            <w:r>
              <w:rPr>
                <w:rFonts w:ascii="Arial Narrow" w:hAnsi="Arial Narrow"/>
                <w:b/>
                <w:bCs/>
                <w:sz w:val="20"/>
                <w:szCs w:val="16"/>
              </w:rPr>
              <w:t>Košický</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Košice 1</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Piešťany</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Košice 12</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Senica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Košice 21</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Trnava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Michalovce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val="restart"/>
            <w:tcBorders>
              <w:top w:val="nil"/>
              <w:left w:val="single" w:sz="4" w:space="0" w:color="auto"/>
              <w:bottom w:val="single" w:sz="4" w:space="0" w:color="auto"/>
              <w:right w:val="single" w:sz="4" w:space="0" w:color="auto"/>
            </w:tcBorders>
            <w:noWrap/>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b/>
                <w:bCs/>
                <w:sz w:val="20"/>
                <w:szCs w:val="16"/>
              </w:rPr>
            </w:pPr>
            <w:r>
              <w:rPr>
                <w:rFonts w:ascii="Arial Narrow" w:hAnsi="Arial Narrow"/>
                <w:b/>
                <w:bCs/>
                <w:sz w:val="20"/>
                <w:szCs w:val="16"/>
              </w:rPr>
              <w:t>Žilinský</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Čadca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Rožňava</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18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Dolný Kubín</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Spišská Nová Ves</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18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Liptovský Mikuláš</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4" w:space="0" w:color="auto"/>
              <w:right w:val="single" w:sz="4" w:space="0" w:color="auto"/>
            </w:tcBorders>
            <w:textDirection w:val="lrTb"/>
            <w:vAlign w:val="center"/>
          </w:tcPr>
          <w:p w:rsidR="004C20F3">
            <w:pPr>
              <w:bidi w:val="0"/>
              <w:ind w:firstLine="180"/>
              <w:jc w:val="left"/>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Trebišov</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18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Martin</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val="restart"/>
            <w:tcBorders>
              <w:top w:val="nil"/>
              <w:left w:val="single" w:sz="8" w:space="0" w:color="auto"/>
              <w:bottom w:val="single" w:sz="8" w:space="0" w:color="000000"/>
              <w:right w:val="single" w:sz="4" w:space="0" w:color="auto"/>
            </w:tcBorders>
            <w:noWrap/>
            <w:tcMar>
              <w:top w:w="15" w:type="dxa"/>
              <w:left w:w="15" w:type="dxa"/>
              <w:bottom w:w="0" w:type="dxa"/>
              <w:right w:w="15" w:type="dxa"/>
            </w:tcMar>
            <w:textDirection w:val="lrTb"/>
            <w:vAlign w:val="center"/>
          </w:tcPr>
          <w:p w:rsidR="004C20F3">
            <w:pPr>
              <w:bidi w:val="0"/>
              <w:ind w:firstLine="180"/>
              <w:jc w:val="left"/>
              <w:rPr>
                <w:rFonts w:ascii="Arial Narrow" w:eastAsia="Arial Unicode MS" w:hAnsi="Arial Narrow"/>
                <w:b/>
                <w:bCs/>
                <w:sz w:val="20"/>
                <w:szCs w:val="16"/>
              </w:rPr>
            </w:pPr>
            <w:r>
              <w:rPr>
                <w:rFonts w:ascii="Arial Narrow" w:hAnsi="Arial Narrow"/>
                <w:b/>
                <w:bCs/>
                <w:sz w:val="20"/>
                <w:szCs w:val="16"/>
              </w:rPr>
              <w:t>Nitriansky</w:t>
            </w: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Komárno</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nil"/>
              <w:left w:val="single" w:sz="4" w:space="0" w:color="auto"/>
              <w:bottom w:val="single" w:sz="4" w:space="0" w:color="auto"/>
              <w:right w:val="single" w:sz="4" w:space="0" w:color="auto"/>
            </w:tcBorders>
            <w:textDirection w:val="lrTb"/>
            <w:vAlign w:val="center"/>
          </w:tcPr>
          <w:p w:rsidR="004C20F3">
            <w:pPr>
              <w:bidi w:val="0"/>
              <w:ind w:firstLine="18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Žilina</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16"/>
              </w:rPr>
            </w:pPr>
            <w:r>
              <w:rPr>
                <w:rFonts w:ascii="Arial Narrow" w:hAnsi="Arial Narrow"/>
                <w:sz w:val="20"/>
                <w:szCs w:val="16"/>
              </w:rPr>
              <w:t>Pošta</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8" w:space="0" w:color="000000"/>
              <w:right w:val="single" w:sz="4" w:space="0" w:color="auto"/>
            </w:tcBorders>
            <w:textDirection w:val="lrTb"/>
            <w:vAlign w:val="center"/>
          </w:tcPr>
          <w:p w:rsidR="004C20F3">
            <w:pPr>
              <w:bidi w:val="0"/>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Levice</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val="restart"/>
            <w:tcBorders>
              <w:top w:val="single" w:sz="4" w:space="0" w:color="auto"/>
              <w:left w:val="single" w:sz="4" w:space="0" w:color="auto"/>
              <w:bottom w:val="single" w:sz="8" w:space="0" w:color="000000"/>
              <w:right w:val="single" w:sz="4" w:space="0" w:color="auto"/>
            </w:tcBorders>
            <w:shd w:val="clear" w:color="auto" w:fill="CCCCFF"/>
            <w:tcMar>
              <w:top w:w="15" w:type="dxa"/>
              <w:left w:w="15" w:type="dxa"/>
              <w:bottom w:w="0" w:type="dxa"/>
              <w:right w:w="15" w:type="dxa"/>
            </w:tcMar>
            <w:textDirection w:val="lrTb"/>
            <w:vAlign w:val="center"/>
          </w:tcPr>
          <w:p w:rsidR="004C20F3">
            <w:pPr>
              <w:bidi w:val="0"/>
              <w:ind w:firstLine="180"/>
              <w:jc w:val="center"/>
              <w:rPr>
                <w:rFonts w:ascii="Arial Narrow" w:eastAsia="Arial Unicode MS" w:hAnsi="Arial Narrow"/>
                <w:b/>
                <w:bCs/>
                <w:sz w:val="20"/>
                <w:szCs w:val="16"/>
              </w:rPr>
            </w:pPr>
            <w:r>
              <w:rPr>
                <w:rFonts w:ascii="Arial Narrow" w:hAnsi="Arial Narrow"/>
                <w:b/>
                <w:bCs/>
                <w:sz w:val="20"/>
                <w:szCs w:val="16"/>
              </w:rPr>
              <w:t>RMSM</w:t>
            </w: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 xml:space="preserve">Bratislava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20"/>
              </w:rPr>
            </w:pPr>
            <w:r>
              <w:rPr>
                <w:rFonts w:ascii="Arial Narrow" w:hAnsi="Arial Narrow"/>
                <w:sz w:val="20"/>
                <w:szCs w:val="20"/>
              </w:rPr>
              <w:t>pracovisko </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8" w:space="0" w:color="000000"/>
              <w:right w:val="single" w:sz="4" w:space="0" w:color="auto"/>
            </w:tcBorders>
            <w:textDirection w:val="lrTb"/>
            <w:vAlign w:val="center"/>
          </w:tcPr>
          <w:p w:rsidR="004C20F3">
            <w:pPr>
              <w:bidi w:val="0"/>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Nitra</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single" w:sz="8" w:space="0" w:color="000000"/>
              <w:left w:val="single" w:sz="4" w:space="0" w:color="auto"/>
              <w:bottom w:val="single" w:sz="8" w:space="0" w:color="000000"/>
              <w:right w:val="single" w:sz="4" w:space="0" w:color="auto"/>
            </w:tcBorders>
            <w:shd w:val="clear" w:color="auto" w:fill="CCCCFF"/>
            <w:textDirection w:val="lrTb"/>
            <w:vAlign w:val="center"/>
          </w:tcPr>
          <w:p w:rsidR="004C20F3">
            <w:pPr>
              <w:bidi w:val="0"/>
              <w:ind w:firstLine="18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 xml:space="preserve">Košice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20"/>
              </w:rPr>
            </w:pPr>
            <w:r>
              <w:rPr>
                <w:rFonts w:ascii="Arial Narrow" w:hAnsi="Arial Narrow"/>
                <w:sz w:val="20"/>
                <w:szCs w:val="20"/>
              </w:rPr>
              <w:t>pracovisko </w:t>
            </w:r>
          </w:p>
        </w:tc>
      </w:tr>
      <w:tr>
        <w:tblPrEx>
          <w:tblW w:w="9015" w:type="dxa"/>
          <w:tblLayout w:type="fixed"/>
          <w:tblCellMar>
            <w:left w:w="0" w:type="dxa"/>
            <w:right w:w="0" w:type="dxa"/>
          </w:tblCellMar>
        </w:tblPrEx>
        <w:trPr>
          <w:cantSplit/>
          <w:trHeight w:val="255"/>
        </w:trPr>
        <w:tc>
          <w:tcPr>
            <w:tcW w:w="1635" w:type="dxa"/>
            <w:vMerge/>
            <w:tcBorders>
              <w:top w:val="nil"/>
              <w:left w:val="single" w:sz="8" w:space="0" w:color="auto"/>
              <w:bottom w:val="single" w:sz="8" w:space="0" w:color="000000"/>
              <w:right w:val="single" w:sz="4" w:space="0" w:color="auto"/>
            </w:tcBorders>
            <w:textDirection w:val="lrTb"/>
            <w:vAlign w:val="center"/>
          </w:tcPr>
          <w:p w:rsidR="004C20F3">
            <w:pPr>
              <w:bidi w:val="0"/>
              <w:rPr>
                <w:rFonts w:ascii="Arial Narrow" w:eastAsia="Arial Unicode MS" w:hAnsi="Arial Narrow"/>
                <w:b/>
                <w:bCs/>
                <w:sz w:val="20"/>
                <w:szCs w:val="16"/>
              </w:rPr>
            </w:pPr>
          </w:p>
        </w:tc>
        <w:tc>
          <w:tcPr>
            <w:tcW w:w="162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Nové Zámky</w:t>
            </w:r>
          </w:p>
        </w:tc>
        <w:tc>
          <w:tcPr>
            <w:tcW w:w="126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single" w:sz="8" w:space="0" w:color="000000"/>
              <w:left w:val="single" w:sz="4" w:space="0" w:color="auto"/>
              <w:bottom w:val="single" w:sz="8" w:space="0" w:color="000000"/>
              <w:right w:val="single" w:sz="4" w:space="0" w:color="auto"/>
            </w:tcBorders>
            <w:shd w:val="clear" w:color="auto" w:fill="CCCCFF"/>
            <w:textDirection w:val="lrTb"/>
            <w:vAlign w:val="center"/>
          </w:tcPr>
          <w:p w:rsidR="004C20F3">
            <w:pPr>
              <w:bidi w:val="0"/>
              <w:ind w:firstLine="180"/>
              <w:rPr>
                <w:rFonts w:ascii="Arial Narrow" w:eastAsia="Arial Unicode MS" w:hAnsi="Arial Narrow"/>
                <w:b/>
                <w:bCs/>
                <w:sz w:val="20"/>
                <w:szCs w:val="16"/>
              </w:rPr>
            </w:pPr>
          </w:p>
        </w:tc>
        <w:tc>
          <w:tcPr>
            <w:tcW w:w="1800" w:type="dxa"/>
            <w:tcBorders>
              <w:top w:val="nil"/>
              <w:left w:val="nil"/>
              <w:bottom w:val="single" w:sz="4"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 xml:space="preserve">Nitra </w:t>
            </w:r>
          </w:p>
        </w:tc>
        <w:tc>
          <w:tcPr>
            <w:tcW w:w="1440" w:type="dxa"/>
            <w:tcBorders>
              <w:top w:val="nil"/>
              <w:left w:val="nil"/>
              <w:bottom w:val="single" w:sz="4"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sz w:val="20"/>
                <w:szCs w:val="20"/>
              </w:rPr>
            </w:pPr>
            <w:r>
              <w:rPr>
                <w:rFonts w:ascii="Arial Narrow" w:hAnsi="Arial Narrow"/>
                <w:sz w:val="20"/>
                <w:szCs w:val="20"/>
              </w:rPr>
              <w:t>pracovisko </w:t>
            </w:r>
          </w:p>
        </w:tc>
      </w:tr>
      <w:tr>
        <w:tblPrEx>
          <w:tblW w:w="9015" w:type="dxa"/>
          <w:tblLayout w:type="fixed"/>
          <w:tblCellMar>
            <w:left w:w="0" w:type="dxa"/>
            <w:right w:w="0" w:type="dxa"/>
          </w:tblCellMar>
        </w:tblPrEx>
        <w:trPr>
          <w:cantSplit/>
          <w:trHeight w:val="270"/>
        </w:trPr>
        <w:tc>
          <w:tcPr>
            <w:tcW w:w="1635" w:type="dxa"/>
            <w:vMerge/>
            <w:tcBorders>
              <w:top w:val="nil"/>
              <w:left w:val="single" w:sz="8" w:space="0" w:color="auto"/>
              <w:bottom w:val="single" w:sz="8" w:space="0" w:color="000000"/>
              <w:right w:val="single" w:sz="4" w:space="0" w:color="auto"/>
            </w:tcBorders>
            <w:textDirection w:val="lrTb"/>
            <w:vAlign w:val="center"/>
          </w:tcPr>
          <w:p w:rsidR="004C20F3">
            <w:pPr>
              <w:bidi w:val="0"/>
              <w:rPr>
                <w:rFonts w:ascii="Arial Narrow" w:eastAsia="Arial Unicode MS" w:hAnsi="Arial Narrow"/>
                <w:b/>
                <w:bCs/>
                <w:sz w:val="20"/>
                <w:szCs w:val="16"/>
              </w:rPr>
            </w:pPr>
          </w:p>
        </w:tc>
        <w:tc>
          <w:tcPr>
            <w:tcW w:w="1620" w:type="dxa"/>
            <w:tcBorders>
              <w:top w:val="nil"/>
              <w:left w:val="nil"/>
              <w:bottom w:val="single" w:sz="8"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sz w:val="20"/>
                <w:szCs w:val="16"/>
              </w:rPr>
            </w:pPr>
            <w:r>
              <w:rPr>
                <w:rFonts w:ascii="Arial Narrow" w:hAnsi="Arial Narrow"/>
                <w:sz w:val="20"/>
                <w:szCs w:val="16"/>
              </w:rPr>
              <w:t>Topoľčany</w:t>
            </w:r>
          </w:p>
        </w:tc>
        <w:tc>
          <w:tcPr>
            <w:tcW w:w="1260" w:type="dxa"/>
            <w:tcBorders>
              <w:top w:val="nil"/>
              <w:left w:val="nil"/>
              <w:bottom w:val="single" w:sz="8" w:space="0" w:color="auto"/>
              <w:right w:val="single" w:sz="4" w:space="0" w:color="auto"/>
            </w:tcBorders>
            <w:noWrap/>
            <w:tcMar>
              <w:top w:w="15" w:type="dxa"/>
              <w:left w:w="15" w:type="dxa"/>
              <w:bottom w:w="0" w:type="dxa"/>
              <w:right w:w="15" w:type="dxa"/>
            </w:tcMar>
            <w:textDirection w:val="lrTb"/>
            <w:vAlign w:val="bottom"/>
          </w:tcPr>
          <w:p w:rsidR="004C20F3">
            <w:pPr>
              <w:bidi w:val="0"/>
              <w:ind w:firstLine="274"/>
              <w:rPr>
                <w:rFonts w:ascii="Arial Narrow" w:eastAsia="Arial Unicode MS" w:hAnsi="Arial Narrow"/>
                <w:sz w:val="20"/>
                <w:szCs w:val="16"/>
              </w:rPr>
            </w:pPr>
            <w:r>
              <w:rPr>
                <w:rFonts w:ascii="Arial Narrow" w:hAnsi="Arial Narrow"/>
                <w:sz w:val="20"/>
                <w:szCs w:val="16"/>
              </w:rPr>
              <w:t>Pošta</w:t>
            </w:r>
          </w:p>
        </w:tc>
        <w:tc>
          <w:tcPr>
            <w:tcW w:w="1260" w:type="dxa"/>
            <w:vMerge/>
            <w:tcBorders>
              <w:top w:val="single" w:sz="8" w:space="0" w:color="000000"/>
              <w:left w:val="single" w:sz="4" w:space="0" w:color="auto"/>
              <w:bottom w:val="single" w:sz="8" w:space="0" w:color="000000"/>
              <w:right w:val="single" w:sz="4" w:space="0" w:color="auto"/>
            </w:tcBorders>
            <w:shd w:val="clear" w:color="auto" w:fill="CCCCFF"/>
            <w:textDirection w:val="lrTb"/>
            <w:vAlign w:val="center"/>
          </w:tcPr>
          <w:p w:rsidR="004C20F3">
            <w:pPr>
              <w:bidi w:val="0"/>
              <w:ind w:firstLine="180"/>
              <w:rPr>
                <w:rFonts w:ascii="Arial Narrow" w:eastAsia="Arial Unicode MS" w:hAnsi="Arial Narrow"/>
                <w:b/>
                <w:bCs/>
                <w:sz w:val="20"/>
                <w:szCs w:val="16"/>
              </w:rPr>
            </w:pPr>
          </w:p>
        </w:tc>
        <w:tc>
          <w:tcPr>
            <w:tcW w:w="1800" w:type="dxa"/>
            <w:tcBorders>
              <w:top w:val="nil"/>
              <w:left w:val="nil"/>
              <w:bottom w:val="single" w:sz="8" w:space="0" w:color="auto"/>
              <w:right w:val="single" w:sz="4" w:space="0" w:color="auto"/>
            </w:tcBorders>
            <w:noWrap/>
            <w:tcMar>
              <w:top w:w="15" w:type="dxa"/>
              <w:left w:w="15" w:type="dxa"/>
              <w:bottom w:w="0" w:type="dxa"/>
              <w:right w:w="15" w:type="dxa"/>
            </w:tcMar>
            <w:textDirection w:val="lrTb"/>
            <w:vAlign w:val="bottom"/>
          </w:tcPr>
          <w:p w:rsidR="004C20F3">
            <w:pPr>
              <w:bidi w:val="0"/>
              <w:ind w:firstLine="165"/>
              <w:rPr>
                <w:rFonts w:ascii="Arial Narrow" w:eastAsia="Arial Unicode MS" w:hAnsi="Arial Narrow" w:cs="Arial"/>
                <w:sz w:val="20"/>
                <w:szCs w:val="20"/>
              </w:rPr>
            </w:pPr>
            <w:r>
              <w:rPr>
                <w:rFonts w:ascii="Arial Narrow" w:hAnsi="Arial Narrow" w:cs="Arial"/>
                <w:sz w:val="20"/>
                <w:szCs w:val="20"/>
              </w:rPr>
              <w:t> </w:t>
            </w:r>
          </w:p>
        </w:tc>
        <w:tc>
          <w:tcPr>
            <w:tcW w:w="1440" w:type="dxa"/>
            <w:tcBorders>
              <w:top w:val="nil"/>
              <w:left w:val="nil"/>
              <w:bottom w:val="single" w:sz="8" w:space="0" w:color="auto"/>
              <w:right w:val="single" w:sz="8" w:space="0" w:color="auto"/>
            </w:tcBorders>
            <w:noWrap/>
            <w:tcMar>
              <w:top w:w="15" w:type="dxa"/>
              <w:left w:w="15" w:type="dxa"/>
              <w:bottom w:w="0" w:type="dxa"/>
              <w:right w:w="15" w:type="dxa"/>
            </w:tcMar>
            <w:textDirection w:val="lrTb"/>
            <w:vAlign w:val="bottom"/>
          </w:tcPr>
          <w:p w:rsidR="004C20F3">
            <w:pPr>
              <w:bidi w:val="0"/>
              <w:ind w:firstLine="180"/>
              <w:rPr>
                <w:rFonts w:ascii="Arial Narrow" w:eastAsia="Arial Unicode MS" w:hAnsi="Arial Narrow" w:cs="Arial"/>
                <w:sz w:val="20"/>
                <w:szCs w:val="20"/>
              </w:rPr>
            </w:pPr>
            <w:r>
              <w:rPr>
                <w:rFonts w:ascii="Arial Narrow" w:hAnsi="Arial Narrow" w:cs="Arial"/>
                <w:sz w:val="20"/>
                <w:szCs w:val="20"/>
              </w:rPr>
              <w:t> </w:t>
            </w:r>
          </w:p>
        </w:tc>
      </w:tr>
    </w:tbl>
    <w:p w:rsidR="004C20F3">
      <w:pPr>
        <w:bidi w:val="0"/>
        <w:ind w:firstLine="708"/>
        <w:rPr>
          <w:rFonts w:ascii="Times New Roman" w:hAnsi="Times New Roman"/>
        </w:rPr>
      </w:pPr>
      <w:r>
        <w:rPr>
          <w:rFonts w:ascii="Times New Roman" w:hAnsi="Times New Roman"/>
        </w:rPr>
        <w:t>Za tri mesiace roku 2009 bolo vybavených vyše 45 tisíc občanov, ktorým sa poskytlo takmer 33 tisíc výpisov z účtu majiteľa cenných papierov vedených v CDCP. Následne – dobrovoľne a podľa vlastného uváženia - uzatvorili fyzické osoby cca 27 tisíc zmlúv o prevode cenných papierov na Fond. Na ich základe bolo podaných vyše 37 tisíc príkazov na prevod cenných papierov na Fond (každý ISIN osobitne) a v CDCP bolo do konca roka 2009 zrušených cca 25 tisíc majetkových účtov.</w:t>
      </w:r>
    </w:p>
    <w:tbl>
      <w:tblPr>
        <w:tblStyle w:val="TableNormal"/>
        <w:tblW w:w="9015" w:type="dxa"/>
        <w:tblLayout w:type="fixed"/>
        <w:tblCellMar>
          <w:left w:w="0" w:type="dxa"/>
          <w:right w:w="0" w:type="dxa"/>
        </w:tblCellMar>
      </w:tblPr>
      <w:tblGrid>
        <w:gridCol w:w="4875"/>
        <w:gridCol w:w="1080"/>
        <w:gridCol w:w="180"/>
        <w:gridCol w:w="900"/>
        <w:gridCol w:w="1080"/>
        <w:gridCol w:w="900"/>
      </w:tblGrid>
      <w:tr>
        <w:tblPrEx>
          <w:tblW w:w="9015" w:type="dxa"/>
          <w:tblLayout w:type="fixed"/>
          <w:tblCellMar>
            <w:left w:w="0" w:type="dxa"/>
            <w:right w:w="0" w:type="dxa"/>
          </w:tblCellMar>
        </w:tblPrEx>
        <w:trPr>
          <w:trHeight w:val="420"/>
        </w:trPr>
        <w:tc>
          <w:tcPr>
            <w:tcW w:w="6135" w:type="dxa"/>
            <w:gridSpan w:val="3"/>
            <w:tcBorders>
              <w:top w:val="nil"/>
              <w:left w:val="nil"/>
              <w:bottom w:val="single" w:sz="8" w:space="0" w:color="auto"/>
              <w:right w:val="nil"/>
            </w:tcBorders>
            <w:noWrap/>
            <w:tcMar>
              <w:top w:w="15" w:type="dxa"/>
              <w:left w:w="15" w:type="dxa"/>
              <w:bottom w:w="0" w:type="dxa"/>
              <w:right w:w="15" w:type="dxa"/>
            </w:tcMar>
            <w:textDirection w:val="lrTb"/>
            <w:vAlign w:val="bottom"/>
          </w:tcPr>
          <w:p w:rsidR="004C20F3">
            <w:pPr>
              <w:bidi w:val="0"/>
              <w:ind w:firstLine="0"/>
              <w:rPr>
                <w:rFonts w:ascii="Times New Roman" w:eastAsia="Arial Unicode MS" w:hAnsi="Times New Roman"/>
                <w:b/>
                <w:bCs/>
                <w:szCs w:val="20"/>
              </w:rPr>
            </w:pPr>
            <w:r>
              <w:rPr>
                <w:rFonts w:ascii="Times New Roman" w:hAnsi="Times New Roman"/>
                <w:b/>
                <w:bCs/>
                <w:szCs w:val="20"/>
              </w:rPr>
              <w:t>Prehľad o službách za obdobie október až december 2009</w:t>
            </w:r>
          </w:p>
        </w:tc>
        <w:tc>
          <w:tcPr>
            <w:tcW w:w="1980" w:type="dxa"/>
            <w:gridSpan w:val="2"/>
            <w:tcBorders>
              <w:top w:val="nil"/>
              <w:left w:val="nil"/>
              <w:bottom w:val="single" w:sz="8" w:space="0" w:color="auto"/>
              <w:right w:val="nil"/>
            </w:tcBorders>
            <w:noWrap/>
            <w:tcMar>
              <w:top w:w="15" w:type="dxa"/>
              <w:left w:w="15" w:type="dxa"/>
              <w:bottom w:w="0" w:type="dxa"/>
              <w:right w:w="15" w:type="dxa"/>
            </w:tcMar>
            <w:textDirection w:val="lrTb"/>
            <w:vAlign w:val="bottom"/>
          </w:tcPr>
          <w:p w:rsidR="004C20F3">
            <w:pPr>
              <w:bidi w:val="0"/>
              <w:rPr>
                <w:rFonts w:ascii="Arial" w:eastAsia="Arial Unicode MS" w:hAnsi="Arial" w:cs="Arial"/>
                <w:sz w:val="20"/>
                <w:szCs w:val="20"/>
              </w:rPr>
            </w:pPr>
          </w:p>
        </w:tc>
        <w:tc>
          <w:tcPr>
            <w:tcW w:w="900" w:type="dxa"/>
            <w:tcBorders>
              <w:top w:val="nil"/>
              <w:left w:val="nil"/>
              <w:bottom w:val="single" w:sz="8" w:space="0" w:color="auto"/>
              <w:right w:val="nil"/>
            </w:tcBorders>
            <w:noWrap/>
            <w:tcMar>
              <w:top w:w="15" w:type="dxa"/>
              <w:left w:w="15" w:type="dxa"/>
              <w:bottom w:w="0" w:type="dxa"/>
              <w:right w:w="15" w:type="dxa"/>
            </w:tcMar>
            <w:textDirection w:val="lrTb"/>
            <w:vAlign w:val="bottom"/>
          </w:tcPr>
          <w:p w:rsidR="004C20F3">
            <w:pPr>
              <w:bidi w:val="0"/>
              <w:rPr>
                <w:rFonts w:ascii="Arial" w:eastAsia="Arial Unicode MS" w:hAnsi="Arial" w:cs="Arial"/>
                <w:sz w:val="20"/>
                <w:szCs w:val="20"/>
              </w:rPr>
            </w:pPr>
          </w:p>
        </w:tc>
      </w:tr>
      <w:tr>
        <w:tblPrEx>
          <w:tblW w:w="9015" w:type="dxa"/>
          <w:tblLayout w:type="fixed"/>
          <w:tblCellMar>
            <w:left w:w="0" w:type="dxa"/>
            <w:right w:w="0" w:type="dxa"/>
          </w:tblCellMar>
        </w:tblPrEx>
        <w:trPr>
          <w:cantSplit/>
          <w:trHeight w:val="255"/>
        </w:trPr>
        <w:tc>
          <w:tcPr>
            <w:tcW w:w="4875" w:type="dxa"/>
            <w:vMerge w:val="restart"/>
            <w:tcBorders>
              <w:top w:val="single" w:sz="8" w:space="0" w:color="auto"/>
              <w:left w:val="single" w:sz="8" w:space="0" w:color="auto"/>
              <w:bottom w:val="single" w:sz="8" w:space="0" w:color="000000"/>
              <w:right w:val="single" w:sz="8" w:space="0" w:color="auto"/>
            </w:tcBorders>
            <w:shd w:val="clear" w:color="auto" w:fill="CCCCFF"/>
            <w:tcMar>
              <w:top w:w="15" w:type="dxa"/>
              <w:left w:w="15" w:type="dxa"/>
              <w:bottom w:w="0" w:type="dxa"/>
              <w:right w:w="15" w:type="dxa"/>
            </w:tcMar>
            <w:textDirection w:val="lrTb"/>
            <w:vAlign w:val="bottom"/>
          </w:tcPr>
          <w:p w:rsidR="004C20F3">
            <w:pPr>
              <w:bidi w:val="0"/>
              <w:rPr>
                <w:rFonts w:ascii="Arial Narrow" w:eastAsia="Arial Unicode MS" w:hAnsi="Arial Narrow" w:cs="Arial"/>
                <w:b/>
                <w:bCs/>
                <w:sz w:val="20"/>
                <w:szCs w:val="20"/>
              </w:rPr>
            </w:pPr>
            <w:r>
              <w:rPr>
                <w:rFonts w:ascii="Arial Narrow" w:hAnsi="Arial Narrow" w:cs="Arial"/>
                <w:b/>
                <w:bCs/>
                <w:sz w:val="20"/>
                <w:szCs w:val="20"/>
              </w:rPr>
              <w:t>Názov služby</w:t>
            </w:r>
          </w:p>
        </w:tc>
        <w:tc>
          <w:tcPr>
            <w:tcW w:w="3240" w:type="dxa"/>
            <w:gridSpan w:val="4"/>
            <w:tcBorders>
              <w:top w:val="single" w:sz="8" w:space="0" w:color="auto"/>
              <w:left w:val="nil"/>
              <w:bottom w:val="single" w:sz="4" w:space="0" w:color="auto"/>
              <w:right w:val="single" w:sz="8" w:space="0" w:color="000000"/>
            </w:tcBorders>
            <w:shd w:val="clear" w:color="auto" w:fill="CCCCFF"/>
            <w:tcMar>
              <w:top w:w="15" w:type="dxa"/>
              <w:left w:w="15" w:type="dxa"/>
              <w:bottom w:w="0" w:type="dxa"/>
              <w:right w:w="15" w:type="dxa"/>
            </w:tcMar>
            <w:textDirection w:val="lrTb"/>
            <w:vAlign w:val="bottom"/>
          </w:tcPr>
          <w:p w:rsidR="004C20F3">
            <w:pPr>
              <w:bidi w:val="0"/>
              <w:jc w:val="center"/>
              <w:rPr>
                <w:rFonts w:ascii="Arial Narrow" w:eastAsia="Arial Unicode MS" w:hAnsi="Arial Narrow" w:cs="Arial"/>
                <w:b/>
                <w:bCs/>
                <w:sz w:val="20"/>
                <w:szCs w:val="20"/>
              </w:rPr>
            </w:pPr>
            <w:r>
              <w:rPr>
                <w:rFonts w:ascii="Arial Narrow" w:hAnsi="Arial Narrow" w:cs="Arial"/>
                <w:b/>
                <w:bCs/>
                <w:sz w:val="20"/>
                <w:szCs w:val="20"/>
              </w:rPr>
              <w:t>Počet fyzických osôb</w:t>
            </w:r>
          </w:p>
        </w:tc>
        <w:tc>
          <w:tcPr>
            <w:tcW w:w="900" w:type="dxa"/>
            <w:vMerge w:val="restart"/>
            <w:tcBorders>
              <w:top w:val="single" w:sz="8" w:space="0" w:color="auto"/>
              <w:left w:val="single" w:sz="8" w:space="0" w:color="auto"/>
              <w:bottom w:val="single" w:sz="8" w:space="0" w:color="000000"/>
              <w:right w:val="single" w:sz="8" w:space="0" w:color="auto"/>
            </w:tcBorders>
            <w:shd w:val="clear" w:color="auto" w:fill="CCCCFF"/>
            <w:tcMar>
              <w:top w:w="15" w:type="dxa"/>
              <w:left w:w="15" w:type="dxa"/>
              <w:bottom w:w="0" w:type="dxa"/>
              <w:right w:w="15" w:type="dxa"/>
            </w:tcMar>
            <w:textDirection w:val="lrTb"/>
            <w:vAlign w:val="center"/>
          </w:tcPr>
          <w:p w:rsidR="004C20F3">
            <w:pPr>
              <w:bidi w:val="0"/>
              <w:ind w:firstLine="0"/>
              <w:jc w:val="center"/>
              <w:rPr>
                <w:rFonts w:ascii="Arial Narrow" w:eastAsia="Arial Unicode MS" w:hAnsi="Arial Narrow" w:cs="Arial"/>
                <w:b/>
                <w:bCs/>
                <w:sz w:val="20"/>
                <w:szCs w:val="20"/>
              </w:rPr>
            </w:pPr>
            <w:r>
              <w:rPr>
                <w:rFonts w:ascii="Arial Narrow" w:eastAsia="Arial Unicode MS" w:hAnsi="Arial Narrow" w:cs="Arial"/>
                <w:b/>
                <w:bCs/>
                <w:sz w:val="20"/>
                <w:szCs w:val="20"/>
              </w:rPr>
              <w:t>Spolu za 3 mesiace</w:t>
            </w:r>
          </w:p>
        </w:tc>
      </w:tr>
      <w:tr>
        <w:tblPrEx>
          <w:tblW w:w="9015" w:type="dxa"/>
          <w:tblLayout w:type="fixed"/>
          <w:tblCellMar>
            <w:left w:w="0" w:type="dxa"/>
            <w:right w:w="0" w:type="dxa"/>
          </w:tblCellMar>
        </w:tblPrEx>
        <w:trPr>
          <w:cantSplit/>
          <w:trHeight w:val="270"/>
        </w:trPr>
        <w:tc>
          <w:tcPr>
            <w:tcW w:w="4875" w:type="dxa"/>
            <w:vMerge/>
            <w:tcBorders>
              <w:top w:val="single" w:sz="8" w:space="0" w:color="auto"/>
              <w:left w:val="single" w:sz="8" w:space="0" w:color="auto"/>
              <w:bottom w:val="single" w:sz="8" w:space="0" w:color="000000"/>
              <w:right w:val="single" w:sz="8" w:space="0" w:color="auto"/>
            </w:tcBorders>
            <w:textDirection w:val="lrTb"/>
            <w:vAlign w:val="center"/>
          </w:tcPr>
          <w:p w:rsidR="004C20F3">
            <w:pPr>
              <w:bidi w:val="0"/>
              <w:rPr>
                <w:rFonts w:ascii="Arial Narrow" w:eastAsia="Arial Unicode MS" w:hAnsi="Arial Narrow" w:cs="Arial"/>
                <w:b/>
                <w:bCs/>
                <w:sz w:val="20"/>
                <w:szCs w:val="20"/>
              </w:rPr>
            </w:pPr>
          </w:p>
        </w:tc>
        <w:tc>
          <w:tcPr>
            <w:tcW w:w="1080" w:type="dxa"/>
            <w:tcBorders>
              <w:top w:val="single" w:sz="4" w:space="0" w:color="auto"/>
              <w:left w:val="nil"/>
              <w:bottom w:val="single" w:sz="8" w:space="0" w:color="auto"/>
              <w:right w:val="single" w:sz="4" w:space="0" w:color="auto"/>
            </w:tcBorders>
            <w:shd w:val="clear" w:color="auto" w:fill="CCCCFF"/>
            <w:tcMar>
              <w:top w:w="15" w:type="dxa"/>
              <w:left w:w="15" w:type="dxa"/>
              <w:bottom w:w="0" w:type="dxa"/>
              <w:right w:w="15" w:type="dxa"/>
            </w:tcMar>
            <w:textDirection w:val="lrTb"/>
            <w:vAlign w:val="center"/>
          </w:tcPr>
          <w:p w:rsidR="004C20F3">
            <w:pPr>
              <w:bidi w:val="0"/>
              <w:ind w:firstLine="165"/>
              <w:jc w:val="center"/>
              <w:rPr>
                <w:rFonts w:ascii="Arial Narrow" w:eastAsia="Arial Unicode MS" w:hAnsi="Arial Narrow" w:cs="Arial"/>
                <w:b/>
                <w:bCs/>
                <w:sz w:val="20"/>
                <w:szCs w:val="20"/>
              </w:rPr>
            </w:pPr>
            <w:r>
              <w:rPr>
                <w:rFonts w:ascii="Arial Narrow" w:hAnsi="Arial Narrow" w:cs="Arial"/>
                <w:b/>
                <w:bCs/>
                <w:sz w:val="20"/>
                <w:szCs w:val="20"/>
              </w:rPr>
              <w:t>10/2009</w:t>
            </w:r>
          </w:p>
        </w:tc>
        <w:tc>
          <w:tcPr>
            <w:tcW w:w="1080" w:type="dxa"/>
            <w:gridSpan w:val="2"/>
            <w:tcBorders>
              <w:top w:val="single" w:sz="4" w:space="0" w:color="auto"/>
              <w:left w:val="nil"/>
              <w:bottom w:val="single" w:sz="8" w:space="0" w:color="auto"/>
              <w:right w:val="single" w:sz="4" w:space="0" w:color="auto"/>
            </w:tcBorders>
            <w:shd w:val="clear" w:color="auto" w:fill="CCCCFF"/>
            <w:tcMar>
              <w:top w:w="15" w:type="dxa"/>
              <w:left w:w="15" w:type="dxa"/>
              <w:bottom w:w="0" w:type="dxa"/>
              <w:right w:w="15" w:type="dxa"/>
            </w:tcMar>
            <w:textDirection w:val="lrTb"/>
            <w:vAlign w:val="bottom"/>
          </w:tcPr>
          <w:p w:rsidR="004C20F3">
            <w:pPr>
              <w:bidi w:val="0"/>
              <w:ind w:firstLine="165"/>
              <w:jc w:val="center"/>
              <w:rPr>
                <w:rFonts w:ascii="Arial Narrow" w:eastAsia="Arial Unicode MS" w:hAnsi="Arial Narrow" w:cs="Arial"/>
                <w:b/>
                <w:bCs/>
                <w:sz w:val="20"/>
                <w:szCs w:val="20"/>
              </w:rPr>
            </w:pPr>
            <w:r>
              <w:rPr>
                <w:rFonts w:ascii="Arial Narrow" w:hAnsi="Arial Narrow" w:cs="Arial"/>
                <w:b/>
                <w:bCs/>
                <w:sz w:val="20"/>
                <w:szCs w:val="20"/>
              </w:rPr>
              <w:t xml:space="preserve">11/2009 </w:t>
            </w:r>
          </w:p>
        </w:tc>
        <w:tc>
          <w:tcPr>
            <w:tcW w:w="1080" w:type="dxa"/>
            <w:tcBorders>
              <w:top w:val="single" w:sz="4" w:space="0" w:color="auto"/>
              <w:left w:val="nil"/>
              <w:bottom w:val="single" w:sz="8" w:space="0" w:color="auto"/>
              <w:right w:val="single" w:sz="8" w:space="0" w:color="auto"/>
            </w:tcBorders>
            <w:shd w:val="clear" w:color="auto" w:fill="CCCCFF"/>
            <w:tcMar>
              <w:top w:w="15" w:type="dxa"/>
              <w:left w:w="15" w:type="dxa"/>
              <w:bottom w:w="0" w:type="dxa"/>
              <w:right w:w="15" w:type="dxa"/>
            </w:tcMar>
            <w:textDirection w:val="lrTb"/>
            <w:vAlign w:val="bottom"/>
          </w:tcPr>
          <w:p w:rsidR="004C20F3">
            <w:pPr>
              <w:bidi w:val="0"/>
              <w:ind w:firstLine="165"/>
              <w:jc w:val="center"/>
              <w:rPr>
                <w:rFonts w:ascii="Arial Narrow" w:eastAsia="Arial Unicode MS" w:hAnsi="Arial Narrow" w:cs="Arial"/>
                <w:b/>
                <w:bCs/>
                <w:sz w:val="20"/>
                <w:szCs w:val="20"/>
              </w:rPr>
            </w:pPr>
            <w:r>
              <w:rPr>
                <w:rFonts w:ascii="Arial Narrow" w:hAnsi="Arial Narrow" w:cs="Arial"/>
                <w:b/>
                <w:bCs/>
                <w:sz w:val="20"/>
                <w:szCs w:val="20"/>
              </w:rPr>
              <w:t>12/2009</w:t>
            </w:r>
          </w:p>
        </w:tc>
        <w:tc>
          <w:tcPr>
            <w:tcW w:w="900" w:type="dxa"/>
            <w:vMerge/>
            <w:tcBorders>
              <w:top w:val="single" w:sz="8" w:space="0" w:color="auto"/>
              <w:left w:val="single" w:sz="8" w:space="0" w:color="auto"/>
              <w:bottom w:val="single" w:sz="8" w:space="0" w:color="000000"/>
              <w:right w:val="single" w:sz="8" w:space="0" w:color="auto"/>
            </w:tcBorders>
            <w:textDirection w:val="lrTb"/>
            <w:vAlign w:val="center"/>
          </w:tcPr>
          <w:p w:rsidR="004C20F3">
            <w:pPr>
              <w:bidi w:val="0"/>
              <w:rPr>
                <w:rFonts w:ascii="Arial Narrow" w:eastAsia="Arial Unicode MS" w:hAnsi="Arial Narrow" w:cs="Arial"/>
                <w:b/>
                <w:bCs/>
                <w:sz w:val="20"/>
                <w:szCs w:val="20"/>
              </w:rPr>
            </w:pPr>
          </w:p>
        </w:tc>
      </w:tr>
      <w:tr>
        <w:tblPrEx>
          <w:tblW w:w="9015" w:type="dxa"/>
          <w:tblLayout w:type="fixed"/>
          <w:tblCellMar>
            <w:left w:w="0" w:type="dxa"/>
            <w:right w:w="0" w:type="dxa"/>
          </w:tblCellMar>
        </w:tblPrEx>
        <w:trPr>
          <w:trHeight w:val="255"/>
        </w:trPr>
        <w:tc>
          <w:tcPr>
            <w:tcW w:w="4875" w:type="dxa"/>
            <w:tcBorders>
              <w:top w:val="nil"/>
              <w:left w:val="single" w:sz="8" w:space="0" w:color="auto"/>
              <w:bottom w:val="single" w:sz="4" w:space="0" w:color="auto"/>
              <w:right w:val="single" w:sz="8" w:space="0" w:color="auto"/>
            </w:tcBorders>
            <w:tcMar>
              <w:top w:w="15" w:type="dxa"/>
              <w:left w:w="15" w:type="dxa"/>
              <w:bottom w:w="0" w:type="dxa"/>
              <w:right w:w="15" w:type="dxa"/>
            </w:tcMar>
            <w:textDirection w:val="lrTb"/>
            <w:vAlign w:val="center"/>
          </w:tcPr>
          <w:p w:rsidR="004C20F3">
            <w:pPr>
              <w:bidi w:val="0"/>
              <w:ind w:firstLine="0"/>
              <w:jc w:val="left"/>
              <w:rPr>
                <w:rFonts w:ascii="Arial Narrow" w:eastAsia="Arial Unicode MS" w:hAnsi="Arial Narrow" w:cs="Arial"/>
                <w:sz w:val="20"/>
                <w:szCs w:val="20"/>
              </w:rPr>
            </w:pPr>
            <w:r>
              <w:rPr>
                <w:rFonts w:ascii="Arial Narrow" w:hAnsi="Arial Narrow" w:cs="Arial"/>
                <w:sz w:val="20"/>
                <w:szCs w:val="20"/>
              </w:rPr>
              <w:t>Identifikácia majiteľa cenných papierov</w:t>
            </w:r>
          </w:p>
        </w:tc>
        <w:tc>
          <w:tcPr>
            <w:tcW w:w="1080" w:type="dxa"/>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jc w:val="center"/>
              <w:rPr>
                <w:rFonts w:ascii="Arial Narrow" w:eastAsia="Arial Unicode MS" w:hAnsi="Arial Narrow" w:cs="Arial"/>
                <w:sz w:val="20"/>
                <w:szCs w:val="20"/>
              </w:rPr>
            </w:pPr>
            <w:r>
              <w:rPr>
                <w:rFonts w:ascii="Arial Narrow" w:hAnsi="Arial Narrow" w:cs="Arial"/>
                <w:sz w:val="20"/>
                <w:szCs w:val="20"/>
              </w:rPr>
              <w:t>6 578</w:t>
            </w:r>
          </w:p>
        </w:tc>
        <w:tc>
          <w:tcPr>
            <w:tcW w:w="1080" w:type="dxa"/>
            <w:gridSpan w:val="2"/>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19 341</w:t>
            </w:r>
          </w:p>
        </w:tc>
        <w:tc>
          <w:tcPr>
            <w:tcW w:w="108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19 253</w:t>
            </w:r>
          </w:p>
        </w:tc>
        <w:tc>
          <w:tcPr>
            <w:tcW w:w="90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b/>
                <w:bCs/>
                <w:sz w:val="20"/>
                <w:szCs w:val="20"/>
              </w:rPr>
            </w:pPr>
            <w:r>
              <w:rPr>
                <w:rFonts w:ascii="Arial Narrow" w:hAnsi="Arial Narrow" w:cs="Arial"/>
                <w:b/>
                <w:bCs/>
                <w:sz w:val="20"/>
                <w:szCs w:val="20"/>
              </w:rPr>
              <w:t>45 172</w:t>
            </w:r>
          </w:p>
        </w:tc>
      </w:tr>
      <w:tr>
        <w:tblPrEx>
          <w:tblW w:w="9015" w:type="dxa"/>
          <w:tblLayout w:type="fixed"/>
          <w:tblCellMar>
            <w:left w:w="0" w:type="dxa"/>
            <w:right w:w="0" w:type="dxa"/>
          </w:tblCellMar>
        </w:tblPrEx>
        <w:trPr>
          <w:trHeight w:val="331"/>
        </w:trPr>
        <w:tc>
          <w:tcPr>
            <w:tcW w:w="4875" w:type="dxa"/>
            <w:tcBorders>
              <w:top w:val="nil"/>
              <w:left w:val="single" w:sz="8" w:space="0" w:color="auto"/>
              <w:bottom w:val="single" w:sz="4" w:space="0" w:color="auto"/>
              <w:right w:val="single" w:sz="8" w:space="0" w:color="auto"/>
            </w:tcBorders>
            <w:tcMar>
              <w:top w:w="15" w:type="dxa"/>
              <w:left w:w="15" w:type="dxa"/>
              <w:bottom w:w="0" w:type="dxa"/>
              <w:right w:w="15" w:type="dxa"/>
            </w:tcMar>
            <w:textDirection w:val="lrTb"/>
            <w:vAlign w:val="center"/>
          </w:tcPr>
          <w:p w:rsidR="004C20F3">
            <w:pPr>
              <w:bidi w:val="0"/>
              <w:ind w:firstLine="0"/>
              <w:jc w:val="left"/>
              <w:rPr>
                <w:rFonts w:ascii="Arial Narrow" w:eastAsia="Arial Unicode MS" w:hAnsi="Arial Narrow" w:cs="Arial"/>
                <w:sz w:val="20"/>
                <w:szCs w:val="20"/>
              </w:rPr>
            </w:pPr>
            <w:r>
              <w:rPr>
                <w:rFonts w:ascii="Arial Narrow" w:hAnsi="Arial Narrow" w:cs="Arial"/>
                <w:sz w:val="20"/>
                <w:szCs w:val="20"/>
              </w:rPr>
              <w:t>Registrácia majiteľa cenných papierov/zmena v registrácii</w:t>
            </w:r>
          </w:p>
        </w:tc>
        <w:tc>
          <w:tcPr>
            <w:tcW w:w="1080" w:type="dxa"/>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jc w:val="center"/>
              <w:rPr>
                <w:rFonts w:ascii="Arial Narrow" w:eastAsia="Arial Unicode MS" w:hAnsi="Arial Narrow" w:cs="Arial"/>
                <w:sz w:val="20"/>
                <w:szCs w:val="20"/>
              </w:rPr>
            </w:pPr>
            <w:r>
              <w:rPr>
                <w:rFonts w:ascii="Arial Narrow" w:hAnsi="Arial Narrow" w:cs="Arial"/>
                <w:sz w:val="20"/>
                <w:szCs w:val="20"/>
              </w:rPr>
              <w:t>6 578</w:t>
            </w:r>
          </w:p>
        </w:tc>
        <w:tc>
          <w:tcPr>
            <w:tcW w:w="1080" w:type="dxa"/>
            <w:gridSpan w:val="2"/>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18 585</w:t>
            </w:r>
          </w:p>
        </w:tc>
        <w:tc>
          <w:tcPr>
            <w:tcW w:w="108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18 205</w:t>
            </w:r>
          </w:p>
        </w:tc>
        <w:tc>
          <w:tcPr>
            <w:tcW w:w="90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b/>
                <w:bCs/>
                <w:sz w:val="20"/>
                <w:szCs w:val="20"/>
              </w:rPr>
            </w:pPr>
            <w:r>
              <w:rPr>
                <w:rFonts w:ascii="Arial Narrow" w:hAnsi="Arial Narrow" w:cs="Arial"/>
                <w:b/>
                <w:bCs/>
                <w:sz w:val="20"/>
                <w:szCs w:val="20"/>
              </w:rPr>
              <w:t>43 368</w:t>
            </w:r>
          </w:p>
        </w:tc>
      </w:tr>
      <w:tr>
        <w:tblPrEx>
          <w:tblW w:w="9015" w:type="dxa"/>
          <w:tblLayout w:type="fixed"/>
          <w:tblCellMar>
            <w:left w:w="0" w:type="dxa"/>
            <w:right w:w="0" w:type="dxa"/>
          </w:tblCellMar>
        </w:tblPrEx>
        <w:trPr>
          <w:trHeight w:val="313"/>
        </w:trPr>
        <w:tc>
          <w:tcPr>
            <w:tcW w:w="4875" w:type="dxa"/>
            <w:tcBorders>
              <w:top w:val="nil"/>
              <w:left w:val="single" w:sz="8" w:space="0" w:color="auto"/>
              <w:bottom w:val="single" w:sz="4" w:space="0" w:color="auto"/>
              <w:right w:val="nil"/>
            </w:tcBorders>
            <w:tcMar>
              <w:top w:w="15" w:type="dxa"/>
              <w:left w:w="15" w:type="dxa"/>
              <w:bottom w:w="0" w:type="dxa"/>
              <w:right w:w="15" w:type="dxa"/>
            </w:tcMar>
            <w:textDirection w:val="lrTb"/>
            <w:vAlign w:val="center"/>
          </w:tcPr>
          <w:p w:rsidR="004C20F3">
            <w:pPr>
              <w:bidi w:val="0"/>
              <w:ind w:firstLine="0"/>
              <w:jc w:val="left"/>
              <w:rPr>
                <w:rFonts w:ascii="Arial Narrow" w:eastAsia="Arial Unicode MS" w:hAnsi="Arial Narrow" w:cs="Arial"/>
                <w:sz w:val="20"/>
                <w:szCs w:val="20"/>
              </w:rPr>
            </w:pPr>
            <w:r>
              <w:rPr>
                <w:rFonts w:ascii="Arial Narrow" w:hAnsi="Arial Narrow" w:cs="Arial"/>
                <w:sz w:val="20"/>
                <w:szCs w:val="20"/>
              </w:rPr>
              <w:t>Poskytnutie výpisu z účtu majiteľa cenných papierov</w:t>
            </w:r>
          </w:p>
        </w:tc>
        <w:tc>
          <w:tcPr>
            <w:tcW w:w="1080" w:type="dxa"/>
            <w:tcBorders>
              <w:top w:val="nil"/>
              <w:left w:val="single" w:sz="8" w:space="0" w:color="auto"/>
              <w:bottom w:val="single" w:sz="4" w:space="0" w:color="auto"/>
              <w:right w:val="single" w:sz="4" w:space="0" w:color="auto"/>
            </w:tcBorders>
            <w:tcMar>
              <w:top w:w="15" w:type="dxa"/>
              <w:left w:w="15" w:type="dxa"/>
              <w:bottom w:w="0" w:type="dxa"/>
              <w:right w:w="15" w:type="dxa"/>
            </w:tcMar>
            <w:textDirection w:val="lrTb"/>
            <w:vAlign w:val="bottom"/>
          </w:tcPr>
          <w:p w:rsidR="004C20F3">
            <w:pPr>
              <w:bidi w:val="0"/>
              <w:jc w:val="center"/>
              <w:rPr>
                <w:rFonts w:ascii="Arial Narrow" w:eastAsia="Arial Unicode MS" w:hAnsi="Arial Narrow" w:cs="Arial"/>
                <w:sz w:val="20"/>
                <w:szCs w:val="20"/>
              </w:rPr>
            </w:pPr>
            <w:r>
              <w:rPr>
                <w:rFonts w:ascii="Arial Narrow" w:hAnsi="Arial Narrow" w:cs="Arial"/>
                <w:sz w:val="20"/>
                <w:szCs w:val="20"/>
              </w:rPr>
              <w:t>5 024</w:t>
            </w:r>
          </w:p>
        </w:tc>
        <w:tc>
          <w:tcPr>
            <w:tcW w:w="1080" w:type="dxa"/>
            <w:gridSpan w:val="2"/>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14 157</w:t>
            </w:r>
          </w:p>
        </w:tc>
        <w:tc>
          <w:tcPr>
            <w:tcW w:w="1080" w:type="dxa"/>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13 795</w:t>
            </w:r>
          </w:p>
        </w:tc>
        <w:tc>
          <w:tcPr>
            <w:tcW w:w="900" w:type="dxa"/>
            <w:tcBorders>
              <w:top w:val="nil"/>
              <w:left w:val="single" w:sz="8" w:space="0" w:color="auto"/>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b/>
                <w:bCs/>
                <w:sz w:val="20"/>
                <w:szCs w:val="20"/>
              </w:rPr>
            </w:pPr>
            <w:r>
              <w:rPr>
                <w:rFonts w:ascii="Arial Narrow" w:hAnsi="Arial Narrow" w:cs="Arial"/>
                <w:b/>
                <w:bCs/>
                <w:sz w:val="20"/>
                <w:szCs w:val="20"/>
              </w:rPr>
              <w:t>32 976</w:t>
            </w:r>
          </w:p>
        </w:tc>
      </w:tr>
      <w:tr>
        <w:tblPrEx>
          <w:tblW w:w="9015" w:type="dxa"/>
          <w:tblLayout w:type="fixed"/>
          <w:tblCellMar>
            <w:left w:w="0" w:type="dxa"/>
            <w:right w:w="0" w:type="dxa"/>
          </w:tblCellMar>
        </w:tblPrEx>
        <w:trPr>
          <w:trHeight w:val="309"/>
        </w:trPr>
        <w:tc>
          <w:tcPr>
            <w:tcW w:w="4875" w:type="dxa"/>
            <w:tcBorders>
              <w:top w:val="nil"/>
              <w:left w:val="single" w:sz="8" w:space="0" w:color="auto"/>
              <w:bottom w:val="single" w:sz="4" w:space="0" w:color="auto"/>
              <w:right w:val="single" w:sz="8" w:space="0" w:color="auto"/>
            </w:tcBorders>
            <w:tcMar>
              <w:top w:w="15" w:type="dxa"/>
              <w:left w:w="15" w:type="dxa"/>
              <w:bottom w:w="0" w:type="dxa"/>
              <w:right w:w="15" w:type="dxa"/>
            </w:tcMar>
            <w:textDirection w:val="lrTb"/>
            <w:vAlign w:val="center"/>
          </w:tcPr>
          <w:p w:rsidR="004C20F3">
            <w:pPr>
              <w:bidi w:val="0"/>
              <w:ind w:firstLine="0"/>
              <w:jc w:val="left"/>
              <w:rPr>
                <w:rFonts w:ascii="Arial Narrow" w:eastAsia="Arial Unicode MS" w:hAnsi="Arial Narrow" w:cs="Arial"/>
                <w:sz w:val="20"/>
                <w:szCs w:val="20"/>
              </w:rPr>
            </w:pPr>
            <w:r>
              <w:rPr>
                <w:rFonts w:ascii="Arial Narrow" w:hAnsi="Arial Narrow" w:cs="Arial"/>
                <w:sz w:val="20"/>
                <w:szCs w:val="20"/>
              </w:rPr>
              <w:t>Uzatvorenie zmluvy o prevode cenných papierov na Fond</w:t>
            </w:r>
          </w:p>
        </w:tc>
        <w:tc>
          <w:tcPr>
            <w:tcW w:w="1080" w:type="dxa"/>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jc w:val="center"/>
              <w:rPr>
                <w:rFonts w:ascii="Arial Narrow" w:eastAsia="Arial Unicode MS" w:hAnsi="Arial Narrow" w:cs="Arial"/>
                <w:sz w:val="20"/>
                <w:szCs w:val="20"/>
              </w:rPr>
            </w:pPr>
            <w:r>
              <w:rPr>
                <w:rFonts w:ascii="Arial Narrow" w:hAnsi="Arial Narrow" w:cs="Arial"/>
                <w:sz w:val="20"/>
                <w:szCs w:val="20"/>
              </w:rPr>
              <w:t>4 257</w:t>
            </w:r>
          </w:p>
        </w:tc>
        <w:tc>
          <w:tcPr>
            <w:tcW w:w="1080" w:type="dxa"/>
            <w:gridSpan w:val="2"/>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11 556</w:t>
            </w:r>
          </w:p>
        </w:tc>
        <w:tc>
          <w:tcPr>
            <w:tcW w:w="108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11 130</w:t>
            </w:r>
          </w:p>
        </w:tc>
        <w:tc>
          <w:tcPr>
            <w:tcW w:w="90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b/>
                <w:bCs/>
                <w:sz w:val="20"/>
                <w:szCs w:val="20"/>
              </w:rPr>
            </w:pPr>
            <w:r>
              <w:rPr>
                <w:rFonts w:ascii="Arial Narrow" w:hAnsi="Arial Narrow" w:cs="Arial"/>
                <w:b/>
                <w:bCs/>
                <w:sz w:val="20"/>
                <w:szCs w:val="20"/>
              </w:rPr>
              <w:t>26 943</w:t>
            </w:r>
          </w:p>
        </w:tc>
      </w:tr>
      <w:tr>
        <w:tblPrEx>
          <w:tblW w:w="9015" w:type="dxa"/>
          <w:tblLayout w:type="fixed"/>
          <w:tblCellMar>
            <w:left w:w="0" w:type="dxa"/>
            <w:right w:w="0" w:type="dxa"/>
          </w:tblCellMar>
        </w:tblPrEx>
        <w:trPr>
          <w:trHeight w:val="255"/>
        </w:trPr>
        <w:tc>
          <w:tcPr>
            <w:tcW w:w="4875" w:type="dxa"/>
            <w:tcBorders>
              <w:top w:val="nil"/>
              <w:left w:val="single" w:sz="8" w:space="0" w:color="auto"/>
              <w:bottom w:val="single" w:sz="4" w:space="0" w:color="auto"/>
              <w:right w:val="single" w:sz="8" w:space="0" w:color="auto"/>
            </w:tcBorders>
            <w:tcMar>
              <w:top w:w="15" w:type="dxa"/>
              <w:left w:w="15" w:type="dxa"/>
              <w:bottom w:w="0" w:type="dxa"/>
              <w:right w:w="15" w:type="dxa"/>
            </w:tcMar>
            <w:textDirection w:val="lrTb"/>
            <w:vAlign w:val="center"/>
          </w:tcPr>
          <w:p w:rsidR="004C20F3">
            <w:pPr>
              <w:bidi w:val="0"/>
              <w:ind w:firstLine="0"/>
              <w:jc w:val="left"/>
              <w:rPr>
                <w:rFonts w:ascii="Arial Narrow" w:eastAsia="Arial Unicode MS" w:hAnsi="Arial Narrow" w:cs="Arial"/>
                <w:sz w:val="20"/>
                <w:szCs w:val="20"/>
              </w:rPr>
            </w:pPr>
            <w:r>
              <w:rPr>
                <w:rFonts w:ascii="Arial Narrow" w:hAnsi="Arial Narrow" w:cs="Arial"/>
                <w:sz w:val="20"/>
                <w:szCs w:val="20"/>
              </w:rPr>
              <w:t>Realizácia prevodu cenných papierov</w:t>
            </w:r>
          </w:p>
        </w:tc>
        <w:tc>
          <w:tcPr>
            <w:tcW w:w="1080" w:type="dxa"/>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jc w:val="center"/>
              <w:rPr>
                <w:rFonts w:ascii="Arial Narrow" w:eastAsia="Arial Unicode MS" w:hAnsi="Arial Narrow" w:cs="Arial"/>
                <w:sz w:val="20"/>
                <w:szCs w:val="20"/>
              </w:rPr>
            </w:pPr>
            <w:r>
              <w:rPr>
                <w:rFonts w:ascii="Arial Narrow" w:hAnsi="Arial Narrow" w:cs="Arial"/>
                <w:sz w:val="20"/>
                <w:szCs w:val="20"/>
              </w:rPr>
              <w:t>2 019</w:t>
            </w:r>
          </w:p>
        </w:tc>
        <w:tc>
          <w:tcPr>
            <w:tcW w:w="1080" w:type="dxa"/>
            <w:gridSpan w:val="2"/>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7 310</w:t>
            </w:r>
          </w:p>
        </w:tc>
        <w:tc>
          <w:tcPr>
            <w:tcW w:w="108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27 776</w:t>
            </w:r>
          </w:p>
        </w:tc>
        <w:tc>
          <w:tcPr>
            <w:tcW w:w="90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b/>
                <w:bCs/>
                <w:sz w:val="20"/>
                <w:szCs w:val="20"/>
              </w:rPr>
            </w:pPr>
            <w:r>
              <w:rPr>
                <w:rFonts w:ascii="Arial Narrow" w:hAnsi="Arial Narrow" w:cs="Arial"/>
                <w:b/>
                <w:bCs/>
                <w:sz w:val="20"/>
                <w:szCs w:val="20"/>
              </w:rPr>
              <w:t>37 105</w:t>
            </w:r>
          </w:p>
        </w:tc>
      </w:tr>
      <w:tr>
        <w:tblPrEx>
          <w:tblW w:w="9015" w:type="dxa"/>
          <w:tblLayout w:type="fixed"/>
          <w:tblCellMar>
            <w:left w:w="0" w:type="dxa"/>
            <w:right w:w="0" w:type="dxa"/>
          </w:tblCellMar>
        </w:tblPrEx>
        <w:trPr>
          <w:trHeight w:val="354"/>
        </w:trPr>
        <w:tc>
          <w:tcPr>
            <w:tcW w:w="4875" w:type="dxa"/>
            <w:tcBorders>
              <w:top w:val="nil"/>
              <w:left w:val="single" w:sz="8" w:space="0" w:color="auto"/>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rPr>
                <w:rFonts w:ascii="Arial Narrow" w:eastAsia="Arial Unicode MS" w:hAnsi="Arial Narrow" w:cs="Arial"/>
                <w:sz w:val="20"/>
                <w:szCs w:val="20"/>
              </w:rPr>
            </w:pPr>
            <w:r>
              <w:rPr>
                <w:rFonts w:ascii="Arial Narrow" w:hAnsi="Arial Narrow" w:cs="Arial"/>
                <w:sz w:val="20"/>
                <w:szCs w:val="20"/>
              </w:rPr>
              <w:t>Príkazy na zrušenie majetkového účtu fyzických osôb v CDCP</w:t>
            </w:r>
          </w:p>
        </w:tc>
        <w:tc>
          <w:tcPr>
            <w:tcW w:w="1080" w:type="dxa"/>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jc w:val="center"/>
              <w:rPr>
                <w:rFonts w:ascii="Arial Narrow" w:eastAsia="Arial Unicode MS" w:hAnsi="Arial Narrow" w:cs="Arial"/>
                <w:sz w:val="20"/>
                <w:szCs w:val="20"/>
              </w:rPr>
            </w:pPr>
            <w:r>
              <w:rPr>
                <w:rFonts w:ascii="Arial Narrow" w:hAnsi="Arial Narrow" w:cs="Arial"/>
                <w:sz w:val="20"/>
                <w:szCs w:val="20"/>
              </w:rPr>
              <w:t>3 907</w:t>
            </w:r>
          </w:p>
        </w:tc>
        <w:tc>
          <w:tcPr>
            <w:tcW w:w="1080" w:type="dxa"/>
            <w:gridSpan w:val="2"/>
            <w:tcBorders>
              <w:top w:val="nil"/>
              <w:left w:val="nil"/>
              <w:bottom w:val="single" w:sz="4" w:space="0" w:color="auto"/>
              <w:right w:val="single" w:sz="4"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10 760</w:t>
            </w:r>
          </w:p>
        </w:tc>
        <w:tc>
          <w:tcPr>
            <w:tcW w:w="108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sz w:val="20"/>
                <w:szCs w:val="20"/>
              </w:rPr>
            </w:pPr>
            <w:r>
              <w:rPr>
                <w:rFonts w:ascii="Arial Narrow" w:hAnsi="Arial Narrow" w:cs="Arial"/>
                <w:sz w:val="20"/>
                <w:szCs w:val="20"/>
              </w:rPr>
              <w:t>10 221</w:t>
            </w:r>
          </w:p>
        </w:tc>
        <w:tc>
          <w:tcPr>
            <w:tcW w:w="900" w:type="dxa"/>
            <w:tcBorders>
              <w:top w:val="nil"/>
              <w:left w:val="nil"/>
              <w:bottom w:val="single" w:sz="4" w:space="0" w:color="auto"/>
              <w:right w:val="single" w:sz="8" w:space="0" w:color="auto"/>
            </w:tcBorders>
            <w:tcMar>
              <w:top w:w="15" w:type="dxa"/>
              <w:left w:w="15" w:type="dxa"/>
              <w:bottom w:w="0" w:type="dxa"/>
              <w:right w:w="15" w:type="dxa"/>
            </w:tcMar>
            <w:textDirection w:val="lrTb"/>
            <w:vAlign w:val="bottom"/>
          </w:tcPr>
          <w:p w:rsidR="004C20F3">
            <w:pPr>
              <w:bidi w:val="0"/>
              <w:ind w:firstLine="0"/>
              <w:jc w:val="right"/>
              <w:rPr>
                <w:rFonts w:ascii="Arial Narrow" w:eastAsia="Arial Unicode MS" w:hAnsi="Arial Narrow" w:cs="Arial"/>
                <w:b/>
                <w:bCs/>
                <w:sz w:val="20"/>
                <w:szCs w:val="20"/>
              </w:rPr>
            </w:pPr>
            <w:r>
              <w:rPr>
                <w:rFonts w:ascii="Arial Narrow" w:hAnsi="Arial Narrow" w:cs="Arial"/>
                <w:b/>
                <w:bCs/>
                <w:sz w:val="20"/>
                <w:szCs w:val="20"/>
              </w:rPr>
              <w:t>24 888</w:t>
            </w:r>
          </w:p>
        </w:tc>
      </w:tr>
    </w:tbl>
    <w:p w:rsidR="004C20F3">
      <w:pPr>
        <w:bidi w:val="0"/>
        <w:ind w:firstLine="708"/>
        <w:rPr>
          <w:rFonts w:ascii="Times New Roman" w:hAnsi="Times New Roman"/>
        </w:rPr>
      </w:pPr>
      <w:r>
        <w:rPr>
          <w:rFonts w:ascii="Times New Roman" w:hAnsi="Times New Roman"/>
        </w:rPr>
        <w:t>V roku 2009 sa zvýšil na sekcii nápor v oblasti administratívnej agendy. V rámci informačnej činnosti spojenej s novými úlohami sa v porovnaní s predchádzajúcim rokom zvýšila poštová korešpondencia 4-násobne, elektronická korešpondencia 10-násobne, telefonické dopyty 5-násobne a osobné návštevy majiteľov cenných papierov 3-násobne. Pri informovaní verejnosti sekcia veľmi úzko a efektívne spolupracovala s informačno-koordinačným centrom Fondu, kam smeroval zvýšený počet elektronickej pošty.</w:t>
      </w:r>
    </w:p>
    <w:p w:rsidR="004C20F3">
      <w:pPr>
        <w:bidi w:val="0"/>
        <w:ind w:firstLine="708"/>
        <w:rPr>
          <w:rFonts w:ascii="Times New Roman" w:hAnsi="Times New Roman"/>
        </w:rPr>
      </w:pPr>
      <w:r>
        <w:rPr>
          <w:rFonts w:ascii="Times New Roman" w:hAnsi="Times New Roman"/>
        </w:rPr>
        <w:t>S pozitívnou reakciou sa u fyzických osôb stretol informačný list predsedu výkonného výboru odoslaný dňa 28.9.2009 vyše 15-tim tisícom majiteľom majetkových účtov v CDCP, ktorých cenné papiere na účte mali hodnotu vyššiu ako 6 634 € (200 tisíc Sk) a ktorí počiatkom roka 2009 obdržali z CDCP faktúru za vedenie účtu. List v prílohe obsahoval bezplatný stavový výpis z majetkového účtu vedeného v CDCP a návod na postup.</w:t>
      </w:r>
    </w:p>
    <w:p w:rsidR="004C20F3">
      <w:pPr>
        <w:bidi w:val="0"/>
        <w:ind w:firstLine="708"/>
        <w:rPr>
          <w:rFonts w:ascii="Times New Roman" w:hAnsi="Times New Roman"/>
        </w:rPr>
      </w:pPr>
      <w:r>
        <w:rPr>
          <w:rFonts w:ascii="Times New Roman" w:hAnsi="Times New Roman"/>
        </w:rPr>
        <w:t>Na základe týchto činností bolo na špeciálny majetkový účet Fondu k 31.12.2009 prevedených 2 950 118 kusov cenných papierov (akcie, podielové listy družstiev a fondov, dlhopisy) za 652 spoločností. Zmluvné náklady na služby a činnosti CDCP a RMSM spojené s plnením ustanovení zákona č. 160/2009 Z. z. boli k 31.12.2009 na úrovni cca 1, 639 mil. €. Zákonom č. 563/2009 Z. z. z 1.12.2009 (čl. V) bola fyzickým osobám predĺžená lehota na uplatnenie finančných nárokov voči Fondu za vedenie majetkového účtu v roku 2008 z jedného na dva kalendárne roky.</w:t>
      </w:r>
    </w:p>
    <w:p w:rsidR="004C20F3">
      <w:pPr>
        <w:bidi w:val="0"/>
        <w:ind w:firstLine="708"/>
        <w:rPr>
          <w:rFonts w:ascii="Times New Roman" w:hAnsi="Times New Roman"/>
        </w:rPr>
      </w:pPr>
      <w:r>
        <w:rPr>
          <w:rFonts w:ascii="Times New Roman" w:hAnsi="Times New Roman"/>
        </w:rPr>
        <w:t xml:space="preserve">Vzhľadom na to, že doterajšia prax preukázala potrebu urýchlene riešiť problém bezodplatného prevodu cenných papierov na Fond aj z majetkových účtov majiteľov cenných papierov vedených u členov CDCP, uskutočnil Fond v decembri 2009 prvotné rokovanie s členmi CDCP. Rovnako sa začali rokovania o možnosti bezodplatných prevodov cenných papierov dedičmi, ktorí nemajú zrealizované prechody cenných papierov z poručiteľa na seba, ale majú záujem zrušiť majetkové účty poručiteľov. </w:t>
      </w:r>
    </w:p>
    <w:p w:rsidR="004C20F3">
      <w:pPr>
        <w:bidi w:val="0"/>
        <w:ind w:firstLine="0"/>
        <w:rPr>
          <w:rFonts w:ascii="Times New Roman" w:hAnsi="Times New Roman"/>
        </w:rPr>
      </w:pPr>
    </w:p>
    <w:p w:rsidR="004C20F3">
      <w:pPr>
        <w:pStyle w:val="Heading3"/>
        <w:bidi w:val="0"/>
        <w:spacing w:before="0"/>
        <w:rPr>
          <w:rFonts w:ascii="Times New Roman" w:hAnsi="Times New Roman"/>
        </w:rPr>
      </w:pPr>
      <w:r>
        <w:rPr>
          <w:rFonts w:ascii="Times New Roman" w:hAnsi="Times New Roman"/>
        </w:rPr>
        <w:t>III. Reštitúcie a bezodplatné prevody</w:t>
      </w:r>
    </w:p>
    <w:p w:rsidR="004C20F3">
      <w:pPr>
        <w:bidi w:val="0"/>
        <w:rPr>
          <w:rFonts w:ascii="Times New Roman" w:hAnsi="Times New Roman"/>
        </w:rPr>
      </w:pPr>
      <w:r>
        <w:rPr>
          <w:rFonts w:ascii="Times New Roman" w:hAnsi="Times New Roman"/>
        </w:rPr>
        <w:t>Sekcia reštitúcií a bezodplatných prevodov zabezpečovala v roku 2009 v rámci Fondu tie činnosti, ktoré svojou povahou súvisia s realizáciou rozhodnutí o privatizácii schválených privatizačných výstupov, najmä bezodplatných prevodov. Riešila vysporiadanie reštitučných nárokov oprávnených osôb a taktiež vykonávala majetkovo-právne posudzovanie majetku v žiadostiach fyzických a právnických osôb, neoprávnene zapísaný majetok v prospech Fondu formou katastrálneho konania, spôsob naloženia s majetkom Fondu.</w:t>
      </w:r>
    </w:p>
    <w:p w:rsidR="004C20F3">
      <w:pPr>
        <w:bidi w:val="0"/>
        <w:ind w:firstLine="0"/>
        <w:rPr>
          <w:rFonts w:ascii="Times New Roman" w:hAnsi="Times New Roman"/>
        </w:rPr>
      </w:pPr>
    </w:p>
    <w:p w:rsidR="004C20F3">
      <w:pPr>
        <w:pStyle w:val="Heading4"/>
        <w:bidi w:val="0"/>
        <w:rPr>
          <w:rFonts w:ascii="Times New Roman" w:hAnsi="Times New Roman"/>
        </w:rPr>
      </w:pPr>
      <w:r>
        <w:rPr>
          <w:rFonts w:ascii="Times New Roman" w:hAnsi="Times New Roman"/>
        </w:rPr>
        <w:t>Uspokojovanie reštitučných nárokov oprávnených osôb</w:t>
      </w:r>
    </w:p>
    <w:p w:rsidR="004C20F3">
      <w:pPr>
        <w:bidi w:val="0"/>
        <w:rPr>
          <w:rFonts w:ascii="Times New Roman" w:hAnsi="Times New Roman"/>
        </w:rPr>
      </w:pPr>
      <w:r>
        <w:rPr>
          <w:rFonts w:ascii="Times New Roman" w:hAnsi="Times New Roman"/>
        </w:rPr>
        <w:t>V roku 2009 zabezpečil Fond finančnú náhradu voči oprávneným osobám, ktorých nárok vyplýva zo zákona č. 87/1991 Zb. o mimosúdnych rehabilitáciách v znení neskorších predpisov, formou vydania cenných papierov – zmenky. Touto formou boli v súlade s § 8 zákona č. 319/1991 Zb. o zmiernení niektorých majetkových krívd a o pôsobnosti orgánov štátnej správy Slovenskej republiky v oblasti mimosúdnych rehabilitácií v znení neskorších predpisov a na základe rozhodnutia Ministerstva financií Slovenskej republiky (ďalej aj „MF SR“) riešené nároky formou vydania cenných papierov – zmenky v celkovej hodnote 10 631,84 €.</w:t>
      </w:r>
    </w:p>
    <w:p w:rsidR="004C20F3">
      <w:pPr>
        <w:bidi w:val="0"/>
        <w:rPr>
          <w:rFonts w:ascii="Times New Roman" w:hAnsi="Times New Roman"/>
        </w:rPr>
      </w:pPr>
      <w:r>
        <w:rPr>
          <w:rFonts w:ascii="Times New Roman" w:hAnsi="Times New Roman"/>
        </w:rPr>
        <w:t>Ministerstvo hospodárstva Slovenskej republiky rozhodlo o vyporiadaní 3 reštitučných nárokov podľa § 2 ods. 3 zákona č. 87/1991 Zb. v nadväznosti na § 47 zákona č. 92/1991 Zb., ktorým Fond vydal cenné papiere – zmenky v hodnote 298,74 €.</w:t>
      </w:r>
    </w:p>
    <w:p w:rsidR="004C20F3">
      <w:pPr>
        <w:bidi w:val="0"/>
        <w:rPr>
          <w:rFonts w:ascii="Times New Roman" w:hAnsi="Times New Roman"/>
        </w:rPr>
      </w:pPr>
      <w:r>
        <w:rPr>
          <w:rFonts w:ascii="Times New Roman" w:hAnsi="Times New Roman"/>
        </w:rPr>
        <w:t>V súlade s aktualizáciou zmluvy o spolupráci pri platení domicilovaných zmeniek medzi Fondom, Slovenskou sporiteľňou, a.s. a Štátnou pokladnicou bol zabezpečovaný spôsob vyplácania zmeniek vystavených Fondom, na príkaz Fondu, oprávneným osobám v 39-tich platobných miestach na území Slovenskej republiky.</w:t>
      </w:r>
    </w:p>
    <w:p w:rsidR="004C20F3">
      <w:pPr>
        <w:bidi w:val="0"/>
        <w:rPr>
          <w:rFonts w:ascii="Times New Roman" w:hAnsi="Times New Roman"/>
        </w:rPr>
      </w:pPr>
      <w:r>
        <w:rPr>
          <w:rFonts w:ascii="Times New Roman" w:hAnsi="Times New Roman"/>
        </w:rPr>
        <w:t>V súlade s rozhodnutím MH SR evidoval Fond v priebehu roku 2009 reštitučné nároky oprávnených osôb, ktorých nárok vyplýva zo zákona č. 87/1991 Zb. o mimosúdnych rehabilitáciách v znení neskorších predpisov v celkovej výške 511 584,67 €. Tieto nároky budú priebežne realizované v ďalšom období, ak pominú dôvody, ktoré bránia uspokojeniu reštitučných nárokov – sú predmetom súdnych sporov alebo obsahujú iné právne prekážky.</w:t>
      </w:r>
    </w:p>
    <w:p w:rsidR="004C20F3">
      <w:pPr>
        <w:bidi w:val="0"/>
        <w:rPr>
          <w:rFonts w:ascii="Times New Roman" w:hAnsi="Times New Roman"/>
        </w:rPr>
      </w:pPr>
      <w:r>
        <w:rPr>
          <w:rFonts w:ascii="Times New Roman" w:hAnsi="Times New Roman"/>
        </w:rPr>
        <w:t>Fondu prislúcha povinnosť realizovať v súlade s platnou legislatívou aj tie nároky, o ktorých bude MF SR rozhodovať v súlade so zákonom o mimosúdnych rehabilitáciách. Podľa informácií, ktoré má Fond k dispozícii, v roku 2009 evidovalo MF SR takmer 60 doposiaľ nevybavených žiadostí o finančnú náhradu. Na okresných a krajských súdoch prebieha 20 súdnych konaní, v ktorých sú vyčíslené nárokované finančné náhrady v sume takmer 100 tis. €. Vzhľadom k tomu, že na MF SR sú priebežne doručované nové žiadosti z MH SR a od oprávnených osôb, ktoré si požiadavku o finančnú náhradu môžu podať do jedného roka odo dňa právoplatnosti rozsudku súdu, ktorým bol zamietnutý návrh na vydanie veci, počet budúcich žiadateľov – reštituentov a objem finančnej náhrady, podľa zákona o mimosúdnych rehabilitáciách môže narastať.</w:t>
      </w:r>
    </w:p>
    <w:p w:rsidR="004C20F3">
      <w:pPr>
        <w:bidi w:val="0"/>
        <w:rPr>
          <w:rFonts w:ascii="Times New Roman" w:hAnsi="Times New Roman"/>
        </w:rPr>
      </w:pPr>
      <w:r>
        <w:rPr>
          <w:rFonts w:ascii="Times New Roman" w:hAnsi="Times New Roman"/>
        </w:rPr>
        <w:t>V pôsobnosti MH SR je evidovaných 8 reštitučných nárokov podľa § 47 zákona č. 92/1991 Zb. a 5 prípadov je v dlhodobom riešení.</w:t>
      </w:r>
    </w:p>
    <w:p w:rsidR="004C20F3">
      <w:pPr>
        <w:bidi w:val="0"/>
        <w:ind w:firstLine="0"/>
        <w:rPr>
          <w:rFonts w:ascii="Times New Roman" w:hAnsi="Times New Roman"/>
        </w:rPr>
      </w:pPr>
    </w:p>
    <w:p w:rsidR="004C20F3">
      <w:pPr>
        <w:pStyle w:val="Heading4"/>
        <w:bidi w:val="0"/>
        <w:rPr>
          <w:rFonts w:ascii="Times New Roman" w:hAnsi="Times New Roman"/>
        </w:rPr>
      </w:pPr>
      <w:r>
        <w:rPr>
          <w:rFonts w:ascii="Times New Roman" w:hAnsi="Times New Roman"/>
        </w:rPr>
        <w:t>Bezodplatné prevody</w:t>
      </w:r>
    </w:p>
    <w:p w:rsidR="004C20F3">
      <w:pPr>
        <w:bidi w:val="0"/>
        <w:rPr>
          <w:rFonts w:ascii="Times New Roman" w:hAnsi="Times New Roman"/>
        </w:rPr>
      </w:pPr>
      <w:r>
        <w:rPr>
          <w:rFonts w:ascii="Times New Roman" w:hAnsi="Times New Roman"/>
        </w:rPr>
        <w:t>V súlade s § 12 ods. 2 písm. d) zákona. pokračoval Fond aj v roku 2009 v zabezpečovaní úloh, ktoré mu vyplývali z rozhodnutí Ministerstva pre správu a privatizáciu národného majetku Slovenskej republiky (ďalej aj „MSPNM SR“) pri realizácii bezodplatných prevodov akcií emitovaných vodárenskými spoločnosťami na mestá a obce. V roku 2009 boli vykonané bezodplatné prevody 75 978 ks akcií vodárenských spoločností v nominálnej hodnote 33,19 €/akcia na 34 miest a obcí v celkovej účtovnej hodnote privatizovaného majetku 2 522 007,57 €.</w:t>
      </w:r>
    </w:p>
    <w:p w:rsidR="004C20F3">
      <w:pPr>
        <w:bidi w:val="0"/>
        <w:rPr>
          <w:rFonts w:ascii="Times New Roman" w:hAnsi="Times New Roman"/>
        </w:rPr>
      </w:pPr>
      <w:r>
        <w:rPr>
          <w:rFonts w:ascii="Times New Roman" w:hAnsi="Times New Roman"/>
        </w:rPr>
        <w:t>V súlade so schválenou koncepciou transformácie vodární a kanalizácií vo vláde Slovenskej republiky, boli do konca roku 2009 celkovo zabezpečené zmluvné podklady pre 2 752 bezodplatných prevodov akcií na mestá a obce v pôsobnosti 7 vodárenských spoločností na území Slovenskej republiky v hodnote 1 092,77 mil. €, čo predstavuje 99,93 % z celkového objemu akcií schválených v rozhodnutiach MSPNM SR.</w:t>
      </w:r>
    </w:p>
    <w:p w:rsidR="004C20F3">
      <w:pPr>
        <w:bidi w:val="0"/>
        <w:rPr>
          <w:rFonts w:ascii="Times New Roman" w:hAnsi="Times New Roman"/>
        </w:rPr>
      </w:pPr>
      <w:r>
        <w:rPr>
          <w:rFonts w:ascii="Times New Roman" w:hAnsi="Times New Roman"/>
        </w:rPr>
        <w:t xml:space="preserve">Na základe § 28 ods. 8 zákona riešil Fond spôsob nakladania s majetkovou účasťou Fondu na podnikaní vodárenských spoločností, nakladanie s privatizovaným majetkom realizovaným formou bezodplatných prevodov na mestá a obce, zmeny účelového využitia majetku formou prenájmu a odpredaja s Ministerstvom zdravotníctva Slovenskej republiky a orgánmi správy na úseku zdravotníckej starostlivosti samosprávnych krajov. </w:t>
      </w:r>
    </w:p>
    <w:p w:rsidR="004C20F3">
      <w:pPr>
        <w:bidi w:val="0"/>
        <w:rPr>
          <w:rFonts w:ascii="Times New Roman" w:hAnsi="Times New Roman"/>
        </w:rPr>
      </w:pPr>
      <w:r>
        <w:rPr>
          <w:rFonts w:ascii="Times New Roman" w:hAnsi="Times New Roman"/>
        </w:rPr>
        <w:t>V súlade s rozhodnutím Prezídia Fondu, boli majetkové účasti Fondu na podnikaní štyroch (4) vodárenských spoločností určené v rozhodnutiach na prevod na vojenské obvody, ktoré nemajú právnu subjektivitu obce v celkovej hodnote 268 372,83 € prevedené na okresné mestá, do pôsobnosti ktorých vojenské obvody spadajú.</w:t>
      </w:r>
    </w:p>
    <w:p w:rsidR="004C20F3">
      <w:pPr>
        <w:bidi w:val="0"/>
        <w:ind w:firstLine="0"/>
        <w:rPr>
          <w:rFonts w:ascii="Times New Roman" w:hAnsi="Times New Roman"/>
        </w:rPr>
      </w:pPr>
    </w:p>
    <w:p w:rsidR="004C20F3">
      <w:pPr>
        <w:pStyle w:val="Heading4"/>
        <w:bidi w:val="0"/>
        <w:rPr>
          <w:rFonts w:ascii="Times New Roman" w:hAnsi="Times New Roman"/>
          <w:b/>
          <w:bCs w:val="0"/>
        </w:rPr>
      </w:pPr>
      <w:r>
        <w:rPr>
          <w:rFonts w:ascii="Times New Roman" w:hAnsi="Times New Roman"/>
        </w:rPr>
        <w:t>Riešenie majetkovo-právnych problémov privatizovaného majetku</w:t>
      </w:r>
    </w:p>
    <w:p w:rsidR="004C20F3">
      <w:pPr>
        <w:bidi w:val="0"/>
        <w:rPr>
          <w:rFonts w:ascii="Times New Roman" w:hAnsi="Times New Roman"/>
        </w:rPr>
      </w:pPr>
      <w:r>
        <w:rPr>
          <w:rFonts w:ascii="Times New Roman" w:hAnsi="Times New Roman"/>
        </w:rPr>
        <w:t>Riešenie majetkovo-právnych problémov vyplývajúcich z postupnej realizácie privatizačných rozhodnutí, najmä v oblasti nakladania s nehnuteľným majetkom, je významnou agendou sekcie z dôvodu napĺňania strategických zámerov Fondu pri zabezpečovaní privatizácie štátneho majetku. V súlade s vývojom privatizácie boli vykonávané právne analýzy a stanoviská za účelom objektivizácie postupov Fondu v prípadoch, keď sa privatizovaný majetok stal predmetom súdnych sporov alebo sporných reštitučných náhrad.</w:t>
      </w:r>
    </w:p>
    <w:p w:rsidR="004C20F3">
      <w:pPr>
        <w:bidi w:val="0"/>
        <w:rPr>
          <w:rFonts w:ascii="Times New Roman" w:hAnsi="Times New Roman"/>
        </w:rPr>
      </w:pPr>
      <w:r>
        <w:rPr>
          <w:rFonts w:ascii="Times New Roman" w:hAnsi="Times New Roman"/>
        </w:rPr>
        <w:t>V hodnotenom období sekcia riešila žiadosti fyzických a právnických osôb, ktorých predmetom bol majetok, vo väčšine prípadov nehnuteľný. Ďalej sekcia skúmala a vydávala záväzné stanoviská k majetku dualitného vlastníctva medzi sprivatizovaným štátnym podnikom a fyzickou osobou, k sprivatizovanému majetku, ktorý je predmetom súdneho sporu, k majetku, ktorý bol chybne vedený vo vlastníctve Fondu, k majetku, ktorý bol opomenutý v procese privatizácie, k majetku, ktorý je predmetom Ústavy Slovenskej republiky (vodné toky, nerastné bohatstvo) a iných platných právnych noriem, k majetku, ktorý je vo vlastníctve Slovenského štátu v správe orgánov štátnej správy.</w:t>
      </w:r>
    </w:p>
    <w:p w:rsidR="004C20F3">
      <w:pPr>
        <w:bidi w:val="0"/>
        <w:rPr>
          <w:rFonts w:ascii="Times New Roman" w:hAnsi="Times New Roman"/>
        </w:rPr>
      </w:pPr>
      <w:r>
        <w:rPr>
          <w:rFonts w:ascii="Times New Roman" w:hAnsi="Times New Roman"/>
        </w:rPr>
        <w:t>Sekcia poskytuje podľa zákona č. 173/1993 Z. z. v znení zákona č. 564/2003 Z. z. výšku náhrady poskytovanej Fondom povinnej osobe, ktorá uspokojila reštitučný nárok oprávnenej osoby vydaním majetku. Z právneho a zákonného hľadiska sú posudzované a riešené podané žiadosti povinných osôb, ktoré žiadajú Fond o finančnú náhradu za vydaný majetok na základe rozsudku súdu alebo rozhodnutia pozemkového úradu a na základe dohody o vydaní majetku.</w:t>
      </w:r>
    </w:p>
    <w:p w:rsidR="004C20F3">
      <w:pPr>
        <w:bidi w:val="0"/>
        <w:ind w:firstLine="0"/>
        <w:rPr>
          <w:rFonts w:ascii="Times New Roman" w:hAnsi="Times New Roman"/>
        </w:rPr>
      </w:pPr>
      <w:r>
        <w:rPr>
          <w:rFonts w:ascii="Times New Roman" w:hAnsi="Times New Roman"/>
        </w:rPr>
        <w:t>V súčinnosti s príslušnými katastrami nehnuteľností sa dodatočne zabezpečovalo vysporiadanie majetku neoprávnene zapísaného v prospech Fondu. V tejto oblasti boli postupne vydané právoplatné rozhodnutia o oprave chyby v katastrálnom operáte v zmysle § 59 zákona č. 162/1995 Z. z. a následne bola vykonaná zmena zápisu vlastníka (Slovenský pozemkový fond, Ministerstvo hospodárstva Slovenskej republiky).</w:t>
      </w:r>
    </w:p>
    <w:p w:rsidR="004C20F3">
      <w:pPr>
        <w:bidi w:val="0"/>
        <w:ind w:firstLine="0"/>
        <w:rPr>
          <w:rFonts w:ascii="Times New Roman" w:hAnsi="Times New Roman"/>
        </w:rPr>
      </w:pPr>
    </w:p>
    <w:p w:rsidR="004C20F3">
      <w:pPr>
        <w:bidi w:val="0"/>
        <w:ind w:firstLine="0"/>
        <w:rPr>
          <w:rFonts w:ascii="Times New Roman" w:hAnsi="Times New Roman"/>
          <w:b/>
          <w:bCs/>
        </w:rPr>
      </w:pPr>
      <w:r>
        <w:rPr>
          <w:rFonts w:ascii="Times New Roman" w:hAnsi="Times New Roman"/>
          <w:b/>
          <w:bCs/>
        </w:rPr>
        <w:t>Reštitúcie a bezodplatné prevody v roku 2009</w:t>
      </w:r>
    </w:p>
    <w:tbl>
      <w:tblPr>
        <w:tblStyle w:val="TableNormal"/>
        <w:tblW w:w="9058" w:type="dxa"/>
        <w:jc w:val="center"/>
        <w:tblInd w:w="-47" w:type="dxa"/>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6558"/>
        <w:gridCol w:w="1665"/>
        <w:gridCol w:w="835"/>
      </w:tblGrid>
      <w:tr>
        <w:tblPrEx>
          <w:tblW w:w="9058" w:type="dxa"/>
          <w:jc w:val="center"/>
          <w:tblInd w:w="-47" w:type="dxa"/>
          <w:tblBorders>
            <w:top w:val="single" w:sz="4" w:space="0" w:color="auto"/>
            <w:left w:val="single" w:sz="4" w:space="0" w:color="auto"/>
            <w:bottom w:val="single" w:sz="4" w:space="0" w:color="auto"/>
            <w:right w:val="single" w:sz="4" w:space="0" w:color="auto"/>
          </w:tblBorders>
          <w:tblCellMar>
            <w:left w:w="70" w:type="dxa"/>
            <w:right w:w="70" w:type="dxa"/>
          </w:tblCellMar>
        </w:tblPrEx>
        <w:trPr>
          <w:jc w:val="center"/>
        </w:trPr>
        <w:tc>
          <w:tcPr>
            <w:tcW w:w="6558" w:type="dxa"/>
            <w:tcBorders>
              <w:top w:val="single" w:sz="4" w:space="0" w:color="auto"/>
              <w:left w:val="nil"/>
              <w:bottom w:val="double" w:sz="6" w:space="0" w:color="auto"/>
              <w:right w:val="nil"/>
            </w:tcBorders>
            <w:shd w:val="clear" w:color="auto" w:fill="CCCCFF"/>
            <w:textDirection w:val="lrTb"/>
            <w:vAlign w:val="center"/>
          </w:tcPr>
          <w:p w:rsidR="004C20F3">
            <w:pPr>
              <w:pStyle w:val="BodyText"/>
              <w:bidi w:val="0"/>
              <w:spacing w:line="240" w:lineRule="auto"/>
              <w:ind w:firstLine="0"/>
              <w:jc w:val="left"/>
              <w:rPr>
                <w:rFonts w:ascii="Arial Narrow" w:hAnsi="Arial Narrow"/>
                <w:b/>
                <w:bCs/>
                <w:sz w:val="20"/>
                <w:szCs w:val="20"/>
              </w:rPr>
            </w:pPr>
            <w:r>
              <w:rPr>
                <w:rFonts w:ascii="Arial Narrow" w:hAnsi="Arial Narrow"/>
                <w:b/>
                <w:bCs/>
                <w:sz w:val="20"/>
                <w:szCs w:val="20"/>
              </w:rPr>
              <w:t>Činnosť</w:t>
            </w:r>
          </w:p>
        </w:tc>
        <w:tc>
          <w:tcPr>
            <w:tcW w:w="1665" w:type="dxa"/>
            <w:tcBorders>
              <w:top w:val="single" w:sz="4" w:space="0" w:color="auto"/>
              <w:left w:val="nil"/>
              <w:bottom w:val="double" w:sz="6" w:space="0" w:color="auto"/>
              <w:right w:val="nil"/>
            </w:tcBorders>
            <w:shd w:val="clear" w:color="auto" w:fill="CCCCFF"/>
            <w:textDirection w:val="lrTb"/>
            <w:vAlign w:val="center"/>
          </w:tcPr>
          <w:p w:rsidR="004C20F3">
            <w:pPr>
              <w:pStyle w:val="BodyText"/>
              <w:bidi w:val="0"/>
              <w:spacing w:line="240" w:lineRule="auto"/>
              <w:ind w:firstLine="0"/>
              <w:jc w:val="center"/>
              <w:rPr>
                <w:rFonts w:ascii="Arial Narrow" w:hAnsi="Arial Narrow"/>
                <w:b/>
                <w:bCs/>
                <w:sz w:val="20"/>
                <w:szCs w:val="20"/>
              </w:rPr>
            </w:pPr>
            <w:r>
              <w:rPr>
                <w:rFonts w:ascii="Arial Narrow" w:hAnsi="Arial Narrow"/>
                <w:b/>
                <w:bCs/>
                <w:sz w:val="20"/>
                <w:szCs w:val="20"/>
              </w:rPr>
              <w:t>Objem v €</w:t>
            </w:r>
          </w:p>
        </w:tc>
        <w:tc>
          <w:tcPr>
            <w:tcW w:w="835" w:type="dxa"/>
            <w:tcBorders>
              <w:top w:val="single" w:sz="4" w:space="0" w:color="auto"/>
              <w:left w:val="nil"/>
              <w:bottom w:val="double" w:sz="6" w:space="0" w:color="auto"/>
              <w:right w:val="nil"/>
            </w:tcBorders>
            <w:shd w:val="clear" w:color="auto" w:fill="CCCCFF"/>
            <w:textDirection w:val="lrTb"/>
            <w:vAlign w:val="center"/>
          </w:tcPr>
          <w:p w:rsidR="004C20F3">
            <w:pPr>
              <w:pStyle w:val="BodyText"/>
              <w:bidi w:val="0"/>
              <w:spacing w:line="240" w:lineRule="auto"/>
              <w:ind w:firstLine="0"/>
              <w:jc w:val="center"/>
              <w:rPr>
                <w:rFonts w:ascii="Arial Narrow" w:hAnsi="Arial Narrow"/>
                <w:b/>
                <w:bCs/>
                <w:sz w:val="20"/>
                <w:szCs w:val="20"/>
              </w:rPr>
            </w:pPr>
            <w:r>
              <w:rPr>
                <w:rFonts w:ascii="Arial Narrow" w:hAnsi="Arial Narrow"/>
                <w:b/>
                <w:bCs/>
                <w:sz w:val="20"/>
                <w:szCs w:val="20"/>
              </w:rPr>
              <w:t>Počet prípadov</w:t>
            </w:r>
          </w:p>
        </w:tc>
      </w:tr>
      <w:tr>
        <w:tblPrEx>
          <w:tblW w:w="9058" w:type="dxa"/>
          <w:jc w:val="center"/>
          <w:tblInd w:w="-47" w:type="dxa"/>
          <w:tblCellMar>
            <w:left w:w="70" w:type="dxa"/>
            <w:right w:w="70" w:type="dxa"/>
          </w:tblCellMar>
        </w:tblPrEx>
        <w:trPr>
          <w:cantSplit/>
          <w:jc w:val="center"/>
        </w:trPr>
        <w:tc>
          <w:tcPr>
            <w:tcW w:w="6558" w:type="dxa"/>
            <w:vMerge w:val="restart"/>
            <w:tcBorders>
              <w:top w:val="double" w:sz="6" w:space="0" w:color="auto"/>
              <w:left w:val="nil"/>
              <w:bottom w:val="nil"/>
              <w:right w:val="nil"/>
            </w:tcBorders>
            <w:textDirection w:val="lrTb"/>
            <w:vAlign w:val="center"/>
          </w:tcPr>
          <w:p w:rsidR="004C20F3">
            <w:pPr>
              <w:pStyle w:val="BodyText"/>
              <w:bidi w:val="0"/>
              <w:ind w:firstLine="0"/>
              <w:jc w:val="left"/>
              <w:rPr>
                <w:rFonts w:ascii="Arial Narrow" w:hAnsi="Arial Narrow"/>
                <w:sz w:val="20"/>
                <w:szCs w:val="20"/>
              </w:rPr>
            </w:pPr>
            <w:r>
              <w:rPr>
                <w:rFonts w:ascii="Arial Narrow" w:hAnsi="Arial Narrow"/>
                <w:sz w:val="20"/>
                <w:szCs w:val="20"/>
              </w:rPr>
              <w:t>A: Reštitúcie § 8 zák.č.319/91 Zb. (MF SR), finančná náhrada formou zmenky</w:t>
            </w:r>
          </w:p>
          <w:p w:rsidR="004C20F3">
            <w:pPr>
              <w:pStyle w:val="BodyText"/>
              <w:bidi w:val="0"/>
              <w:ind w:firstLine="0"/>
              <w:jc w:val="left"/>
              <w:rPr>
                <w:rFonts w:ascii="Arial Narrow" w:hAnsi="Arial Narrow"/>
                <w:sz w:val="20"/>
                <w:szCs w:val="20"/>
              </w:rPr>
            </w:pPr>
            <w:r>
              <w:rPr>
                <w:rFonts w:ascii="Arial Narrow" w:hAnsi="Arial Narrow"/>
                <w:sz w:val="20"/>
                <w:szCs w:val="20"/>
              </w:rPr>
              <w:t xml:space="preserve">     Reštitúcie: § 2 ods.3 zák.č.87/91 Zb. (MH SR), finančná náhrada formou zmenky</w:t>
            </w:r>
          </w:p>
        </w:tc>
        <w:tc>
          <w:tcPr>
            <w:tcW w:w="1665" w:type="dxa"/>
            <w:tcBorders>
              <w:top w:val="double" w:sz="6" w:space="0" w:color="auto"/>
              <w:left w:val="nil"/>
              <w:bottom w:val="nil"/>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10 631,84</w:t>
            </w:r>
          </w:p>
        </w:tc>
        <w:tc>
          <w:tcPr>
            <w:tcW w:w="835" w:type="dxa"/>
            <w:tcBorders>
              <w:top w:val="double" w:sz="6" w:space="0" w:color="auto"/>
              <w:left w:val="nil"/>
              <w:bottom w:val="nil"/>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1</w:t>
            </w:r>
          </w:p>
        </w:tc>
      </w:tr>
      <w:tr>
        <w:tblPrEx>
          <w:tblW w:w="9058" w:type="dxa"/>
          <w:jc w:val="center"/>
          <w:tblInd w:w="-47" w:type="dxa"/>
          <w:tblCellMar>
            <w:left w:w="70" w:type="dxa"/>
            <w:right w:w="70" w:type="dxa"/>
          </w:tblCellMar>
        </w:tblPrEx>
        <w:trPr>
          <w:cantSplit/>
          <w:jc w:val="center"/>
        </w:trPr>
        <w:tc>
          <w:tcPr>
            <w:tcW w:w="6558" w:type="dxa"/>
            <w:vMerge/>
            <w:tcBorders>
              <w:top w:val="nil"/>
              <w:left w:val="nil"/>
              <w:bottom w:val="nil"/>
              <w:right w:val="nil"/>
            </w:tcBorders>
            <w:textDirection w:val="lrTb"/>
            <w:vAlign w:val="center"/>
          </w:tcPr>
          <w:p w:rsidR="004C20F3">
            <w:pPr>
              <w:pStyle w:val="BodyText"/>
              <w:bidi w:val="0"/>
              <w:jc w:val="left"/>
              <w:rPr>
                <w:rFonts w:ascii="Arial Narrow" w:hAnsi="Arial Narrow"/>
                <w:sz w:val="20"/>
                <w:szCs w:val="20"/>
              </w:rPr>
            </w:pPr>
          </w:p>
        </w:tc>
        <w:tc>
          <w:tcPr>
            <w:tcW w:w="1665" w:type="dxa"/>
            <w:tcBorders>
              <w:top w:val="nil"/>
              <w:left w:val="nil"/>
              <w:bottom w:val="nil"/>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298,74</w:t>
            </w:r>
          </w:p>
        </w:tc>
        <w:tc>
          <w:tcPr>
            <w:tcW w:w="835" w:type="dxa"/>
            <w:tcBorders>
              <w:top w:val="nil"/>
              <w:left w:val="nil"/>
              <w:bottom w:val="nil"/>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3</w:t>
            </w:r>
          </w:p>
        </w:tc>
      </w:tr>
      <w:tr>
        <w:tblPrEx>
          <w:tblW w:w="9058" w:type="dxa"/>
          <w:jc w:val="center"/>
          <w:tblInd w:w="-47" w:type="dxa"/>
          <w:tblCellMar>
            <w:left w:w="70" w:type="dxa"/>
            <w:right w:w="70" w:type="dxa"/>
          </w:tblCellMar>
        </w:tblPrEx>
        <w:trPr>
          <w:jc w:val="center"/>
        </w:trPr>
        <w:tc>
          <w:tcPr>
            <w:tcW w:w="6558" w:type="dxa"/>
            <w:tcBorders>
              <w:top w:val="nil"/>
              <w:left w:val="nil"/>
              <w:bottom w:val="double" w:sz="6" w:space="0" w:color="auto"/>
              <w:right w:val="nil"/>
            </w:tcBorders>
            <w:textDirection w:val="lrTb"/>
            <w:vAlign w:val="center"/>
          </w:tcPr>
          <w:p w:rsidR="004C20F3">
            <w:pPr>
              <w:pStyle w:val="BodyText"/>
              <w:bidi w:val="0"/>
              <w:ind w:firstLine="0"/>
              <w:jc w:val="left"/>
              <w:rPr>
                <w:rFonts w:ascii="Arial Narrow" w:hAnsi="Arial Narrow"/>
                <w:sz w:val="20"/>
                <w:szCs w:val="20"/>
              </w:rPr>
            </w:pPr>
            <w:r>
              <w:rPr>
                <w:rFonts w:ascii="Arial Narrow" w:hAnsi="Arial Narrow"/>
                <w:sz w:val="20"/>
                <w:szCs w:val="20"/>
              </w:rPr>
              <w:t xml:space="preserve">B: Zmluvy o bezodplatnom prevode akcií vodárenských spoločností na mestá a obce </w:t>
            </w:r>
          </w:p>
        </w:tc>
        <w:tc>
          <w:tcPr>
            <w:tcW w:w="1665" w:type="dxa"/>
            <w:tcBorders>
              <w:top w:val="nil"/>
              <w:left w:val="nil"/>
              <w:bottom w:val="double" w:sz="6" w:space="0" w:color="auto"/>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2 522 007,57</w:t>
            </w:r>
          </w:p>
        </w:tc>
        <w:tc>
          <w:tcPr>
            <w:tcW w:w="835" w:type="dxa"/>
            <w:tcBorders>
              <w:top w:val="nil"/>
              <w:left w:val="nil"/>
              <w:bottom w:val="double" w:sz="6" w:space="0" w:color="auto"/>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34</w:t>
            </w:r>
          </w:p>
        </w:tc>
      </w:tr>
      <w:tr>
        <w:tblPrEx>
          <w:tblW w:w="9058" w:type="dxa"/>
          <w:jc w:val="center"/>
          <w:tblInd w:w="-47" w:type="dxa"/>
          <w:tblCellMar>
            <w:left w:w="70" w:type="dxa"/>
            <w:right w:w="70" w:type="dxa"/>
          </w:tblCellMar>
        </w:tblPrEx>
        <w:trPr>
          <w:jc w:val="center"/>
        </w:trPr>
        <w:tc>
          <w:tcPr>
            <w:tcW w:w="6558" w:type="dxa"/>
            <w:tcBorders>
              <w:top w:val="double" w:sz="6" w:space="0" w:color="auto"/>
              <w:left w:val="nil"/>
              <w:bottom w:val="single" w:sz="4" w:space="0" w:color="auto"/>
              <w:right w:val="nil"/>
            </w:tcBorders>
            <w:shd w:val="clear" w:color="auto" w:fill="CCCCFF"/>
            <w:textDirection w:val="lrTb"/>
            <w:vAlign w:val="center"/>
          </w:tcPr>
          <w:p w:rsidR="004C20F3">
            <w:pPr>
              <w:pStyle w:val="BodyText"/>
              <w:bidi w:val="0"/>
              <w:ind w:firstLine="0"/>
              <w:jc w:val="left"/>
              <w:rPr>
                <w:rFonts w:ascii="Arial Narrow" w:hAnsi="Arial Narrow"/>
                <w:b/>
                <w:bCs/>
                <w:sz w:val="20"/>
                <w:szCs w:val="20"/>
              </w:rPr>
            </w:pPr>
            <w:r>
              <w:rPr>
                <w:rFonts w:ascii="Arial Narrow" w:hAnsi="Arial Narrow"/>
                <w:b/>
                <w:bCs/>
                <w:sz w:val="20"/>
                <w:szCs w:val="20"/>
              </w:rPr>
              <w:t>Spolu:</w:t>
            </w:r>
          </w:p>
        </w:tc>
        <w:tc>
          <w:tcPr>
            <w:tcW w:w="1665" w:type="dxa"/>
            <w:tcBorders>
              <w:top w:val="double" w:sz="6" w:space="0" w:color="auto"/>
              <w:left w:val="nil"/>
              <w:bottom w:val="single" w:sz="4" w:space="0" w:color="auto"/>
              <w:right w:val="nil"/>
            </w:tcBorders>
            <w:shd w:val="clear" w:color="auto" w:fill="CCCCFF"/>
            <w:textDirection w:val="lrTb"/>
            <w:vAlign w:val="center"/>
          </w:tcPr>
          <w:p w:rsidR="004C20F3">
            <w:pPr>
              <w:pStyle w:val="BodyText"/>
              <w:bidi w:val="0"/>
              <w:jc w:val="right"/>
              <w:rPr>
                <w:rFonts w:ascii="Arial Narrow" w:hAnsi="Arial Narrow"/>
                <w:b/>
                <w:bCs/>
                <w:sz w:val="20"/>
                <w:szCs w:val="20"/>
              </w:rPr>
            </w:pPr>
            <w:r>
              <w:rPr>
                <w:rFonts w:ascii="Arial Narrow" w:hAnsi="Arial Narrow"/>
                <w:b/>
                <w:bCs/>
                <w:sz w:val="20"/>
                <w:szCs w:val="20"/>
              </w:rPr>
              <w:t>2 532 938,15</w:t>
            </w:r>
          </w:p>
        </w:tc>
        <w:tc>
          <w:tcPr>
            <w:tcW w:w="835" w:type="dxa"/>
            <w:tcBorders>
              <w:top w:val="double" w:sz="6" w:space="0" w:color="auto"/>
              <w:left w:val="nil"/>
              <w:bottom w:val="single" w:sz="4" w:space="0" w:color="auto"/>
              <w:right w:val="nil"/>
            </w:tcBorders>
            <w:shd w:val="clear" w:color="auto" w:fill="CCCCFF"/>
            <w:textDirection w:val="lrTb"/>
            <w:vAlign w:val="center"/>
          </w:tcPr>
          <w:p w:rsidR="004C20F3">
            <w:pPr>
              <w:pStyle w:val="BodyText"/>
              <w:bidi w:val="0"/>
              <w:jc w:val="right"/>
              <w:rPr>
                <w:rFonts w:ascii="Arial Narrow" w:hAnsi="Arial Narrow"/>
                <w:b/>
                <w:bCs/>
                <w:sz w:val="20"/>
                <w:szCs w:val="20"/>
              </w:rPr>
            </w:pPr>
            <w:r>
              <w:rPr>
                <w:rFonts w:ascii="Arial Narrow" w:hAnsi="Arial Narrow"/>
                <w:b/>
                <w:bCs/>
                <w:sz w:val="20"/>
                <w:szCs w:val="20"/>
              </w:rPr>
              <w:t>38</w:t>
            </w:r>
          </w:p>
        </w:tc>
      </w:tr>
    </w:tbl>
    <w:p w:rsidR="004C20F3">
      <w:pPr>
        <w:bidi w:val="0"/>
        <w:ind w:firstLine="0"/>
        <w:rPr>
          <w:rFonts w:ascii="Times New Roman" w:hAnsi="Times New Roman"/>
        </w:rPr>
      </w:pPr>
    </w:p>
    <w:p w:rsidR="004C20F3">
      <w:pPr>
        <w:bidi w:val="0"/>
        <w:ind w:firstLine="0"/>
        <w:rPr>
          <w:rFonts w:ascii="Times New Roman" w:hAnsi="Times New Roman"/>
        </w:rPr>
      </w:pPr>
    </w:p>
    <w:p w:rsidR="004C20F3">
      <w:pPr>
        <w:pStyle w:val="Heading3"/>
        <w:bidi w:val="0"/>
        <w:spacing w:before="0"/>
        <w:rPr>
          <w:rFonts w:ascii="Times New Roman" w:hAnsi="Times New Roman"/>
        </w:rPr>
      </w:pPr>
      <w:r>
        <w:rPr>
          <w:rFonts w:ascii="Times New Roman" w:hAnsi="Times New Roman"/>
        </w:rPr>
        <w:t>IV. Zakladateľské činnosti a výkon práv akcionára</w:t>
      </w:r>
    </w:p>
    <w:p w:rsidR="004C20F3">
      <w:pPr>
        <w:bidi w:val="0"/>
        <w:rPr>
          <w:rFonts w:ascii="Times New Roman" w:hAnsi="Times New Roman"/>
        </w:rPr>
      </w:pPr>
      <w:r>
        <w:rPr>
          <w:rFonts w:ascii="Times New Roman" w:hAnsi="Times New Roman"/>
        </w:rPr>
        <w:t>K 31.12.2009 mal Fond majetkovú účasť v 87 akciových spoločnostiach, z ktorých bolo 45 v konkurze, v likvidácii alebo už bol konkurz ukončený, ale spoločnosť nebola ešte vymazaná z obchodného registra, alebo spoločnosť už bola vymazaná z obchodného registra, ale akcie ešte zostali na účte Fondu. Z evidovaného počtu 87 akciových spoločností mal Fond účasť vyššiu ako 50 % zo základného imania v 27 spoločnostiach.</w:t>
      </w:r>
    </w:p>
    <w:p w:rsidR="004C20F3">
      <w:pPr>
        <w:bidi w:val="0"/>
        <w:rPr>
          <w:rFonts w:ascii="Times New Roman" w:hAnsi="Times New Roman"/>
        </w:rPr>
      </w:pPr>
      <w:r>
        <w:rPr>
          <w:rFonts w:ascii="Times New Roman" w:hAnsi="Times New Roman"/>
        </w:rPr>
        <w:t>Zo 42 spoločností, ktoré nie sú dotknuté konkurzom alebo likvidáciou je najviac spoločností z odvetvia dopravy. Štruktúra spoločností podľa odvetví je uvedená v nasledovnej tabuľke:</w:t>
      </w:r>
    </w:p>
    <w:p w:rsidR="004C20F3">
      <w:pPr>
        <w:bidi w:val="0"/>
        <w:rPr>
          <w:rFonts w:ascii="Times New Roman" w:hAnsi="Times New Roman"/>
        </w:rPr>
      </w:pPr>
    </w:p>
    <w:tbl>
      <w:tblPr>
        <w:tblStyle w:val="TableNormal"/>
        <w:tblW w:w="0" w:type="auto"/>
        <w:tblInd w:w="1510" w:type="dxa"/>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3960"/>
        <w:gridCol w:w="1800"/>
      </w:tblGrid>
      <w:tr>
        <w:tblPrEx>
          <w:tblW w:w="0" w:type="auto"/>
          <w:tblInd w:w="1510" w:type="dxa"/>
          <w:tblBorders>
            <w:top w:val="single" w:sz="4" w:space="0" w:color="auto"/>
            <w:left w:val="single" w:sz="4" w:space="0" w:color="auto"/>
            <w:bottom w:val="single" w:sz="4" w:space="0" w:color="auto"/>
            <w:right w:val="single" w:sz="4" w:space="0" w:color="auto"/>
          </w:tblBorders>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shd w:val="clear" w:color="auto" w:fill="CCCCFF"/>
            <w:textDirection w:val="lrTb"/>
            <w:vAlign w:val="top"/>
          </w:tcPr>
          <w:p w:rsidR="004C20F3">
            <w:pPr>
              <w:bidi w:val="0"/>
              <w:rPr>
                <w:rFonts w:ascii="Arial Narrow" w:hAnsi="Arial Narrow"/>
                <w:b/>
                <w:bCs/>
                <w:sz w:val="20"/>
              </w:rPr>
            </w:pPr>
            <w:r>
              <w:rPr>
                <w:rFonts w:ascii="Arial Narrow" w:hAnsi="Arial Narrow"/>
                <w:b/>
                <w:bCs/>
                <w:sz w:val="20"/>
              </w:rPr>
              <w:t>Odvetvie</w:t>
            </w:r>
          </w:p>
        </w:tc>
        <w:tc>
          <w:tcPr>
            <w:tcW w:w="1800" w:type="dxa"/>
            <w:tcBorders>
              <w:top w:val="single" w:sz="4" w:space="0" w:color="auto"/>
              <w:left w:val="single" w:sz="4" w:space="0" w:color="auto"/>
              <w:bottom w:val="single" w:sz="4" w:space="0" w:color="auto"/>
              <w:right w:val="single" w:sz="4" w:space="0" w:color="auto"/>
            </w:tcBorders>
            <w:shd w:val="clear" w:color="auto" w:fill="CCCCFF"/>
            <w:textDirection w:val="lrTb"/>
            <w:vAlign w:val="top"/>
          </w:tcPr>
          <w:p w:rsidR="004C20F3">
            <w:pPr>
              <w:bidi w:val="0"/>
              <w:rPr>
                <w:rFonts w:ascii="Arial Narrow" w:hAnsi="Arial Narrow"/>
                <w:b/>
                <w:bCs/>
                <w:sz w:val="20"/>
              </w:rPr>
            </w:pPr>
            <w:r>
              <w:rPr>
                <w:rFonts w:ascii="Arial Narrow" w:hAnsi="Arial Narrow"/>
                <w:b/>
                <w:bCs/>
                <w:sz w:val="20"/>
              </w:rPr>
              <w:t>Počet a.s.</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Doprava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18</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Elektroenergetika</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6</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Teplárenstvo</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6</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 xml:space="preserve">Vodárenstvo </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4</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Zdravotníctvo</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3</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Strojárenstvo</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1</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Kapitálový trh</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2</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Ostatné</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2</w:t>
            </w:r>
          </w:p>
        </w:tc>
      </w:tr>
      <w:tr>
        <w:tblPrEx>
          <w:tblW w:w="0" w:type="auto"/>
          <w:tblInd w:w="1510" w:type="dxa"/>
          <w:tblCellMar>
            <w:left w:w="70" w:type="dxa"/>
            <w:right w:w="70" w:type="dxa"/>
          </w:tblCellMar>
        </w:tblPrEx>
        <w:tc>
          <w:tcPr>
            <w:tcW w:w="396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Spolu</w:t>
            </w:r>
          </w:p>
        </w:tc>
        <w:tc>
          <w:tcPr>
            <w:tcW w:w="1800" w:type="dxa"/>
            <w:tcBorders>
              <w:top w:val="single" w:sz="4" w:space="0" w:color="auto"/>
              <w:left w:val="single" w:sz="4" w:space="0" w:color="auto"/>
              <w:bottom w:val="single" w:sz="4" w:space="0" w:color="auto"/>
              <w:right w:val="single" w:sz="4" w:space="0" w:color="auto"/>
            </w:tcBorders>
            <w:textDirection w:val="lrTb"/>
            <w:vAlign w:val="top"/>
          </w:tcPr>
          <w:p w:rsidR="004C20F3">
            <w:pPr>
              <w:bidi w:val="0"/>
              <w:rPr>
                <w:rFonts w:ascii="Arial Narrow" w:hAnsi="Arial Narrow"/>
                <w:sz w:val="20"/>
              </w:rPr>
            </w:pPr>
            <w:r>
              <w:rPr>
                <w:rFonts w:ascii="Arial Narrow" w:hAnsi="Arial Narrow"/>
                <w:sz w:val="20"/>
              </w:rPr>
              <w:t>42</w:t>
            </w:r>
          </w:p>
        </w:tc>
      </w:tr>
    </w:tbl>
    <w:p w:rsidR="004C20F3">
      <w:pPr>
        <w:bidi w:val="0"/>
        <w:rPr>
          <w:rFonts w:ascii="Times New Roman" w:hAnsi="Times New Roman"/>
        </w:rPr>
      </w:pPr>
      <w:r>
        <w:rPr>
          <w:rFonts w:ascii="Times New Roman" w:hAnsi="Times New Roman"/>
        </w:rPr>
        <w:t>Najvýznamnejšími spoločnosťami, v ktorých má Fond majetkovú účasť, z hľadiska výšky základného imania, majetkovej účasti a vyplácania dividend, sú podniky elektroenergetiky, teplárenstva a spoločnosť Slovak Telekom, a.s..</w:t>
      </w:r>
    </w:p>
    <w:p w:rsidR="004C20F3">
      <w:pPr>
        <w:bidi w:val="0"/>
        <w:rPr>
          <w:rFonts w:ascii="Times New Roman" w:hAnsi="Times New Roman"/>
        </w:rPr>
      </w:pPr>
      <w:r>
        <w:rPr>
          <w:rFonts w:ascii="Times New Roman" w:hAnsi="Times New Roman"/>
        </w:rPr>
        <w:t>V roku 2009 obdržal Fond dividendy z 12 spoločností v celkovej výške 599 595 tis.€. Z toho dividendy zo spoločností Slovenský plynárenský priemysel, a.s., Slovenská elektrizačná prenosová sústava, a.s., Západoslovenská energetika, a.s., Stredoslovenská energetika, a.s., Východoslovenská energetika, a.s. a Slovak Telekom, a.s. predstavovali čiastku 582 164 tis. €, čo predstavuje 97,1 % zo všetkých dividend Fondu obdržaných v roku 2009. Najvyššie dividendy vyplatila spoločnosť Slovenský plynárenský priemysel, a.s..</w:t>
      </w:r>
    </w:p>
    <w:p w:rsidR="004C20F3">
      <w:pPr>
        <w:bidi w:val="0"/>
        <w:rPr>
          <w:rFonts w:ascii="Times New Roman" w:hAnsi="Times New Roman"/>
        </w:rPr>
      </w:pPr>
      <w:r>
        <w:rPr>
          <w:rFonts w:ascii="Times New Roman" w:hAnsi="Times New Roman"/>
        </w:rPr>
        <w:t>Výkon akcionárskych práv bol sústredený najmä na prípravu a aktívnu účasť na valných zhromaždeniach akciových spoločností. Fond zabezpečil prípravu a účasť na 57 riadnych a mimoriadnych valných zhromaždeniach akciových spoločností, v ktorých má Fond majetkovú účasť a vykonáva práva a povinnosti akcionára a 18 valných zhromaždení v zmysle § 190 Obchodného zákonníka, t.j. vo forme rozhodnutí jediného akcionára. Fond vykonáva akcionárske práva v 36 spoločnostiach.</w:t>
      </w:r>
    </w:p>
    <w:p w:rsidR="004C20F3">
      <w:pPr>
        <w:bidi w:val="0"/>
        <w:rPr>
          <w:rFonts w:ascii="Times New Roman" w:hAnsi="Times New Roman"/>
        </w:rPr>
      </w:pPr>
      <w:r>
        <w:rPr>
          <w:rFonts w:ascii="Times New Roman" w:hAnsi="Times New Roman"/>
        </w:rPr>
        <w:t>V súvislosti so spoločnosťami, v ktorých má Fond majetkovú účasť, ale práva a povinnosti akcionára vykonáva podľa § 47 d.) zákona Ministerstvo hospodárstva Slovenskej republiky, Fond pripravil a vydal 23 splnomocnení k účasti na valných zhromaždeniach alebo na vydanie rozhodnutia jediného akcionára.</w:t>
      </w:r>
    </w:p>
    <w:p w:rsidR="004C20F3">
      <w:pPr>
        <w:bidi w:val="0"/>
        <w:ind w:firstLine="0"/>
        <w:rPr>
          <w:rFonts w:ascii="Times New Roman" w:hAnsi="Times New Roman"/>
        </w:rPr>
      </w:pPr>
      <w:r>
        <w:rPr>
          <w:rFonts w:ascii="Times New Roman" w:hAnsi="Times New Roman"/>
        </w:rPr>
        <w:t>Ministerstvo hospodárstva SR vykonáva akcionárske práva v týchto 6 spoločnostiach:</w:t>
      </w:r>
    </w:p>
    <w:p w:rsidR="004C20F3">
      <w:pPr>
        <w:pStyle w:val="ostavec3"/>
        <w:tabs>
          <w:tab w:val="left" w:pos="540"/>
          <w:tab w:val="clear" w:pos="924"/>
        </w:tabs>
        <w:bidi w:val="0"/>
        <w:ind w:left="540"/>
        <w:rPr>
          <w:rFonts w:ascii="Times New Roman" w:hAnsi="Times New Roman"/>
        </w:rPr>
      </w:pPr>
      <w:r>
        <w:rPr>
          <w:rFonts w:ascii="Times New Roman" w:hAnsi="Times New Roman"/>
        </w:rPr>
        <w:t>Slovenský plynárenský priemysel, a.s.</w:t>
      </w:r>
    </w:p>
    <w:p w:rsidR="004C20F3">
      <w:pPr>
        <w:pStyle w:val="ostavec3"/>
        <w:tabs>
          <w:tab w:val="left" w:pos="540"/>
          <w:tab w:val="clear" w:pos="924"/>
        </w:tabs>
        <w:bidi w:val="0"/>
        <w:ind w:left="540"/>
        <w:rPr>
          <w:rFonts w:ascii="Times New Roman" w:hAnsi="Times New Roman"/>
        </w:rPr>
      </w:pPr>
      <w:r>
        <w:rPr>
          <w:rFonts w:ascii="Times New Roman" w:hAnsi="Times New Roman"/>
        </w:rPr>
        <w:t>Slovenské elektrárne, a.s.</w:t>
      </w:r>
    </w:p>
    <w:p w:rsidR="004C20F3">
      <w:pPr>
        <w:pStyle w:val="ostavec3"/>
        <w:tabs>
          <w:tab w:val="left" w:pos="540"/>
          <w:tab w:val="clear" w:pos="924"/>
        </w:tabs>
        <w:bidi w:val="0"/>
        <w:ind w:left="540"/>
        <w:rPr>
          <w:rFonts w:ascii="Times New Roman" w:hAnsi="Times New Roman"/>
        </w:rPr>
      </w:pPr>
      <w:r>
        <w:rPr>
          <w:rFonts w:ascii="Times New Roman" w:hAnsi="Times New Roman"/>
        </w:rPr>
        <w:t>Slovenská elektrizačná prenosová sústava, a.s.</w:t>
      </w:r>
    </w:p>
    <w:p w:rsidR="004C20F3">
      <w:pPr>
        <w:pStyle w:val="ostavec3"/>
        <w:tabs>
          <w:tab w:val="left" w:pos="540"/>
          <w:tab w:val="clear" w:pos="924"/>
        </w:tabs>
        <w:bidi w:val="0"/>
        <w:ind w:left="540"/>
        <w:rPr>
          <w:rFonts w:ascii="Times New Roman" w:hAnsi="Times New Roman"/>
        </w:rPr>
      </w:pPr>
      <w:r>
        <w:rPr>
          <w:rFonts w:ascii="Times New Roman" w:hAnsi="Times New Roman"/>
        </w:rPr>
        <w:t>Západoslovenská energetika, a.s.</w:t>
      </w:r>
    </w:p>
    <w:p w:rsidR="004C20F3">
      <w:pPr>
        <w:pStyle w:val="ostavec3"/>
        <w:tabs>
          <w:tab w:val="left" w:pos="540"/>
          <w:tab w:val="clear" w:pos="924"/>
        </w:tabs>
        <w:bidi w:val="0"/>
        <w:ind w:left="540"/>
        <w:rPr>
          <w:rFonts w:ascii="Times New Roman" w:hAnsi="Times New Roman"/>
        </w:rPr>
      </w:pPr>
      <w:r>
        <w:rPr>
          <w:rFonts w:ascii="Times New Roman" w:hAnsi="Times New Roman"/>
        </w:rPr>
        <w:t>Stredoslovenská energetika, a.s.</w:t>
      </w:r>
    </w:p>
    <w:p w:rsidR="004C20F3">
      <w:pPr>
        <w:pStyle w:val="ostavec3"/>
        <w:tabs>
          <w:tab w:val="left" w:pos="540"/>
          <w:tab w:val="clear" w:pos="924"/>
        </w:tabs>
        <w:bidi w:val="0"/>
        <w:ind w:left="540"/>
        <w:rPr>
          <w:rFonts w:ascii="Times New Roman" w:hAnsi="Times New Roman"/>
        </w:rPr>
      </w:pPr>
      <w:r>
        <w:rPr>
          <w:rFonts w:ascii="Times New Roman" w:hAnsi="Times New Roman"/>
        </w:rPr>
        <w:t>Východoslovenská energetika, a.s.</w:t>
      </w:r>
    </w:p>
    <w:p w:rsidR="004C20F3">
      <w:pPr>
        <w:pStyle w:val="ostavec3"/>
        <w:numPr>
          <w:numId w:val="0"/>
        </w:numPr>
        <w:tabs>
          <w:tab w:val="left" w:pos="540"/>
          <w:tab w:val="clear" w:pos="924"/>
        </w:tabs>
        <w:bidi w:val="0"/>
        <w:ind w:firstLine="0"/>
        <w:rPr>
          <w:rFonts w:ascii="Times New Roman" w:hAnsi="Times New Roman"/>
        </w:rPr>
      </w:pPr>
    </w:p>
    <w:p w:rsidR="004C20F3">
      <w:pPr>
        <w:tabs>
          <w:tab w:val="left" w:pos="540"/>
        </w:tabs>
        <w:bidi w:val="0"/>
        <w:ind w:left="540" w:hanging="540"/>
        <w:rPr>
          <w:rFonts w:ascii="Times New Roman" w:hAnsi="Times New Roman"/>
        </w:rPr>
      </w:pPr>
      <w:r>
        <w:rPr>
          <w:rFonts w:ascii="Times New Roman" w:hAnsi="Times New Roman"/>
        </w:rPr>
        <w:t>Na riadnych valných zhromaždeniach boli prerokované a prijaté uznesenia týkajúce sa:</w:t>
      </w:r>
    </w:p>
    <w:p w:rsidR="004C20F3">
      <w:pPr>
        <w:pStyle w:val="ostavec3"/>
        <w:tabs>
          <w:tab w:val="left" w:pos="540"/>
          <w:tab w:val="clear" w:pos="924"/>
        </w:tabs>
        <w:bidi w:val="0"/>
        <w:ind w:left="540"/>
        <w:rPr>
          <w:rFonts w:ascii="Times New Roman" w:hAnsi="Times New Roman"/>
        </w:rPr>
      </w:pPr>
      <w:r>
        <w:rPr>
          <w:rFonts w:ascii="Times New Roman" w:hAnsi="Times New Roman"/>
        </w:rPr>
        <w:t>schválenia výročnej správy a.s. za rok 2008,</w:t>
      </w:r>
    </w:p>
    <w:p w:rsidR="004C20F3">
      <w:pPr>
        <w:pStyle w:val="ostavec3"/>
        <w:tabs>
          <w:tab w:val="left" w:pos="540"/>
          <w:tab w:val="clear" w:pos="924"/>
        </w:tabs>
        <w:bidi w:val="0"/>
        <w:ind w:left="540"/>
        <w:rPr>
          <w:rFonts w:ascii="Times New Roman" w:hAnsi="Times New Roman"/>
        </w:rPr>
      </w:pPr>
      <w:r>
        <w:rPr>
          <w:rFonts w:ascii="Times New Roman" w:hAnsi="Times New Roman"/>
        </w:rPr>
        <w:t>schválenia ročnej účtovnej závierky a rozdelenia zisku, resp. zúčtovania straty za rok 2008,</w:t>
      </w:r>
    </w:p>
    <w:p w:rsidR="004C20F3">
      <w:pPr>
        <w:pStyle w:val="ostavec3"/>
        <w:tabs>
          <w:tab w:val="left" w:pos="540"/>
          <w:tab w:val="clear" w:pos="924"/>
        </w:tabs>
        <w:bidi w:val="0"/>
        <w:ind w:left="540"/>
        <w:rPr>
          <w:rFonts w:ascii="Times New Roman" w:hAnsi="Times New Roman"/>
        </w:rPr>
      </w:pPr>
      <w:r>
        <w:rPr>
          <w:rFonts w:ascii="Times New Roman" w:hAnsi="Times New Roman"/>
        </w:rPr>
        <w:t>personálnych zmien v predstavenstve a dozornej rade a.s.,</w:t>
      </w:r>
    </w:p>
    <w:p w:rsidR="004C20F3">
      <w:pPr>
        <w:pStyle w:val="ostavec3"/>
        <w:tabs>
          <w:tab w:val="left" w:pos="540"/>
          <w:tab w:val="clear" w:pos="924"/>
        </w:tabs>
        <w:bidi w:val="0"/>
        <w:ind w:left="540"/>
        <w:rPr>
          <w:rFonts w:ascii="Times New Roman" w:hAnsi="Times New Roman"/>
        </w:rPr>
      </w:pPr>
      <w:r>
        <w:rPr>
          <w:rFonts w:ascii="Times New Roman" w:hAnsi="Times New Roman"/>
        </w:rPr>
        <w:t>schválenia ostatných návrhov spadajúcich do právomoci valného zhromaždenia.</w:t>
      </w:r>
    </w:p>
    <w:p w:rsidR="004C20F3">
      <w:pPr>
        <w:tabs>
          <w:tab w:val="left" w:pos="540"/>
        </w:tabs>
        <w:bidi w:val="0"/>
        <w:ind w:firstLine="0"/>
        <w:rPr>
          <w:rFonts w:ascii="Times New Roman" w:hAnsi="Times New Roman"/>
        </w:rPr>
      </w:pPr>
    </w:p>
    <w:p w:rsidR="004C20F3">
      <w:pPr>
        <w:tabs>
          <w:tab w:val="left" w:pos="180"/>
        </w:tabs>
        <w:bidi w:val="0"/>
        <w:ind w:left="180" w:firstLine="0"/>
        <w:rPr>
          <w:rFonts w:ascii="Times New Roman" w:hAnsi="Times New Roman"/>
        </w:rPr>
      </w:pPr>
      <w:r>
        <w:rPr>
          <w:rFonts w:ascii="Times New Roman" w:hAnsi="Times New Roman"/>
        </w:rPr>
        <w:t>Mimoriadne valné zhromaždenia boli zvolávané v súlade s platnými stanovami akciových spoločností, predovšetkým za účelom:</w:t>
      </w:r>
    </w:p>
    <w:p w:rsidR="004C20F3">
      <w:pPr>
        <w:pStyle w:val="ostavec3"/>
        <w:tabs>
          <w:tab w:val="left" w:pos="540"/>
          <w:tab w:val="clear" w:pos="924"/>
        </w:tabs>
        <w:bidi w:val="0"/>
        <w:ind w:left="540"/>
        <w:rPr>
          <w:rFonts w:ascii="Times New Roman" w:hAnsi="Times New Roman"/>
        </w:rPr>
      </w:pPr>
      <w:r>
        <w:rPr>
          <w:rFonts w:ascii="Times New Roman" w:hAnsi="Times New Roman"/>
        </w:rPr>
        <w:t>zmeny stanov,</w:t>
      </w:r>
    </w:p>
    <w:p w:rsidR="004C20F3">
      <w:pPr>
        <w:pStyle w:val="ostavec3"/>
        <w:tabs>
          <w:tab w:val="left" w:pos="540"/>
          <w:tab w:val="clear" w:pos="924"/>
        </w:tabs>
        <w:bidi w:val="0"/>
        <w:ind w:left="540"/>
        <w:rPr>
          <w:rFonts w:ascii="Times New Roman" w:hAnsi="Times New Roman"/>
        </w:rPr>
      </w:pPr>
      <w:r>
        <w:rPr>
          <w:rFonts w:ascii="Times New Roman" w:hAnsi="Times New Roman"/>
        </w:rPr>
        <w:t>personálnych zmien v predstavenstvách a dozorných radách,</w:t>
      </w:r>
    </w:p>
    <w:p w:rsidR="004C20F3">
      <w:pPr>
        <w:pStyle w:val="ostavec3"/>
        <w:tabs>
          <w:tab w:val="left" w:pos="540"/>
          <w:tab w:val="clear" w:pos="924"/>
        </w:tabs>
        <w:bidi w:val="0"/>
        <w:ind w:left="540"/>
        <w:rPr>
          <w:rFonts w:ascii="Times New Roman" w:hAnsi="Times New Roman"/>
        </w:rPr>
      </w:pPr>
      <w:r>
        <w:rPr>
          <w:rFonts w:ascii="Times New Roman" w:hAnsi="Times New Roman"/>
        </w:rPr>
        <w:t>udelenia súhlasu na odpredaj hnuteľného i nehnuteľného majetku, schválenia záložného práva,</w:t>
      </w:r>
    </w:p>
    <w:p w:rsidR="004C20F3">
      <w:pPr>
        <w:pStyle w:val="ostavec3"/>
        <w:tabs>
          <w:tab w:val="left" w:pos="540"/>
          <w:tab w:val="clear" w:pos="924"/>
        </w:tabs>
        <w:bidi w:val="0"/>
        <w:ind w:left="540"/>
        <w:rPr>
          <w:rFonts w:ascii="Times New Roman" w:hAnsi="Times New Roman"/>
        </w:rPr>
      </w:pPr>
      <w:r>
        <w:rPr>
          <w:rFonts w:ascii="Times New Roman" w:hAnsi="Times New Roman"/>
        </w:rPr>
        <w:t>schválenia ostatných návrhov spadajúcich do právomoci valného zhromaždenia.</w:t>
      </w:r>
    </w:p>
    <w:p w:rsidR="004C20F3">
      <w:pPr>
        <w:bidi w:val="0"/>
        <w:ind w:firstLine="0"/>
        <w:rPr>
          <w:rFonts w:ascii="Times New Roman" w:hAnsi="Times New Roman"/>
        </w:rPr>
      </w:pPr>
    </w:p>
    <w:p w:rsidR="004C20F3">
      <w:pPr>
        <w:bidi w:val="0"/>
        <w:rPr>
          <w:rFonts w:ascii="Times New Roman" w:hAnsi="Times New Roman"/>
        </w:rPr>
      </w:pPr>
      <w:r>
        <w:rPr>
          <w:rFonts w:ascii="Times New Roman" w:hAnsi="Times New Roman"/>
        </w:rPr>
        <w:t>V spoločnostiach, v ktorých bol Fond jediným akcionárom boli mimoriadne valné zhromaždenia spravidla realizované v zmysle § 190 Obch. zákonníka, t.j. rozhodnutím jediného akcionára.</w:t>
      </w:r>
    </w:p>
    <w:p w:rsidR="004C20F3">
      <w:pPr>
        <w:bidi w:val="0"/>
        <w:rPr>
          <w:rFonts w:ascii="Times New Roman" w:hAnsi="Times New Roman"/>
        </w:rPr>
      </w:pPr>
      <w:r>
        <w:rPr>
          <w:rFonts w:ascii="Times New Roman" w:hAnsi="Times New Roman"/>
        </w:rPr>
        <w:t>Všetky materiály súvisiace s prípravou valných zhromaždení boli predkladané v písomnej forme na prerokovanie Výkonnému výboru Fondu, resp. Prezídiu Fondu. Okrem materiálov, ktoré boli predmetom rokovania valných zhromaždení boli vyššie uvedeným orgánom Fondu predkladané na prerokovanie aj ďalšie materiály súvisiace s výkonom práv akcionára. Išlo najmä o materiály týkajúce sa:</w:t>
      </w:r>
    </w:p>
    <w:p w:rsidR="004C20F3">
      <w:pPr>
        <w:pStyle w:val="ostavec3"/>
        <w:tabs>
          <w:tab w:val="left" w:pos="540"/>
          <w:tab w:val="clear" w:pos="924"/>
        </w:tabs>
        <w:bidi w:val="0"/>
        <w:ind w:left="540"/>
        <w:rPr>
          <w:rFonts w:ascii="Times New Roman" w:hAnsi="Times New Roman"/>
        </w:rPr>
      </w:pPr>
      <w:r>
        <w:rPr>
          <w:rFonts w:ascii="Times New Roman" w:hAnsi="Times New Roman"/>
        </w:rPr>
        <w:t>personálnych zmien</w:t>
      </w:r>
      <w:r>
        <w:rPr>
          <w:rFonts w:ascii="Times New Roman" w:hAnsi="Times New Roman"/>
          <w:b/>
          <w:bCs/>
        </w:rPr>
        <w:t xml:space="preserve"> </w:t>
      </w:r>
      <w:r>
        <w:rPr>
          <w:rFonts w:ascii="Times New Roman" w:hAnsi="Times New Roman"/>
        </w:rPr>
        <w:t>v akciových spoločnostiach,</w:t>
      </w:r>
    </w:p>
    <w:p w:rsidR="004C20F3">
      <w:pPr>
        <w:pStyle w:val="ostavec3"/>
        <w:tabs>
          <w:tab w:val="left" w:pos="540"/>
          <w:tab w:val="clear" w:pos="924"/>
        </w:tabs>
        <w:bidi w:val="0"/>
        <w:ind w:left="540"/>
        <w:rPr>
          <w:rFonts w:ascii="Times New Roman" w:hAnsi="Times New Roman"/>
        </w:rPr>
      </w:pPr>
      <w:r>
        <w:rPr>
          <w:rFonts w:ascii="Times New Roman" w:hAnsi="Times New Roman"/>
        </w:rPr>
        <w:t>informácií o plnení uznesení Výkonného výboru Fondu v súvislosti s činnosťou niektorých spoločností,</w:t>
      </w:r>
    </w:p>
    <w:p w:rsidR="004C20F3">
      <w:pPr>
        <w:pStyle w:val="ostavec3"/>
        <w:tabs>
          <w:tab w:val="left" w:pos="540"/>
          <w:tab w:val="clear" w:pos="924"/>
        </w:tabs>
        <w:bidi w:val="0"/>
        <w:ind w:left="540"/>
        <w:rPr>
          <w:rFonts w:ascii="Times New Roman" w:hAnsi="Times New Roman"/>
        </w:rPr>
      </w:pPr>
      <w:r>
        <w:rPr>
          <w:rFonts w:ascii="Times New Roman" w:hAnsi="Times New Roman"/>
        </w:rPr>
        <w:t>rozšírenia programu valných zhromaždení,</w:t>
      </w:r>
    </w:p>
    <w:p w:rsidR="004C20F3">
      <w:pPr>
        <w:pStyle w:val="ostavec3"/>
        <w:tabs>
          <w:tab w:val="left" w:pos="540"/>
          <w:tab w:val="clear" w:pos="924"/>
        </w:tabs>
        <w:bidi w:val="0"/>
        <w:ind w:left="540"/>
        <w:rPr>
          <w:rFonts w:ascii="Times New Roman" w:hAnsi="Times New Roman"/>
        </w:rPr>
      </w:pPr>
      <w:r>
        <w:rPr>
          <w:rFonts w:ascii="Times New Roman" w:hAnsi="Times New Roman"/>
        </w:rPr>
        <w:t>predpokladaných príjmov Fondu z dividend na roky 2009 – 2011,</w:t>
      </w:r>
    </w:p>
    <w:p w:rsidR="004C20F3">
      <w:pPr>
        <w:pStyle w:val="ostavec3"/>
        <w:tabs>
          <w:tab w:val="left" w:pos="540"/>
          <w:tab w:val="clear" w:pos="924"/>
        </w:tabs>
        <w:bidi w:val="0"/>
        <w:ind w:left="540"/>
        <w:rPr>
          <w:rFonts w:ascii="Times New Roman" w:hAnsi="Times New Roman"/>
        </w:rPr>
      </w:pPr>
      <w:r>
        <w:rPr>
          <w:rFonts w:ascii="Times New Roman" w:hAnsi="Times New Roman"/>
        </w:rPr>
        <w:t xml:space="preserve">stavu akciových spoločností s majetkovou účasťou Fondu, </w:t>
      </w:r>
    </w:p>
    <w:p w:rsidR="004C20F3">
      <w:pPr>
        <w:pStyle w:val="ostavec3"/>
        <w:tabs>
          <w:tab w:val="left" w:pos="540"/>
          <w:tab w:val="clear" w:pos="924"/>
        </w:tabs>
        <w:bidi w:val="0"/>
        <w:ind w:left="540"/>
        <w:rPr>
          <w:rFonts w:ascii="Times New Roman" w:hAnsi="Times New Roman"/>
        </w:rPr>
      </w:pPr>
      <w:r>
        <w:rPr>
          <w:rFonts w:ascii="Times New Roman" w:hAnsi="Times New Roman"/>
        </w:rPr>
        <w:t>zástupcov Fondu v orgánoch spoločností,</w:t>
      </w:r>
    </w:p>
    <w:p w:rsidR="004C20F3">
      <w:pPr>
        <w:pStyle w:val="ostavec3"/>
        <w:tabs>
          <w:tab w:val="left" w:pos="540"/>
          <w:tab w:val="clear" w:pos="924"/>
        </w:tabs>
        <w:bidi w:val="0"/>
        <w:ind w:left="540"/>
        <w:rPr>
          <w:rFonts w:ascii="Times New Roman" w:hAnsi="Times New Roman"/>
        </w:rPr>
      </w:pPr>
      <w:r>
        <w:rPr>
          <w:rFonts w:ascii="Times New Roman" w:hAnsi="Times New Roman"/>
        </w:rPr>
        <w:t>žiadostí príkazníkov Fondu, v zmysle príkazných zmlúv, k hlasovaniu na rokovaniach dozorných rád.</w:t>
      </w:r>
    </w:p>
    <w:p w:rsidR="004C20F3">
      <w:pPr>
        <w:bidi w:val="0"/>
        <w:rPr>
          <w:rFonts w:ascii="Times New Roman" w:hAnsi="Times New Roman"/>
        </w:rPr>
      </w:pPr>
      <w:r>
        <w:rPr>
          <w:rFonts w:ascii="Times New Roman" w:hAnsi="Times New Roman"/>
        </w:rPr>
        <w:t>Vydaniu splnomocnenia pre zástupcov MH SR k účasti na valných zhromaždeniach, resp. na vydanie rozhodnutia jediného akcionára predchádza vypracovanie príslušných materiálov a ich prerokovanie vo Výkonnom výbore a v prípade potreby aj v Prezídiu Fondu v takom rozsahu, v akom sa vypracovávajú aj pre spoločnosti, v ktorých práva akcionára vykonáva Fond.</w:t>
      </w:r>
    </w:p>
    <w:p w:rsidR="004C20F3">
      <w:pPr>
        <w:bidi w:val="0"/>
        <w:rPr>
          <w:rFonts w:ascii="Times New Roman" w:hAnsi="Times New Roman"/>
        </w:rPr>
      </w:pPr>
      <w:r>
        <w:rPr>
          <w:rFonts w:ascii="Times New Roman" w:hAnsi="Times New Roman"/>
        </w:rPr>
        <w:t>Výkon akcionárskych práv bol zabezpečovaný aj aktívnou účasťou zástupcov Fondu v orgánoch akciových spoločností. Zástupcovia Fondu v dozorných radách majú s Fondom uzavreté príkazné zmluvy, ktoré im stanovujú vyžiadať si stanovisko Výkonného výboru Fondu k hlasovaniu ohľadne:</w:t>
      </w:r>
    </w:p>
    <w:p w:rsidR="004C20F3">
      <w:pPr>
        <w:pStyle w:val="ostavec3"/>
        <w:tabs>
          <w:tab w:val="left" w:pos="360"/>
          <w:tab w:val="clear" w:pos="924"/>
        </w:tabs>
        <w:bidi w:val="0"/>
        <w:ind w:left="360"/>
        <w:rPr>
          <w:rFonts w:ascii="Times New Roman" w:hAnsi="Times New Roman"/>
        </w:rPr>
      </w:pPr>
      <w:r>
        <w:rPr>
          <w:rFonts w:ascii="Times New Roman" w:hAnsi="Times New Roman"/>
        </w:rPr>
        <w:t>personálnych zmien v predstavenstvách a.s.,</w:t>
      </w:r>
    </w:p>
    <w:p w:rsidR="004C20F3">
      <w:pPr>
        <w:pStyle w:val="ostavec3"/>
        <w:tabs>
          <w:tab w:val="left" w:pos="360"/>
          <w:tab w:val="clear" w:pos="924"/>
        </w:tabs>
        <w:bidi w:val="0"/>
        <w:ind w:left="360"/>
        <w:rPr>
          <w:rFonts w:ascii="Times New Roman" w:hAnsi="Times New Roman"/>
        </w:rPr>
      </w:pPr>
      <w:r>
        <w:rPr>
          <w:rFonts w:ascii="Times New Roman" w:hAnsi="Times New Roman"/>
        </w:rPr>
        <w:t>schválenia zmluvných platov riaditeľov akciových spoločností,</w:t>
      </w:r>
    </w:p>
    <w:p w:rsidR="004C20F3">
      <w:pPr>
        <w:pStyle w:val="ostavec3"/>
        <w:tabs>
          <w:tab w:val="left" w:pos="360"/>
          <w:tab w:val="clear" w:pos="924"/>
        </w:tabs>
        <w:bidi w:val="0"/>
        <w:ind w:left="360"/>
        <w:rPr>
          <w:rFonts w:ascii="Times New Roman" w:hAnsi="Times New Roman"/>
        </w:rPr>
      </w:pPr>
      <w:r>
        <w:rPr>
          <w:rFonts w:ascii="Times New Roman" w:hAnsi="Times New Roman"/>
        </w:rPr>
        <w:t>prevodov hnuteľného majetku akciových spoločností v súlade so stanovami týchto spoločností,</w:t>
      </w:r>
    </w:p>
    <w:p w:rsidR="004C20F3">
      <w:pPr>
        <w:pStyle w:val="ostavec3"/>
        <w:tabs>
          <w:tab w:val="left" w:pos="360"/>
          <w:tab w:val="clear" w:pos="924"/>
        </w:tabs>
        <w:bidi w:val="0"/>
        <w:ind w:left="360"/>
        <w:rPr>
          <w:rFonts w:ascii="Times New Roman" w:hAnsi="Times New Roman"/>
        </w:rPr>
      </w:pPr>
      <w:r>
        <w:rPr>
          <w:rFonts w:ascii="Times New Roman" w:hAnsi="Times New Roman"/>
        </w:rPr>
        <w:t>uzavretia zmlúv o nájme na dobu dlhšiu ako jeden rok,</w:t>
      </w:r>
    </w:p>
    <w:p w:rsidR="004C20F3">
      <w:pPr>
        <w:pStyle w:val="ostavec3"/>
        <w:tabs>
          <w:tab w:val="left" w:pos="360"/>
          <w:tab w:val="clear" w:pos="924"/>
        </w:tabs>
        <w:bidi w:val="0"/>
        <w:ind w:left="360"/>
        <w:rPr>
          <w:rFonts w:ascii="Times New Roman" w:hAnsi="Times New Roman"/>
          <w:szCs w:val="24"/>
        </w:rPr>
      </w:pPr>
      <w:r>
        <w:rPr>
          <w:rFonts w:ascii="Times New Roman" w:hAnsi="Times New Roman"/>
        </w:rPr>
        <w:t>uzatvárania záložných zmlúv na majetok spoločnosti.</w:t>
      </w:r>
    </w:p>
    <w:p w:rsidR="004C20F3">
      <w:pPr>
        <w:bidi w:val="0"/>
        <w:rPr>
          <w:rFonts w:ascii="Times New Roman" w:hAnsi="Times New Roman"/>
          <w:b/>
          <w:bCs/>
          <w:i/>
          <w:iCs/>
        </w:rPr>
      </w:pPr>
      <w:r>
        <w:rPr>
          <w:rFonts w:ascii="Times New Roman" w:hAnsi="Times New Roman"/>
        </w:rPr>
        <w:t>Vzhľadom na skutočnosť, že približne 50% akciových spoločností, v ktorých má Fond majetkovú účasť, bolo v roku 2009 dotknutých konkurzom alebo likvidáciou, Fond aktívne komunikoval so správcami konkurznej podstaty a likvidátormi za účelom zistenia stavu jednotlivých konkurzov a likvidácií. Na základe takto získaných informácií bola Výkonnému výboru a Dozornej rade Fondu predložená „</w:t>
      </w:r>
      <w:r>
        <w:rPr>
          <w:rFonts w:ascii="Times New Roman" w:hAnsi="Times New Roman"/>
          <w:i/>
          <w:iCs/>
        </w:rPr>
        <w:t>Informácia o stave konkurzov a likvidácií v spoločnostiach, v ktorých má Fond majetkovú účasť</w:t>
      </w:r>
      <w:r>
        <w:rPr>
          <w:rFonts w:ascii="Times New Roman" w:hAnsi="Times New Roman"/>
        </w:rPr>
        <w:t>“.</w:t>
      </w:r>
    </w:p>
    <w:p w:rsidR="004C20F3">
      <w:pPr>
        <w:bidi w:val="0"/>
        <w:ind w:firstLine="0"/>
        <w:rPr>
          <w:rFonts w:ascii="Times New Roman" w:hAnsi="Times New Roman"/>
          <w:b/>
          <w:bCs/>
          <w:i/>
          <w:iCs/>
          <w:sz w:val="26"/>
          <w:szCs w:val="26"/>
        </w:rPr>
      </w:pPr>
    </w:p>
    <w:p w:rsidR="004C20F3">
      <w:pPr>
        <w:pStyle w:val="Heading3"/>
        <w:bidi w:val="0"/>
        <w:spacing w:before="0"/>
        <w:rPr>
          <w:rFonts w:ascii="Times New Roman" w:hAnsi="Times New Roman"/>
        </w:rPr>
      </w:pPr>
      <w:r>
        <w:rPr>
          <w:rFonts w:ascii="Times New Roman" w:hAnsi="Times New Roman"/>
        </w:rPr>
        <w:t xml:space="preserve">V. Sledovanie pohľadávok </w:t>
      </w:r>
    </w:p>
    <w:p w:rsidR="004C20F3">
      <w:pPr>
        <w:bidi w:val="0"/>
        <w:ind w:firstLine="708"/>
        <w:rPr>
          <w:rFonts w:ascii="Times New Roman" w:hAnsi="Times New Roman"/>
        </w:rPr>
      </w:pPr>
      <w:r>
        <w:rPr>
          <w:rFonts w:ascii="Times New Roman" w:hAnsi="Times New Roman"/>
        </w:rPr>
        <w:t>V  oblasti sledovania pohľadávok zo zmlúv o predaji majetku, resp. akcií možno medzi hlavné úlohy zaradiť:</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sledovanie plnenia platobných podmienok z platobných kalendárov dohodnutých v zmluve pre úhrady kúpnej ceny, úrokov a  iných podmienok zmlúv kupujúcimi,</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sledovanie plnenia povinností z „ostatných zmluvných záväzkov“, ktorými sú najmä: uzatvorenie záložných zmlúv, realizácia investícií v určenom objeme a termíne, dodržanie alebo zvýšenie zamestnanosti, umožnenie účasti zamestnancov na podnikaní, zachovanie predmetu podnikania, poistenie majetku a vinkulácia poistenia v prospech Fondu, plnenie reštitučných nárokov, dodržanie zákazu nakladania s privatizovaným majetkom bez súhlasu Fondu,</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výpočty úrokov z kúpnej ceny, úrokov z omeškania, zmluvných pokút a iných sankcií podľa zmluvných ustanovení,</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priebežné sledovanie úhrad a ich identifikácia a zadávanie predpisov na zaúčtovanie úrokov, úrokov z omeškania a zmluvných pokút,</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posudzovanie a uznávanie investícií ako časti kúpnej ceny, alebo ako plnenie ostatných zmluvných podmienok, resp. ako úhrad úrokov z kúpnej ceny (odpustenie úrokov ) v súlade s podmienkami zmlúv, resp. ich dodatkov,</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vypracovanie materiálov ohľadne žiadostí kupujúcich podľa § 19 a zákona č. 92/1991 Zb. a ich predkladanie na prerokovanie v orgánoch Fondu,</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vypracovanie materiálov ohľadne žiadostí nadobúdateľov privatizovaného majetku o zmenu iných podmienok zmluvy a ich predloženie na prerokovanie v orgánoch Fondu,</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 xml:space="preserve">kontrola plnenia záväzkov zo záložných zmlúv a uvoľňovanie majetku, resp. akcií zo záložného práva v súlade s kúpnymi a záložnými zmluvami, </w:t>
      </w:r>
    </w:p>
    <w:p w:rsidR="004C20F3" w:rsidP="004C20F3">
      <w:pPr>
        <w:numPr>
          <w:numId w:val="9"/>
        </w:numPr>
        <w:tabs>
          <w:tab w:val="num" w:pos="360"/>
          <w:tab w:val="clear" w:pos="720"/>
        </w:tabs>
        <w:bidi w:val="0"/>
        <w:ind w:left="360"/>
        <w:rPr>
          <w:rFonts w:ascii="Times New Roman" w:hAnsi="Times New Roman"/>
          <w:color w:val="000000"/>
        </w:rPr>
      </w:pPr>
      <w:r>
        <w:rPr>
          <w:rFonts w:ascii="Times New Roman" w:hAnsi="Times New Roman"/>
          <w:color w:val="000000"/>
        </w:rPr>
        <w:t xml:space="preserve">inventarizácia pohľadávok Fondu v zmysle zákona o  účtovníctve v  požadovanom členení a  inventarizácia záložného práva v súlade s realizačnými a záložnými zmluvami. </w:t>
      </w:r>
    </w:p>
    <w:p w:rsidR="004C20F3" w:rsidP="004C20F3">
      <w:pPr>
        <w:numPr>
          <w:numId w:val="9"/>
        </w:numPr>
        <w:tabs>
          <w:tab w:val="num" w:pos="360"/>
          <w:tab w:val="clear" w:pos="720"/>
        </w:tabs>
        <w:bidi w:val="0"/>
        <w:ind w:left="360"/>
        <w:rPr>
          <w:rFonts w:ascii="Times New Roman" w:hAnsi="Times New Roman"/>
        </w:rPr>
      </w:pPr>
      <w:r>
        <w:rPr>
          <w:rFonts w:ascii="Times New Roman" w:hAnsi="Times New Roman"/>
        </w:rPr>
        <w:t>rokovanie s kupujúcimi ohľadne predložených žiadostí.</w:t>
      </w:r>
    </w:p>
    <w:p w:rsidR="004C20F3">
      <w:pPr>
        <w:bidi w:val="0"/>
        <w:ind w:firstLine="0"/>
        <w:rPr>
          <w:rFonts w:ascii="Times New Roman" w:hAnsi="Times New Roman"/>
          <w:color w:val="000000"/>
        </w:rPr>
      </w:pPr>
    </w:p>
    <w:p w:rsidR="004C20F3">
      <w:pPr>
        <w:bidi w:val="0"/>
        <w:ind w:firstLine="709"/>
        <w:rPr>
          <w:rFonts w:ascii="Times New Roman" w:hAnsi="Times New Roman"/>
          <w:color w:val="000000"/>
        </w:rPr>
      </w:pPr>
      <w:r>
        <w:rPr>
          <w:rFonts w:ascii="Times New Roman" w:hAnsi="Times New Roman"/>
          <w:color w:val="000000"/>
        </w:rPr>
        <w:t xml:space="preserve">Sekcia sledovania pohľadávok obdržala v roku 2009 celkom 104 písomných podaní, oznámení a žiadostí kupujúcich, ktoré boli vybavené. Sekcia sledovania pohľadávok obdržala a vybavila 137 interných podaní a žiadostí. </w:t>
      </w:r>
    </w:p>
    <w:p w:rsidR="004C20F3">
      <w:pPr>
        <w:bidi w:val="0"/>
        <w:ind w:firstLine="720"/>
        <w:rPr>
          <w:rFonts w:ascii="Times New Roman" w:hAnsi="Times New Roman"/>
          <w:color w:val="000000"/>
        </w:rPr>
      </w:pPr>
      <w:r>
        <w:rPr>
          <w:rFonts w:ascii="Times New Roman" w:hAnsi="Times New Roman"/>
          <w:color w:val="000000"/>
        </w:rPr>
        <w:t>V orgánoch Fondu bolo prerokovaných celkom 46 materiálov sekcie, z nich bolo 7 žiadostí kupujúcich o vydanie súhlasu s  nakladaním s privatizovaným majetkom podľa § 19a zákona, 3 materiály o uvoľnení záložného práva a 8 žiadostí a návrhov o zmenu zmluvných podmienok resp. o uznanie plnenia zmluvy, 14 informácií o neplatičoch a stave pohľadávok Fondu., ostatné boli prehľady o žiadostiach kupujúcich podľa § 19a zákona.</w:t>
      </w:r>
    </w:p>
    <w:p w:rsidR="004C20F3">
      <w:pPr>
        <w:bidi w:val="0"/>
        <w:ind w:firstLine="720"/>
        <w:rPr>
          <w:rFonts w:ascii="Times New Roman" w:hAnsi="Times New Roman"/>
        </w:rPr>
      </w:pPr>
      <w:r>
        <w:rPr>
          <w:rFonts w:ascii="Times New Roman" w:hAnsi="Times New Roman"/>
        </w:rPr>
        <w:t>V rámci sledovania plnenia podmienok zmlúv kupujúcimi bolo vykonaných 19 fyzických kontrol realizovaných investícií, resp. plnenia ostatných zmluvných podmienok, a  to v sídlach kupujúcich. V prípadoch súladu dokladov o realizovaných investíciách so smernicou Fondu o uznávaní investícií vypracovala sekcia písomné  uznanie investícií, resp. uznanie splnenia iných zmluvných podmienok kupujúcim písomnou formou.</w:t>
      </w:r>
    </w:p>
    <w:p w:rsidR="004C20F3">
      <w:pPr>
        <w:pStyle w:val="BodyTextIndent3"/>
        <w:bidi w:val="0"/>
        <w:rPr>
          <w:rFonts w:ascii="Times New Roman" w:hAnsi="Times New Roman"/>
          <w:color w:val="auto"/>
        </w:rPr>
      </w:pPr>
      <w:r>
        <w:rPr>
          <w:rFonts w:ascii="Times New Roman" w:hAnsi="Times New Roman"/>
          <w:color w:val="auto"/>
        </w:rPr>
        <w:t>Sekcia sledovania pohľadávok pravidelne vyhotovovala prehľady a informácie o pohľadávkach v lehote a po lehote splatnosti.</w:t>
      </w:r>
    </w:p>
    <w:p w:rsidR="004C20F3">
      <w:pPr>
        <w:pStyle w:val="BodyTextIndent2"/>
        <w:bidi w:val="0"/>
        <w:rPr>
          <w:rFonts w:ascii="Times New Roman" w:hAnsi="Times New Roman"/>
        </w:rPr>
      </w:pPr>
      <w:r>
        <w:rPr>
          <w:rFonts w:ascii="Times New Roman" w:hAnsi="Times New Roman"/>
        </w:rPr>
        <w:t>U 1 nadobúdateľa privatizovaného majetku uplatnil Fond pokutu za porušenie § 19a zákona udelenú Prezídiom Fondu vo výške 27 731,19 €.</w:t>
      </w:r>
    </w:p>
    <w:p w:rsidR="004C20F3">
      <w:pPr>
        <w:pStyle w:val="BodyText2"/>
        <w:bidi w:val="0"/>
        <w:ind w:firstLine="0"/>
        <w:rPr>
          <w:rFonts w:ascii="Times New Roman" w:hAnsi="Times New Roman"/>
        </w:rPr>
      </w:pPr>
      <w:r>
        <w:rPr>
          <w:rFonts w:ascii="Times New Roman" w:hAnsi="Times New Roman"/>
        </w:rPr>
        <w:t>V súvislosti s prijatím meny EUR k 1.1.2009 sekcia zabezpečila:</w:t>
      </w:r>
    </w:p>
    <w:p w:rsidR="004C20F3">
      <w:pPr>
        <w:pStyle w:val="BodyText2"/>
        <w:numPr>
          <w:numId w:val="10"/>
        </w:numPr>
        <w:bidi w:val="0"/>
        <w:rPr>
          <w:rFonts w:ascii="Times New Roman" w:hAnsi="Times New Roman"/>
        </w:rPr>
      </w:pPr>
      <w:r>
        <w:rPr>
          <w:rFonts w:ascii="Times New Roman" w:hAnsi="Times New Roman"/>
        </w:rPr>
        <w:t>úpravu formulárov a  podkladov súvisiacich s prechodom na euro menu,</w:t>
      </w:r>
    </w:p>
    <w:p w:rsidR="004C20F3">
      <w:pPr>
        <w:pStyle w:val="BodyText2"/>
        <w:numPr>
          <w:numId w:val="10"/>
        </w:numPr>
        <w:bidi w:val="0"/>
        <w:rPr>
          <w:rFonts w:ascii="Times New Roman" w:hAnsi="Times New Roman"/>
        </w:rPr>
      </w:pPr>
      <w:r>
        <w:rPr>
          <w:rFonts w:ascii="Times New Roman" w:hAnsi="Times New Roman"/>
        </w:rPr>
        <w:t>zmeny smerníc, pokynov vydaných touto sekciou, ktorých sa dotýka prechod na euro,</w:t>
      </w:r>
    </w:p>
    <w:p w:rsidR="004C20F3">
      <w:pPr>
        <w:pStyle w:val="BodyText2"/>
        <w:numPr>
          <w:numId w:val="10"/>
        </w:numPr>
        <w:bidi w:val="0"/>
        <w:rPr>
          <w:rFonts w:ascii="Times New Roman" w:hAnsi="Times New Roman"/>
        </w:rPr>
      </w:pPr>
      <w:r>
        <w:rPr>
          <w:rFonts w:ascii="Times New Roman" w:hAnsi="Times New Roman"/>
        </w:rPr>
        <w:t>vyčíslenie, aktualizáciu pohľadávok v členení podľa inventúrnych prehľadov duálne v SKK aj v EUR,</w:t>
      </w:r>
    </w:p>
    <w:p w:rsidR="004C20F3">
      <w:pPr>
        <w:pStyle w:val="BodyText2"/>
        <w:numPr>
          <w:numId w:val="10"/>
        </w:numPr>
        <w:bidi w:val="0"/>
        <w:rPr>
          <w:rFonts w:ascii="Times New Roman" w:hAnsi="Times New Roman"/>
        </w:rPr>
      </w:pPr>
      <w:r>
        <w:rPr>
          <w:rFonts w:ascii="Times New Roman" w:hAnsi="Times New Roman"/>
        </w:rPr>
        <w:t>dokladovú inventarizáciu pohľadávok  v duálnom zobrazení v SKK aj v EUR,</w:t>
      </w:r>
    </w:p>
    <w:p w:rsidR="004C20F3">
      <w:pPr>
        <w:pStyle w:val="BodyText2"/>
        <w:numPr>
          <w:numId w:val="10"/>
        </w:numPr>
        <w:bidi w:val="0"/>
        <w:rPr>
          <w:rFonts w:ascii="Times New Roman" w:hAnsi="Times New Roman"/>
        </w:rPr>
      </w:pPr>
      <w:r>
        <w:rPr>
          <w:rFonts w:ascii="Times New Roman" w:hAnsi="Times New Roman"/>
        </w:rPr>
        <w:t>inventarizáciu záložného práva s uvedením aktuálnej výšky záložného práva uvedenej duálne aj v EUR.</w:t>
      </w:r>
    </w:p>
    <w:p w:rsidR="004C20F3">
      <w:pPr>
        <w:bidi w:val="0"/>
        <w:ind w:firstLine="720"/>
        <w:rPr>
          <w:rFonts w:ascii="Times New Roman" w:hAnsi="Times New Roman"/>
          <w:color w:val="000000"/>
        </w:rPr>
      </w:pPr>
      <w:r>
        <w:rPr>
          <w:rFonts w:ascii="Times New Roman" w:hAnsi="Times New Roman"/>
          <w:color w:val="000000"/>
        </w:rPr>
        <w:t>V  prípadoch neplnenia zmluvných podmienok kupujúcimi sekcia sledovania pohľadávok spolupracuje so sekciou  vymáhania pohľadávok a odstupovania od zmlúv. Poskytuje jej všetky potrebné informácie a podklady - aktuálnu výšku pohľadávok a stavu žiadostí o súhlas s nakladaním s privatizovaným majetkom podľa § 19 a. zákona č. 92/1991 Zb.- v  prípadoch vstupu spoločností do likvidácie, konkurzu, v prípadoch exekúcie, odstúpenia od zmluvy, postúpenia pohľadávok a pri príprave trvalého upustenia od vymáhania pohľadávok. V prípadoch už vyhlásených konkurzov vypracováva Sekcia sledovania pohľadávok pre právny odbor a sekciu vymáhania pohľadávok a odstupovania od zmlúv podklady a výpočty v zmysle potrieb pre konkurzné konania a taktiež pre prípady riešené súdnou cestou.</w:t>
      </w:r>
    </w:p>
    <w:p w:rsidR="004C20F3">
      <w:pPr>
        <w:bidi w:val="0"/>
        <w:ind w:firstLine="720"/>
        <w:rPr>
          <w:rFonts w:ascii="Times New Roman" w:hAnsi="Times New Roman"/>
        </w:rPr>
      </w:pPr>
      <w:r>
        <w:rPr>
          <w:rFonts w:ascii="Times New Roman" w:hAnsi="Times New Roman"/>
        </w:rPr>
        <w:t>Od roku 2007 poskytuje Fond potvrdenia pre žiadateľov o dotácie z fondov Európskej únie alebo o finančnú podporu od Ministerstva pôdohospodárstva Slovenskej republiky o tom, či títo žiadatelia majú záväzok voči Fondu. V roku 2009 vybavil Fond 16 takýchto žiadostí.</w:t>
      </w:r>
    </w:p>
    <w:p w:rsidR="004C20F3">
      <w:pPr>
        <w:bidi w:val="0"/>
        <w:ind w:firstLine="720"/>
        <w:rPr>
          <w:rFonts w:ascii="Times New Roman" w:hAnsi="Times New Roman"/>
        </w:rPr>
      </w:pPr>
      <w:r>
        <w:rPr>
          <w:rFonts w:ascii="Times New Roman" w:hAnsi="Times New Roman"/>
        </w:rPr>
        <w:t xml:space="preserve">Počas roku 2009 spolupracovala sekcia sledovania pohľadávok so sekciou legislatívno - právnou Ministerstva zdravotníctva Slovenskej republiky pri spracovaní žiadostí nadobúdateľov privatizovaného majetku zo zmlúv o predaji majetku, resp. o bezodplatnom prevode majetku ohľadne záväzkov zabezpečovania zdravotnej starostlivosti. </w:t>
      </w:r>
    </w:p>
    <w:p w:rsidR="004C20F3">
      <w:pPr>
        <w:bidi w:val="0"/>
        <w:ind w:firstLine="0"/>
        <w:rPr>
          <w:rFonts w:ascii="Times New Roman" w:hAnsi="Times New Roman"/>
        </w:rPr>
      </w:pPr>
    </w:p>
    <w:p w:rsidR="004C20F3">
      <w:pPr>
        <w:pStyle w:val="Heading3"/>
        <w:bidi w:val="0"/>
        <w:spacing w:before="0"/>
        <w:rPr>
          <w:rFonts w:ascii="Times New Roman" w:hAnsi="Times New Roman"/>
        </w:rPr>
      </w:pPr>
      <w:r>
        <w:rPr>
          <w:rFonts w:ascii="Times New Roman" w:hAnsi="Times New Roman"/>
        </w:rPr>
        <w:t>VI. Vymáhanie pohľadávok, odstupovanie od zmlúv a konkurzy</w:t>
      </w:r>
    </w:p>
    <w:p w:rsidR="004C20F3">
      <w:pPr>
        <w:bidi w:val="0"/>
        <w:rPr>
          <w:rFonts w:ascii="Times New Roman" w:hAnsi="Times New Roman"/>
        </w:rPr>
      </w:pPr>
      <w:r>
        <w:rPr>
          <w:rFonts w:ascii="Times New Roman" w:hAnsi="Times New Roman"/>
        </w:rPr>
        <w:t>Činnosť sekcie vymáhania pohľadávok a odstupovania od zmlúv (ďalej aj „sekcia“) sa zameriava predovšetkým na mimosúdne vymáhanie pohľadávok Fondu a prípravu pri uplatňovaní jeho nárokov na súdoch.</w:t>
      </w:r>
    </w:p>
    <w:p w:rsidR="004C20F3">
      <w:pPr>
        <w:bidi w:val="0"/>
        <w:rPr>
          <w:rFonts w:ascii="Times New Roman" w:hAnsi="Times New Roman"/>
        </w:rPr>
      </w:pPr>
      <w:r>
        <w:rPr>
          <w:rFonts w:ascii="Times New Roman" w:hAnsi="Times New Roman"/>
        </w:rPr>
        <w:t>Ťažiskom mimosúdneho vymáhania pohľadávok Fondu sú prevažne pohľadávky zo zmlúv uzavretých v rámci privatizačného procesu. Keďže väčšina kúpnych zmlúv bola po splnení všetkých zmluvných podmienok ukončená, resp. sa zlepšila disciplína kupujúcich pri plnení záväzkov voči Fondu, k zvyšovaniu pohľadávok čo do ich počtu a výšky v podstate už nedochádza. Dôkazom toho je aj fakt, že Fond v priebehu roka 2009 neodstúpil od žiadnej zmluvy. Fond však vo svojom majetku evidoval majetok z odstúpenia, ktorý sa týka šiestich (6) prípadov odstúpenia od zmluvy, realizovaných pred rokom 2009. Celková účtovná hodnota prenajatého majetku k 31.12.2009 predstavuje sumu 1 992 tis. €.</w:t>
      </w:r>
    </w:p>
    <w:p w:rsidR="004C20F3">
      <w:pPr>
        <w:bidi w:val="0"/>
        <w:rPr>
          <w:rFonts w:ascii="Times New Roman" w:hAnsi="Times New Roman"/>
        </w:rPr>
      </w:pPr>
      <w:r>
        <w:rPr>
          <w:rFonts w:ascii="Times New Roman" w:hAnsi="Times New Roman"/>
        </w:rPr>
        <w:t xml:space="preserve">Sekcia vymáhania pohľadávok a odstupovania od zmlúv v rámci svojej činnosti v roku 2009 spravovala </w:t>
      </w:r>
      <w:r>
        <w:rPr>
          <w:rFonts w:ascii="Times New Roman" w:hAnsi="Times New Roman"/>
          <w:bCs/>
        </w:rPr>
        <w:t xml:space="preserve">klasifikované pohľadávky Fondu po lehote splatnosti, podľa stavu k 31.12.2009 v celkovom počte 127 pohľadávok, v objeme 154 095 tis. € </w:t>
      </w:r>
      <w:r>
        <w:rPr>
          <w:rFonts w:ascii="Times New Roman" w:hAnsi="Times New Roman"/>
        </w:rPr>
        <w:t>, z toho:</w:t>
      </w:r>
    </w:p>
    <w:p w:rsidR="004C20F3" w:rsidP="004C20F3">
      <w:pPr>
        <w:numPr>
          <w:numId w:val="11"/>
        </w:numPr>
        <w:tabs>
          <w:tab w:val="num" w:pos="360"/>
          <w:tab w:val="clear" w:pos="1287"/>
        </w:tabs>
        <w:bidi w:val="0"/>
        <w:ind w:hanging="1287"/>
        <w:rPr>
          <w:rFonts w:ascii="Times New Roman" w:hAnsi="Times New Roman"/>
        </w:rPr>
      </w:pPr>
      <w:r>
        <w:rPr>
          <w:rFonts w:ascii="Times New Roman" w:hAnsi="Times New Roman"/>
        </w:rPr>
        <w:t xml:space="preserve">20 pohľadávok </w:t>
      </w:r>
      <w:r>
        <w:rPr>
          <w:rFonts w:ascii="Times New Roman" w:hAnsi="Times New Roman"/>
          <w:u w:val="single"/>
        </w:rPr>
        <w:t>v konkurzných konaniach</w:t>
      </w:r>
      <w:r>
        <w:rPr>
          <w:rFonts w:ascii="Times New Roman" w:hAnsi="Times New Roman"/>
        </w:rPr>
        <w:t xml:space="preserve"> v  hodnote 33 450 tis. €,</w:t>
      </w:r>
    </w:p>
    <w:p w:rsidR="004C20F3" w:rsidP="004C20F3">
      <w:pPr>
        <w:numPr>
          <w:numId w:val="11"/>
        </w:numPr>
        <w:tabs>
          <w:tab w:val="num" w:pos="360"/>
          <w:tab w:val="clear" w:pos="1287"/>
        </w:tabs>
        <w:bidi w:val="0"/>
        <w:ind w:hanging="1287"/>
        <w:rPr>
          <w:rFonts w:ascii="Times New Roman" w:hAnsi="Times New Roman"/>
        </w:rPr>
      </w:pPr>
      <w:r>
        <w:rPr>
          <w:rFonts w:ascii="Times New Roman" w:hAnsi="Times New Roman"/>
        </w:rPr>
        <w:t xml:space="preserve">34 pohľadávok </w:t>
      </w:r>
      <w:r>
        <w:rPr>
          <w:rFonts w:ascii="Times New Roman" w:hAnsi="Times New Roman"/>
          <w:u w:val="single"/>
        </w:rPr>
        <w:t>v exekučných konaniach</w:t>
      </w:r>
      <w:r>
        <w:rPr>
          <w:rFonts w:ascii="Times New Roman" w:hAnsi="Times New Roman"/>
        </w:rPr>
        <w:t xml:space="preserve"> v hodnote 4 669 tis. €,</w:t>
      </w:r>
    </w:p>
    <w:p w:rsidR="004C20F3" w:rsidP="004C20F3">
      <w:pPr>
        <w:numPr>
          <w:numId w:val="11"/>
        </w:numPr>
        <w:tabs>
          <w:tab w:val="num" w:pos="360"/>
          <w:tab w:val="clear" w:pos="1287"/>
        </w:tabs>
        <w:bidi w:val="0"/>
        <w:ind w:hanging="1287"/>
        <w:rPr>
          <w:rFonts w:ascii="Times New Roman" w:hAnsi="Times New Roman"/>
          <w:bCs/>
        </w:rPr>
      </w:pPr>
      <w:r>
        <w:rPr>
          <w:rFonts w:ascii="Times New Roman" w:hAnsi="Times New Roman"/>
        </w:rPr>
        <w:t xml:space="preserve">1 pohľadávku </w:t>
      </w:r>
      <w:r>
        <w:rPr>
          <w:rFonts w:ascii="Times New Roman" w:hAnsi="Times New Roman"/>
          <w:u w:val="single"/>
        </w:rPr>
        <w:t>v likvidácii</w:t>
      </w:r>
      <w:r>
        <w:rPr>
          <w:rFonts w:ascii="Times New Roman" w:hAnsi="Times New Roman"/>
        </w:rPr>
        <w:t xml:space="preserve"> v hodnote 864 tis. €,</w:t>
      </w:r>
    </w:p>
    <w:p w:rsidR="004C20F3" w:rsidP="004C20F3">
      <w:pPr>
        <w:numPr>
          <w:numId w:val="11"/>
        </w:numPr>
        <w:tabs>
          <w:tab w:val="num" w:pos="360"/>
          <w:tab w:val="clear" w:pos="1287"/>
        </w:tabs>
        <w:bidi w:val="0"/>
        <w:ind w:left="360"/>
        <w:rPr>
          <w:rFonts w:ascii="Times New Roman" w:hAnsi="Times New Roman"/>
        </w:rPr>
      </w:pPr>
      <w:r>
        <w:rPr>
          <w:rFonts w:ascii="Times New Roman" w:hAnsi="Times New Roman"/>
          <w:bCs/>
        </w:rPr>
        <w:t xml:space="preserve">72 pohľadávok </w:t>
      </w:r>
      <w:r>
        <w:rPr>
          <w:rFonts w:ascii="Times New Roman" w:hAnsi="Times New Roman"/>
          <w:bCs/>
          <w:u w:val="single"/>
        </w:rPr>
        <w:t>v príprave na trvalé upustenie od vymáhania a ich účtovný odpis</w:t>
      </w:r>
      <w:r>
        <w:rPr>
          <w:rFonts w:ascii="Times New Roman" w:hAnsi="Times New Roman"/>
          <w:bCs/>
        </w:rPr>
        <w:t xml:space="preserve"> v hodnote 115 112 tis. €.</w:t>
      </w:r>
    </w:p>
    <w:p w:rsidR="004C20F3">
      <w:pPr>
        <w:bidi w:val="0"/>
        <w:rPr>
          <w:rFonts w:ascii="Times New Roman" w:hAnsi="Times New Roman"/>
        </w:rPr>
      </w:pPr>
      <w:r>
        <w:rPr>
          <w:rFonts w:ascii="Times New Roman" w:hAnsi="Times New Roman"/>
        </w:rPr>
        <w:t>V súvislosti so starostlivosťou o vyššie uvedené pohľadávky sa činnosť sekcie v roku 2009 sústreďovala predovšetkým na:</w:t>
      </w:r>
    </w:p>
    <w:p w:rsidR="004C20F3" w:rsidP="004C20F3">
      <w:pPr>
        <w:numPr>
          <w:numId w:val="12"/>
        </w:numPr>
        <w:tabs>
          <w:tab w:val="num" w:pos="360"/>
          <w:tab w:val="clear" w:pos="1287"/>
        </w:tabs>
        <w:bidi w:val="0"/>
        <w:ind w:left="360"/>
        <w:rPr>
          <w:rFonts w:ascii="Times New Roman" w:hAnsi="Times New Roman"/>
        </w:rPr>
      </w:pPr>
      <w:r>
        <w:rPr>
          <w:rFonts w:ascii="Times New Roman" w:hAnsi="Times New Roman"/>
        </w:rPr>
        <w:t>prípravu, podanie a sledovanie návrhov na vyhlásenie konkurzu, návrhov na výkon exekúcie a návrhov a súhlasov na zriadenie exekučného záložného práva,</w:t>
      </w:r>
    </w:p>
    <w:p w:rsidR="004C20F3" w:rsidP="004C20F3">
      <w:pPr>
        <w:numPr>
          <w:numId w:val="12"/>
        </w:numPr>
        <w:tabs>
          <w:tab w:val="num" w:pos="360"/>
          <w:tab w:val="clear" w:pos="1287"/>
        </w:tabs>
        <w:bidi w:val="0"/>
        <w:ind w:hanging="1287"/>
        <w:rPr>
          <w:rFonts w:ascii="Times New Roman" w:hAnsi="Times New Roman"/>
        </w:rPr>
      </w:pPr>
      <w:r>
        <w:rPr>
          <w:rFonts w:ascii="Times New Roman" w:hAnsi="Times New Roman"/>
        </w:rPr>
        <w:t>prihlasovanie pohľadávok do konkurzov a likvidácií,</w:t>
      </w:r>
    </w:p>
    <w:p w:rsidR="004C20F3" w:rsidP="004C20F3">
      <w:pPr>
        <w:numPr>
          <w:numId w:val="12"/>
        </w:numPr>
        <w:tabs>
          <w:tab w:val="num" w:pos="360"/>
          <w:tab w:val="clear" w:pos="1287"/>
        </w:tabs>
        <w:bidi w:val="0"/>
        <w:ind w:hanging="1287"/>
        <w:rPr>
          <w:rFonts w:ascii="Times New Roman" w:hAnsi="Times New Roman"/>
        </w:rPr>
      </w:pPr>
      <w:r>
        <w:rPr>
          <w:rFonts w:ascii="Times New Roman" w:hAnsi="Times New Roman"/>
        </w:rPr>
        <w:t>podanie incidenčných žalôb v konkurznom konaní,</w:t>
      </w:r>
    </w:p>
    <w:p w:rsidR="004C20F3" w:rsidP="004C20F3">
      <w:pPr>
        <w:numPr>
          <w:numId w:val="12"/>
        </w:numPr>
        <w:tabs>
          <w:tab w:val="num" w:pos="360"/>
          <w:tab w:val="clear" w:pos="1287"/>
        </w:tabs>
        <w:bidi w:val="0"/>
        <w:ind w:hanging="1287"/>
        <w:rPr>
          <w:rFonts w:ascii="Times New Roman" w:hAnsi="Times New Roman"/>
        </w:rPr>
      </w:pPr>
      <w:r>
        <w:rPr>
          <w:rFonts w:ascii="Times New Roman" w:hAnsi="Times New Roman"/>
        </w:rPr>
        <w:t>komunikáciu s konkurznými súdmi, správcami konkurznej podstaty,</w:t>
      </w:r>
    </w:p>
    <w:p w:rsidR="004C20F3" w:rsidP="004C20F3">
      <w:pPr>
        <w:numPr>
          <w:numId w:val="12"/>
        </w:numPr>
        <w:tabs>
          <w:tab w:val="num" w:pos="360"/>
          <w:tab w:val="clear" w:pos="1287"/>
        </w:tabs>
        <w:bidi w:val="0"/>
        <w:ind w:hanging="1287"/>
        <w:rPr>
          <w:rFonts w:ascii="Times New Roman" w:hAnsi="Times New Roman"/>
        </w:rPr>
      </w:pPr>
      <w:r>
        <w:rPr>
          <w:rFonts w:ascii="Times New Roman" w:hAnsi="Times New Roman"/>
        </w:rPr>
        <w:t>prípravu návrhov na veriteľskú spoluprácu,</w:t>
      </w:r>
    </w:p>
    <w:p w:rsidR="004C20F3" w:rsidP="004C20F3">
      <w:pPr>
        <w:numPr>
          <w:numId w:val="12"/>
        </w:numPr>
        <w:tabs>
          <w:tab w:val="num" w:pos="360"/>
          <w:tab w:val="clear" w:pos="1287"/>
        </w:tabs>
        <w:bidi w:val="0"/>
        <w:ind w:hanging="1287"/>
        <w:rPr>
          <w:rFonts w:ascii="Times New Roman" w:hAnsi="Times New Roman"/>
        </w:rPr>
      </w:pPr>
      <w:r>
        <w:rPr>
          <w:rFonts w:ascii="Times New Roman" w:hAnsi="Times New Roman"/>
        </w:rPr>
        <w:t>potvrdenia právoplatnosti a vykonateľnosti súdnych rozhodnutí,</w:t>
      </w:r>
    </w:p>
    <w:p w:rsidR="004C20F3" w:rsidP="004C20F3">
      <w:pPr>
        <w:numPr>
          <w:numId w:val="12"/>
        </w:numPr>
        <w:tabs>
          <w:tab w:val="num" w:pos="360"/>
          <w:tab w:val="clear" w:pos="1287"/>
        </w:tabs>
        <w:bidi w:val="0"/>
        <w:ind w:left="360"/>
        <w:rPr>
          <w:rFonts w:ascii="Times New Roman" w:hAnsi="Times New Roman"/>
        </w:rPr>
      </w:pPr>
      <w:r>
        <w:rPr>
          <w:rFonts w:ascii="Times New Roman" w:hAnsi="Times New Roman"/>
        </w:rPr>
        <w:t>korešpondenciu súvisiacu so správou majetku (napr. miestne dane a poplatky, katastre nehnuteľností) apod.</w:t>
      </w:r>
    </w:p>
    <w:p w:rsidR="004C20F3">
      <w:pPr>
        <w:bidi w:val="0"/>
        <w:rPr>
          <w:rFonts w:ascii="Times New Roman" w:hAnsi="Times New Roman"/>
        </w:rPr>
      </w:pPr>
      <w:r>
        <w:rPr>
          <w:rFonts w:ascii="Times New Roman" w:hAnsi="Times New Roman"/>
        </w:rPr>
        <w:t>Výsledkom všetkých vyššie uvedených činností sekcie boli potom materiály, ktoré sekcia v roku 2009 vypracovala a predložila na schválenie do orgánov Fondu, z nich predovšetkým:</w:t>
      </w:r>
    </w:p>
    <w:p w:rsidR="004C20F3" w:rsidP="004C20F3">
      <w:pPr>
        <w:numPr>
          <w:numId w:val="13"/>
        </w:numPr>
        <w:tabs>
          <w:tab w:val="num" w:pos="360"/>
          <w:tab w:val="clear" w:pos="1287"/>
        </w:tabs>
        <w:bidi w:val="0"/>
        <w:ind w:left="360"/>
        <w:rPr>
          <w:rFonts w:ascii="Times New Roman" w:hAnsi="Times New Roman"/>
        </w:rPr>
      </w:pPr>
      <w:r>
        <w:rPr>
          <w:rFonts w:ascii="Times New Roman" w:hAnsi="Times New Roman"/>
        </w:rPr>
        <w:t>návrhy postupu pri vymáhaní pohľadávok, vrátane návrhov na trvalé upustenie od vymáhania pohľadávok a odpis pohľadávok,</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návrhy na výkon exekúcie,</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informácie o priebehu konkurzného, resp. exekučného konania,</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udelenie záväzného pokynu pre správcov konkurznej podstaty,</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návrhy na mimosúdne vyrovnanie,</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prehľady o pohľadávkach Fondu,</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návrh na uzavretie zmluvy o nájme nehnuteľností,</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návrh na spôsob vymáhania peňažnej pokuty,</w:t>
      </w:r>
    </w:p>
    <w:p w:rsidR="004C20F3" w:rsidP="004C20F3">
      <w:pPr>
        <w:numPr>
          <w:numId w:val="13"/>
        </w:numPr>
        <w:tabs>
          <w:tab w:val="num" w:pos="360"/>
          <w:tab w:val="clear" w:pos="1287"/>
        </w:tabs>
        <w:bidi w:val="0"/>
        <w:ind w:hanging="1287"/>
        <w:rPr>
          <w:rFonts w:ascii="Times New Roman" w:hAnsi="Times New Roman"/>
        </w:rPr>
      </w:pPr>
      <w:r>
        <w:rPr>
          <w:rFonts w:ascii="Times New Roman" w:hAnsi="Times New Roman"/>
        </w:rPr>
        <w:t>riešenie výmazu záložného práva u postúpených pohľadávok ap..</w:t>
      </w:r>
    </w:p>
    <w:p w:rsidR="004C20F3">
      <w:pPr>
        <w:bidi w:val="0"/>
        <w:rPr>
          <w:rFonts w:ascii="Times New Roman" w:hAnsi="Times New Roman"/>
        </w:rPr>
      </w:pPr>
      <w:r>
        <w:rPr>
          <w:rFonts w:ascii="Times New Roman" w:hAnsi="Times New Roman"/>
        </w:rPr>
        <w:t>V kauze sporu o neplatnosť odstúpenia Fondu od zmluvy o kúpe akcií spoločnosti Letisko M. R. Štefánika – Airport Bratislava, a.s. (BTS), so sídlom v Bratislave sa činnosť sekcie ďalej sústreďovala na riešenie otázky vysporiadania príslušenstva z prijatého plnenia (istiny) v dôsledku odstúpenia od tejto zmluvy. Výsledkom rokovaní Fondu a protistrany boli možné riešenia predmetného sporu, avšak k definitívnemu vyriešeniu tohto sporu napriek jeho čiastočnému posunu v roku 2009 nakoniec nedošlo.</w:t>
      </w:r>
    </w:p>
    <w:p w:rsidR="004C20F3">
      <w:pPr>
        <w:bidi w:val="0"/>
        <w:rPr>
          <w:rFonts w:ascii="Times New Roman" w:hAnsi="Times New Roman"/>
          <w:bCs/>
        </w:rPr>
      </w:pPr>
      <w:r>
        <w:rPr>
          <w:rFonts w:ascii="Times New Roman" w:hAnsi="Times New Roman"/>
        </w:rPr>
        <w:t>Zvláštna pozornosť bola venovaná vyhláseniu konkurzu na spoločnosť Novácke chemické závody, a.s. so sídlom v Novákoch, ku ktorému došlo v závere roku 2009, vzhľadom k tomu, že vláda SR vydala podľa § 2 zákona č. 493/2009 Z. z. o niektorých opatreniach týkajúcich sa strategických spoločností, rozhodnutie o strategickom význame spoločnosti Novácke chemické závody, a.s. v konkurze. V tejto súvislosti Fond zabezpečil všetky potrebné úkony spojené s prihlásením a starostlivosťou o svoju pohľadávku, avšak podstatná časť celého procesu konkurzu by v prípade realizácie vyššie uvedeného zákona mala prebehnúť až v roku 2010.</w:t>
      </w:r>
    </w:p>
    <w:p w:rsidR="004C20F3">
      <w:pPr>
        <w:bidi w:val="0"/>
        <w:rPr>
          <w:rFonts w:ascii="Times New Roman" w:hAnsi="Times New Roman"/>
          <w:bCs/>
        </w:rPr>
      </w:pPr>
      <w:r>
        <w:rPr>
          <w:rFonts w:ascii="Times New Roman" w:hAnsi="Times New Roman"/>
          <w:bCs/>
        </w:rPr>
        <w:t>Do činnosti sekcie aj v roku 2009 patrilo zabezpečovanie povinností Fondu v oblasti poskytovania súčinnosti postupcu pre riadny výkon postúpených pohľadávok, ktoré Fondu vyplývajú zo Zmluvy o postúpení pohľadávok uzavretej v roku 2006. Sekcia priebežne, podľa požiadaviek postupníka, zabezpečovala a naďalej zabezpečuje všetky doklady a potrebné informácie týkajúce sa postúpených pohľadávok.</w:t>
      </w:r>
    </w:p>
    <w:p w:rsidR="004C20F3">
      <w:pPr>
        <w:bidi w:val="0"/>
        <w:ind w:firstLine="0"/>
        <w:rPr>
          <w:rFonts w:ascii="Times New Roman" w:hAnsi="Times New Roman"/>
        </w:rPr>
      </w:pPr>
    </w:p>
    <w:tbl>
      <w:tblPr>
        <w:tblStyle w:val="TableNormal"/>
        <w:tblW w:w="0" w:type="auto"/>
        <w:jc w:val="center"/>
        <w:tblBorders>
          <w:top w:val="double" w:sz="4" w:space="0" w:color="auto"/>
          <w:bottom w:val="double" w:sz="4" w:space="0" w:color="auto"/>
        </w:tblBorders>
        <w:tblLayout w:type="fixed"/>
        <w:tblCellMar>
          <w:left w:w="70" w:type="dxa"/>
          <w:right w:w="70" w:type="dxa"/>
        </w:tblCellMar>
      </w:tblPr>
      <w:tblGrid>
        <w:gridCol w:w="7534"/>
        <w:gridCol w:w="1486"/>
      </w:tblGrid>
      <w:tr>
        <w:tblPrEx>
          <w:tblW w:w="0" w:type="auto"/>
          <w:jc w:val="center"/>
          <w:tblBorders>
            <w:top w:val="double" w:sz="4" w:space="0" w:color="auto"/>
            <w:bottom w:val="double" w:sz="4" w:space="0" w:color="auto"/>
          </w:tblBorders>
          <w:tblLayout w:type="fixed"/>
          <w:tblCellMar>
            <w:left w:w="70" w:type="dxa"/>
            <w:right w:w="70" w:type="dxa"/>
          </w:tblCellMar>
        </w:tblPrEx>
        <w:trPr>
          <w:jc w:val="center"/>
        </w:trPr>
        <w:tc>
          <w:tcPr>
            <w:tcW w:w="7534" w:type="dxa"/>
            <w:tcBorders>
              <w:top w:val="single" w:sz="4" w:space="0" w:color="auto"/>
              <w:left w:val="none" w:sz="0" w:space="0" w:color="auto"/>
              <w:bottom w:val="double" w:sz="4" w:space="0" w:color="auto"/>
              <w:right w:val="none" w:sz="0" w:space="0" w:color="auto"/>
            </w:tcBorders>
            <w:shd w:val="clear" w:color="auto" w:fill="CCCCFF"/>
            <w:textDirection w:val="lrTb"/>
            <w:vAlign w:val="center"/>
          </w:tcPr>
          <w:p w:rsidR="004C20F3">
            <w:pPr>
              <w:pStyle w:val="BodyText"/>
              <w:bidi w:val="0"/>
              <w:spacing w:line="240" w:lineRule="auto"/>
              <w:ind w:firstLine="0"/>
              <w:jc w:val="left"/>
              <w:rPr>
                <w:rFonts w:ascii="Arial Narrow" w:hAnsi="Arial Narrow"/>
                <w:b/>
                <w:bCs/>
                <w:sz w:val="20"/>
                <w:szCs w:val="20"/>
              </w:rPr>
            </w:pPr>
            <w:r>
              <w:rPr>
                <w:rFonts w:ascii="Arial Narrow" w:hAnsi="Arial Narrow"/>
                <w:b/>
                <w:bCs/>
                <w:sz w:val="20"/>
                <w:szCs w:val="20"/>
              </w:rPr>
              <w:t>Pohľadávky uplatňované Fondom k 31.12.2009 v:</w:t>
            </w:r>
          </w:p>
        </w:tc>
        <w:tc>
          <w:tcPr>
            <w:tcW w:w="1486" w:type="dxa"/>
            <w:tcBorders>
              <w:top w:val="single" w:sz="4" w:space="0" w:color="auto"/>
              <w:left w:val="none" w:sz="0" w:space="0" w:color="auto"/>
              <w:bottom w:val="double" w:sz="4" w:space="0" w:color="auto"/>
              <w:right w:val="none" w:sz="0" w:space="0" w:color="auto"/>
            </w:tcBorders>
            <w:shd w:val="clear" w:color="auto" w:fill="CCCCFF"/>
            <w:textDirection w:val="lrTb"/>
            <w:vAlign w:val="center"/>
          </w:tcPr>
          <w:p w:rsidR="004C20F3">
            <w:pPr>
              <w:pStyle w:val="BodyText"/>
              <w:bidi w:val="0"/>
              <w:spacing w:line="240" w:lineRule="auto"/>
              <w:ind w:firstLine="0"/>
              <w:jc w:val="center"/>
              <w:rPr>
                <w:rFonts w:ascii="Arial Narrow" w:hAnsi="Arial Narrow"/>
                <w:b/>
                <w:bCs/>
                <w:sz w:val="20"/>
                <w:szCs w:val="20"/>
              </w:rPr>
            </w:pPr>
            <w:r>
              <w:rPr>
                <w:rFonts w:ascii="Arial Narrow" w:hAnsi="Arial Narrow"/>
                <w:b/>
                <w:bCs/>
                <w:sz w:val="20"/>
                <w:szCs w:val="20"/>
              </w:rPr>
              <w:t>Objem v tis. €</w:t>
            </w:r>
          </w:p>
        </w:tc>
      </w:tr>
      <w:tr>
        <w:tblPrEx>
          <w:tblW w:w="0" w:type="auto"/>
          <w:jc w:val="center"/>
          <w:tblLayout w:type="fixed"/>
          <w:tblCellMar>
            <w:left w:w="70" w:type="dxa"/>
            <w:right w:w="70" w:type="dxa"/>
          </w:tblCellMar>
        </w:tblPrEx>
        <w:trPr>
          <w:trHeight w:val="465"/>
          <w:jc w:val="center"/>
        </w:trPr>
        <w:tc>
          <w:tcPr>
            <w:tcW w:w="7534" w:type="dxa"/>
            <w:tcBorders>
              <w:top w:val="double" w:sz="4" w:space="0" w:color="auto"/>
              <w:left w:val="none" w:sz="0" w:space="0" w:color="auto"/>
              <w:bottom w:val="none" w:sz="0" w:space="0" w:color="auto"/>
              <w:right w:val="none" w:sz="0" w:space="0" w:color="auto"/>
            </w:tcBorders>
            <w:textDirection w:val="lrTb"/>
            <w:vAlign w:val="center"/>
          </w:tcPr>
          <w:p w:rsidR="004C20F3">
            <w:pPr>
              <w:pStyle w:val="BodyText"/>
              <w:bidi w:val="0"/>
              <w:ind w:firstLine="0"/>
              <w:jc w:val="left"/>
              <w:rPr>
                <w:rFonts w:ascii="Arial Narrow" w:hAnsi="Arial Narrow"/>
                <w:sz w:val="20"/>
                <w:szCs w:val="20"/>
              </w:rPr>
            </w:pPr>
            <w:r>
              <w:rPr>
                <w:rFonts w:ascii="Arial Narrow" w:hAnsi="Arial Narrow"/>
                <w:sz w:val="20"/>
                <w:szCs w:val="20"/>
              </w:rPr>
              <w:t>Konkurzných konaniach</w:t>
            </w:r>
          </w:p>
        </w:tc>
        <w:tc>
          <w:tcPr>
            <w:tcW w:w="1486" w:type="dxa"/>
            <w:tcBorders>
              <w:top w:val="double" w:sz="4" w:space="0" w:color="auto"/>
              <w:left w:val="none" w:sz="0" w:space="0" w:color="auto"/>
              <w:bottom w:val="none" w:sz="0" w:space="0" w:color="auto"/>
              <w:right w:val="none" w:sz="0" w:space="0" w:color="auto"/>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33 450</w:t>
            </w:r>
          </w:p>
        </w:tc>
      </w:tr>
      <w:tr>
        <w:tblPrEx>
          <w:tblW w:w="0" w:type="auto"/>
          <w:jc w:val="center"/>
          <w:tblLayout w:type="fixed"/>
          <w:tblCellMar>
            <w:left w:w="70" w:type="dxa"/>
            <w:right w:w="70" w:type="dxa"/>
          </w:tblCellMar>
        </w:tblPrEx>
        <w:trPr>
          <w:trHeight w:val="465"/>
          <w:jc w:val="center"/>
        </w:trPr>
        <w:tc>
          <w:tcPr>
            <w:tcW w:w="7534" w:type="dxa"/>
            <w:tcBorders>
              <w:top w:val="none" w:sz="0" w:space="0" w:color="auto"/>
              <w:left w:val="none" w:sz="0" w:space="0" w:color="auto"/>
              <w:bottom w:val="nil"/>
              <w:right w:val="none" w:sz="0" w:space="0" w:color="auto"/>
            </w:tcBorders>
            <w:textDirection w:val="lrTb"/>
            <w:vAlign w:val="center"/>
          </w:tcPr>
          <w:p w:rsidR="004C20F3">
            <w:pPr>
              <w:pStyle w:val="BodyText"/>
              <w:bidi w:val="0"/>
              <w:ind w:firstLine="0"/>
              <w:jc w:val="left"/>
              <w:rPr>
                <w:rFonts w:ascii="Arial Narrow" w:hAnsi="Arial Narrow"/>
                <w:sz w:val="20"/>
                <w:szCs w:val="20"/>
              </w:rPr>
            </w:pPr>
            <w:r>
              <w:rPr>
                <w:rFonts w:ascii="Arial Narrow" w:hAnsi="Arial Narrow"/>
                <w:sz w:val="20"/>
                <w:szCs w:val="20"/>
              </w:rPr>
              <w:t xml:space="preserve">Exekúciách </w:t>
            </w:r>
          </w:p>
        </w:tc>
        <w:tc>
          <w:tcPr>
            <w:tcW w:w="1486" w:type="dxa"/>
            <w:tcBorders>
              <w:top w:val="none" w:sz="0" w:space="0" w:color="auto"/>
              <w:left w:val="none" w:sz="0" w:space="0" w:color="auto"/>
              <w:bottom w:val="nil"/>
              <w:right w:val="none" w:sz="0" w:space="0" w:color="auto"/>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4 669</w:t>
            </w:r>
          </w:p>
        </w:tc>
      </w:tr>
      <w:tr>
        <w:tblPrEx>
          <w:tblW w:w="0" w:type="auto"/>
          <w:jc w:val="center"/>
          <w:tblLayout w:type="fixed"/>
          <w:tblCellMar>
            <w:left w:w="70" w:type="dxa"/>
            <w:right w:w="70" w:type="dxa"/>
          </w:tblCellMar>
        </w:tblPrEx>
        <w:trPr>
          <w:trHeight w:val="465"/>
          <w:jc w:val="center"/>
        </w:trPr>
        <w:tc>
          <w:tcPr>
            <w:tcW w:w="7534" w:type="dxa"/>
            <w:tcBorders>
              <w:top w:val="nil"/>
              <w:left w:val="none" w:sz="0" w:space="0" w:color="auto"/>
              <w:bottom w:val="double" w:sz="4" w:space="0" w:color="auto"/>
              <w:right w:val="none" w:sz="0" w:space="0" w:color="auto"/>
            </w:tcBorders>
            <w:textDirection w:val="lrTb"/>
            <w:vAlign w:val="center"/>
          </w:tcPr>
          <w:p w:rsidR="004C20F3">
            <w:pPr>
              <w:pStyle w:val="BodyText"/>
              <w:bidi w:val="0"/>
              <w:ind w:firstLine="0"/>
              <w:jc w:val="left"/>
              <w:rPr>
                <w:rFonts w:ascii="Arial Narrow" w:hAnsi="Arial Narrow"/>
                <w:sz w:val="20"/>
                <w:szCs w:val="20"/>
              </w:rPr>
            </w:pPr>
            <w:r>
              <w:rPr>
                <w:rFonts w:ascii="Arial Narrow" w:hAnsi="Arial Narrow"/>
                <w:sz w:val="20"/>
                <w:szCs w:val="20"/>
              </w:rPr>
              <w:t>Likvidáciách</w:t>
            </w:r>
          </w:p>
        </w:tc>
        <w:tc>
          <w:tcPr>
            <w:tcW w:w="1486" w:type="dxa"/>
            <w:tcBorders>
              <w:top w:val="nil"/>
              <w:left w:val="none" w:sz="0" w:space="0" w:color="auto"/>
              <w:bottom w:val="double" w:sz="4" w:space="0" w:color="auto"/>
              <w:right w:val="none" w:sz="0" w:space="0" w:color="auto"/>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864</w:t>
            </w:r>
          </w:p>
        </w:tc>
      </w:tr>
      <w:tr>
        <w:tblPrEx>
          <w:tblW w:w="0" w:type="auto"/>
          <w:jc w:val="center"/>
          <w:tblLayout w:type="fixed"/>
          <w:tblCellMar>
            <w:left w:w="70" w:type="dxa"/>
            <w:right w:w="70" w:type="dxa"/>
          </w:tblCellMar>
        </w:tblPrEx>
        <w:trPr>
          <w:jc w:val="center"/>
        </w:trPr>
        <w:tc>
          <w:tcPr>
            <w:tcW w:w="7534" w:type="dxa"/>
            <w:tcBorders>
              <w:top w:val="double" w:sz="4" w:space="0" w:color="auto"/>
              <w:left w:val="none" w:sz="0" w:space="0" w:color="auto"/>
              <w:bottom w:val="single" w:sz="4" w:space="0" w:color="auto"/>
              <w:right w:val="none" w:sz="0" w:space="0" w:color="auto"/>
            </w:tcBorders>
            <w:shd w:val="clear" w:color="auto" w:fill="CCCCFF"/>
            <w:textDirection w:val="lrTb"/>
            <w:vAlign w:val="center"/>
          </w:tcPr>
          <w:p w:rsidR="004C20F3">
            <w:pPr>
              <w:pStyle w:val="BodyText"/>
              <w:bidi w:val="0"/>
              <w:ind w:firstLine="0"/>
              <w:jc w:val="left"/>
              <w:rPr>
                <w:rFonts w:ascii="Arial Narrow" w:hAnsi="Arial Narrow"/>
                <w:b/>
                <w:bCs/>
                <w:sz w:val="20"/>
                <w:szCs w:val="20"/>
              </w:rPr>
            </w:pPr>
            <w:r>
              <w:rPr>
                <w:rFonts w:ascii="Arial Narrow" w:hAnsi="Arial Narrow"/>
                <w:b/>
                <w:bCs/>
                <w:sz w:val="20"/>
                <w:szCs w:val="20"/>
              </w:rPr>
              <w:t>Spolu:</w:t>
            </w:r>
          </w:p>
        </w:tc>
        <w:tc>
          <w:tcPr>
            <w:tcW w:w="1486" w:type="dxa"/>
            <w:tcBorders>
              <w:top w:val="double" w:sz="4" w:space="0" w:color="auto"/>
              <w:left w:val="none" w:sz="0" w:space="0" w:color="auto"/>
              <w:bottom w:val="single" w:sz="4" w:space="0" w:color="auto"/>
              <w:right w:val="none" w:sz="0" w:space="0" w:color="auto"/>
            </w:tcBorders>
            <w:shd w:val="clear" w:color="auto" w:fill="CCCCFF"/>
            <w:textDirection w:val="lrTb"/>
            <w:vAlign w:val="center"/>
          </w:tcPr>
          <w:p w:rsidR="004C20F3">
            <w:pPr>
              <w:pStyle w:val="BodyText"/>
              <w:bidi w:val="0"/>
              <w:jc w:val="right"/>
              <w:rPr>
                <w:rFonts w:ascii="Arial Narrow" w:hAnsi="Arial Narrow"/>
                <w:b/>
                <w:bCs/>
                <w:sz w:val="20"/>
                <w:szCs w:val="20"/>
              </w:rPr>
            </w:pPr>
            <w:r>
              <w:rPr>
                <w:rFonts w:ascii="Arial Narrow" w:hAnsi="Arial Narrow"/>
                <w:b/>
                <w:bCs/>
                <w:sz w:val="20"/>
                <w:szCs w:val="20"/>
              </w:rPr>
              <w:t>38 983</w:t>
            </w:r>
          </w:p>
        </w:tc>
      </w:tr>
    </w:tbl>
    <w:p w:rsidR="004C20F3">
      <w:pPr>
        <w:bidi w:val="0"/>
        <w:ind w:firstLine="0"/>
        <w:rPr>
          <w:rFonts w:ascii="Times New Roman" w:hAnsi="Times New Roman"/>
        </w:rPr>
      </w:pPr>
    </w:p>
    <w:p w:rsidR="004C20F3">
      <w:pPr>
        <w:pStyle w:val="Heading3"/>
        <w:bidi w:val="0"/>
        <w:spacing w:before="0"/>
        <w:rPr>
          <w:rFonts w:ascii="Times New Roman" w:hAnsi="Times New Roman"/>
        </w:rPr>
      </w:pPr>
      <w:r>
        <w:rPr>
          <w:rFonts w:ascii="Times New Roman" w:hAnsi="Times New Roman"/>
        </w:rPr>
        <w:t>VII. Súdne spory a právna agenda</w:t>
      </w:r>
    </w:p>
    <w:p w:rsidR="004C20F3">
      <w:pPr>
        <w:bidi w:val="0"/>
        <w:rPr>
          <w:rFonts w:ascii="Times New Roman" w:hAnsi="Times New Roman"/>
        </w:rPr>
      </w:pPr>
      <w:r>
        <w:rPr>
          <w:rFonts w:ascii="Times New Roman" w:hAnsi="Times New Roman"/>
        </w:rPr>
        <w:t>Pôsobnosť sekcie v oblasti „práva“ možno v širšom poňatí zhrnúť do troch oblastí:</w:t>
      </w:r>
    </w:p>
    <w:p w:rsidR="004C20F3">
      <w:pPr>
        <w:numPr>
          <w:numId w:val="14"/>
        </w:numPr>
        <w:bidi w:val="0"/>
        <w:rPr>
          <w:rFonts w:ascii="Times New Roman" w:hAnsi="Times New Roman"/>
        </w:rPr>
      </w:pPr>
      <w:r>
        <w:rPr>
          <w:rFonts w:ascii="Times New Roman" w:hAnsi="Times New Roman"/>
        </w:rPr>
        <w:t>legislatívna činnosť,</w:t>
      </w:r>
    </w:p>
    <w:p w:rsidR="004C20F3">
      <w:pPr>
        <w:numPr>
          <w:numId w:val="14"/>
        </w:numPr>
        <w:bidi w:val="0"/>
        <w:rPr>
          <w:rFonts w:ascii="Times New Roman" w:hAnsi="Times New Roman"/>
        </w:rPr>
      </w:pPr>
      <w:r>
        <w:rPr>
          <w:rFonts w:ascii="Times New Roman" w:hAnsi="Times New Roman"/>
        </w:rPr>
        <w:t>právna agenda a zastupovanie pred súdmi a správnymi orgánmi,</w:t>
      </w:r>
    </w:p>
    <w:p w:rsidR="004C20F3">
      <w:pPr>
        <w:numPr>
          <w:numId w:val="14"/>
        </w:numPr>
        <w:bidi w:val="0"/>
        <w:rPr>
          <w:rFonts w:ascii="Times New Roman" w:hAnsi="Times New Roman"/>
        </w:rPr>
      </w:pPr>
      <w:r>
        <w:rPr>
          <w:rFonts w:ascii="Times New Roman" w:hAnsi="Times New Roman"/>
        </w:rPr>
        <w:t>rôzne - vybavovanie bežnej korešpondencie internej aj vonkajšej,</w:t>
      </w:r>
    </w:p>
    <w:p w:rsidR="004C20F3">
      <w:pPr>
        <w:bidi w:val="0"/>
        <w:ind w:left="1800" w:firstLine="0"/>
        <w:rPr>
          <w:rFonts w:ascii="Times New Roman" w:hAnsi="Times New Roman"/>
        </w:rPr>
      </w:pPr>
      <w:r>
        <w:rPr>
          <w:rFonts w:ascii="Times New Roman" w:hAnsi="Times New Roman"/>
        </w:rPr>
        <w:t xml:space="preserve"> - poradenská právna činnosť.</w:t>
      </w:r>
    </w:p>
    <w:p w:rsidR="004C20F3">
      <w:pPr>
        <w:bidi w:val="0"/>
        <w:rPr>
          <w:rFonts w:ascii="Times New Roman" w:hAnsi="Times New Roman"/>
        </w:rPr>
      </w:pPr>
      <w:r>
        <w:rPr>
          <w:rFonts w:ascii="Times New Roman" w:hAnsi="Times New Roman"/>
        </w:rPr>
        <w:t xml:space="preserve">Do </w:t>
      </w:r>
      <w:r>
        <w:rPr>
          <w:rFonts w:ascii="Times New Roman" w:hAnsi="Times New Roman"/>
          <w:b/>
          <w:bCs/>
        </w:rPr>
        <w:t>legislatívnej činnosti</w:t>
      </w:r>
      <w:r>
        <w:rPr>
          <w:rFonts w:ascii="Times New Roman" w:hAnsi="Times New Roman"/>
        </w:rPr>
        <w:t xml:space="preserve"> patrí spracovávanie pripomienok k návrhom zákonov, resp. iným právnym predpisom v rámci medzirezortného pripomienkového konania. Do tejto oblasti je zahrnutá aj interná legislatívna činnosť, najmä vypracovanie interných právnych predpisov Fondu.</w:t>
      </w:r>
    </w:p>
    <w:p w:rsidR="004C20F3">
      <w:pPr>
        <w:bidi w:val="0"/>
        <w:rPr>
          <w:rFonts w:ascii="Times New Roman" w:hAnsi="Times New Roman"/>
        </w:rPr>
      </w:pPr>
      <w:r>
        <w:rPr>
          <w:rFonts w:ascii="Times New Roman" w:hAnsi="Times New Roman"/>
        </w:rPr>
        <w:t xml:space="preserve">Podstatnú a najdôležitejšiu činnosť zabezpečuje sekcia v rámci </w:t>
      </w:r>
      <w:r>
        <w:rPr>
          <w:rFonts w:ascii="Times New Roman" w:hAnsi="Times New Roman"/>
          <w:b/>
          <w:bCs/>
        </w:rPr>
        <w:t xml:space="preserve">právnej agendy a zastupovaní pred súdmi a  správnymi orgánmi. </w:t>
      </w:r>
      <w:r>
        <w:rPr>
          <w:rFonts w:ascii="Times New Roman" w:hAnsi="Times New Roman"/>
        </w:rPr>
        <w:t>Pracovníci sekcie zastupujú Fond v súdnych sporoch v konaniach pred súdmi, vrátane zastupovania v konaniach o mimoriadnych opravných prostriedkoch. Postup sa vykonáva v súlade so „Smernicou pre postup právnikov právneho odboru Fondu v priebehu súdnych sporov“.</w:t>
      </w:r>
    </w:p>
    <w:p w:rsidR="004C20F3">
      <w:pPr>
        <w:bidi w:val="0"/>
        <w:rPr>
          <w:rFonts w:ascii="Times New Roman" w:hAnsi="Times New Roman"/>
        </w:rPr>
      </w:pPr>
      <w:r>
        <w:rPr>
          <w:rFonts w:ascii="Times New Roman" w:hAnsi="Times New Roman"/>
        </w:rPr>
        <w:t xml:space="preserve"> Na základe rozhodnutí súdov, po prijatí uznesenia orgánmi Fondu, sa spracúva a predkladá príslušnému súdu návrh žaloby, resp. petit žaloby. Nakoľko Fond je účastníkom súdneho konania aj v pasívnych súdnych sporoch, sekcia vypracúva a predkladá súdom aj vyjadrenia - stanoviská k predloženým návrhom, kde Fond je žalovaný, resp. je účastníkom súdneho konania na strane žalovaného. Sekcia zabezpečuje účasť na vytýčených pojednávaniach súdov v jednotlivých právnych kauzách a podáva aj opravné prostriedky proti rozhodnutiam súdov.</w:t>
      </w:r>
    </w:p>
    <w:p w:rsidR="004C20F3">
      <w:pPr>
        <w:bidi w:val="0"/>
        <w:rPr>
          <w:rFonts w:ascii="Times New Roman" w:hAnsi="Times New Roman"/>
        </w:rPr>
      </w:pPr>
      <w:r>
        <w:rPr>
          <w:rFonts w:ascii="Times New Roman" w:hAnsi="Times New Roman"/>
        </w:rPr>
        <w:t>Z uvedeného vyplýva, že v súdnych sporoch vedených na jednotlivých súdoch Fond vystupuje ako žalobca (aktívny súdny spor) alebo je žalovaný (pasívny súdny spor). Fond je účastníkom aj v súdnych sporoch ako vedľajší účastník na strane žalobcu alebo žalovaného. Osobitnú časť tvoria súdne spory, kde sa Fond stal účastníkom súdneho konania v prípade nástupníctva po bývalom š.p..</w:t>
      </w:r>
    </w:p>
    <w:p w:rsidR="004C20F3">
      <w:pPr>
        <w:bidi w:val="0"/>
        <w:rPr>
          <w:rFonts w:ascii="Times New Roman" w:hAnsi="Times New Roman"/>
        </w:rPr>
      </w:pPr>
      <w:r>
        <w:rPr>
          <w:rFonts w:ascii="Times New Roman" w:hAnsi="Times New Roman"/>
        </w:rPr>
        <w:t>Predmetom súdnych sporov je vo väčšine prípadov vymáhanie pohľadávok, ktoré vyplývajú z uzatvorených zmlúv, vymáhanie pohľadávok po odstúpení od kúpnej zmluvy, ako i  zastupovania o určení práva, napr. o  určenie neplatnosti právneho úkonu, určenie neplatnosti prijatých uznesení valných zhromaždení.</w:t>
      </w:r>
    </w:p>
    <w:p w:rsidR="004C20F3">
      <w:pPr>
        <w:bidi w:val="0"/>
        <w:rPr>
          <w:rFonts w:ascii="Times New Roman" w:hAnsi="Times New Roman"/>
        </w:rPr>
      </w:pPr>
      <w:r>
        <w:rPr>
          <w:rFonts w:ascii="Times New Roman" w:hAnsi="Times New Roman"/>
        </w:rPr>
        <w:t>V roku 2009, k počtu 124 neukončených súdnych sporov ku 31.12.2008 v zastupovaní internými právnymi zástupcami, vstúpil Fond do ďalších 19 neukončených súdnych sporov aktívnych aj pasívnych. Do konania sa vrátil na ďalšie konanie 1 súdny spor. V zastupovaní internými právnikmi bolo v priebehu roka 2009 celkom ukončených 34 súdnych sporov.</w:t>
      </w:r>
    </w:p>
    <w:p w:rsidR="004C20F3">
      <w:pPr>
        <w:bidi w:val="0"/>
        <w:rPr>
          <w:rFonts w:ascii="Times New Roman" w:hAnsi="Times New Roman"/>
        </w:rPr>
      </w:pPr>
      <w:r>
        <w:rPr>
          <w:rFonts w:ascii="Times New Roman" w:hAnsi="Times New Roman"/>
        </w:rPr>
        <w:t xml:space="preserve">K 31.12.2009 bolo </w:t>
      </w:r>
      <w:r>
        <w:rPr>
          <w:rFonts w:ascii="Times New Roman" w:hAnsi="Times New Roman"/>
          <w:u w:val="single"/>
        </w:rPr>
        <w:t>v zastupovaní internými právnymi zástupcami</w:t>
      </w:r>
      <w:r>
        <w:rPr>
          <w:rFonts w:ascii="Times New Roman" w:hAnsi="Times New Roman"/>
        </w:rPr>
        <w:t xml:space="preserve"> neukončených 110 súdnych sporov. Finančný odhad v týchto neukončených súdnych sporoch aktívnych predstavuje čiastku 22 566 766,85 € a  pasívnych čiastku – 126 500 731,77  €.</w:t>
      </w:r>
    </w:p>
    <w:p w:rsidR="004C20F3">
      <w:pPr>
        <w:bidi w:val="0"/>
        <w:rPr>
          <w:rFonts w:ascii="Times New Roman" w:hAnsi="Times New Roman"/>
        </w:rPr>
      </w:pPr>
      <w:r>
        <w:rPr>
          <w:rFonts w:ascii="Times New Roman" w:hAnsi="Times New Roman"/>
        </w:rPr>
        <w:t>Fond na súdoch zastupujú aj externí právni zástupcovia. Postup upravuje „Smernica Fondu pre uzatváranie zmlúv o poskytovaní právnej pomoci s externými právnikmi“.</w:t>
      </w:r>
    </w:p>
    <w:p w:rsidR="004C20F3">
      <w:pPr>
        <w:bidi w:val="0"/>
        <w:rPr>
          <w:rFonts w:ascii="Times New Roman" w:hAnsi="Times New Roman"/>
        </w:rPr>
      </w:pPr>
      <w:r>
        <w:rPr>
          <w:rFonts w:ascii="Times New Roman" w:hAnsi="Times New Roman"/>
        </w:rPr>
        <w:t xml:space="preserve">K 31.12.2009 </w:t>
      </w:r>
      <w:r>
        <w:rPr>
          <w:rFonts w:ascii="Times New Roman" w:hAnsi="Times New Roman"/>
          <w:u w:val="single"/>
        </w:rPr>
        <w:t>externí právni zástupcovia</w:t>
      </w:r>
      <w:r>
        <w:rPr>
          <w:rFonts w:ascii="Times New Roman" w:hAnsi="Times New Roman"/>
        </w:rPr>
        <w:t xml:space="preserve"> vykázali celkom 36 neukončených súdnych sporov. Finančný odhad neukončených súdnych sporov aktívnych, resp. pasívnych predstavuje čiastku 5 321 569,38 €, resp. čiastku 37 027 545,00 €.</w:t>
      </w:r>
    </w:p>
    <w:p w:rsidR="004C20F3">
      <w:pPr>
        <w:bidi w:val="0"/>
        <w:ind w:firstLine="0"/>
        <w:rPr>
          <w:rFonts w:ascii="Times New Roman" w:hAnsi="Times New Roman"/>
        </w:rPr>
      </w:pPr>
    </w:p>
    <w:p w:rsidR="004C20F3">
      <w:pPr>
        <w:autoSpaceDE w:val="0"/>
        <w:autoSpaceDN w:val="0"/>
        <w:bidi w:val="0"/>
        <w:adjustRightInd w:val="0"/>
        <w:ind w:firstLine="0"/>
        <w:rPr>
          <w:rFonts w:ascii="Times New Roman" w:hAnsi="Times New Roman"/>
          <w:b/>
          <w:bCs/>
        </w:rPr>
      </w:pPr>
      <w:r>
        <w:rPr>
          <w:rFonts w:ascii="Times New Roman" w:hAnsi="Times New Roman"/>
          <w:b/>
          <w:bCs/>
        </w:rPr>
        <w:t>Neukončené súdne spory k  31.12.2009</w:t>
      </w:r>
    </w:p>
    <w:tbl>
      <w:tblPr>
        <w:tblStyle w:val="TableNormal"/>
        <w:tblW w:w="0" w:type="auto"/>
        <w:jc w:val="center"/>
        <w:tblInd w:w="-658" w:type="dxa"/>
        <w:tblBorders>
          <w:top w:val="single" w:sz="4" w:space="0" w:color="auto"/>
          <w:left w:val="single" w:sz="4" w:space="0" w:color="auto"/>
          <w:bottom w:val="single" w:sz="4" w:space="0" w:color="auto"/>
          <w:right w:val="single" w:sz="4" w:space="0" w:color="auto"/>
        </w:tblBorders>
        <w:tblCellMar>
          <w:left w:w="70" w:type="dxa"/>
          <w:right w:w="70" w:type="dxa"/>
        </w:tblCellMar>
      </w:tblPr>
      <w:tblGrid>
        <w:gridCol w:w="4455"/>
        <w:gridCol w:w="2304"/>
        <w:gridCol w:w="2304"/>
      </w:tblGrid>
      <w:tr>
        <w:tblPrEx>
          <w:tblW w:w="0" w:type="auto"/>
          <w:jc w:val="center"/>
          <w:tblInd w:w="-658" w:type="dxa"/>
          <w:tblBorders>
            <w:top w:val="single" w:sz="4" w:space="0" w:color="auto"/>
            <w:left w:val="single" w:sz="4" w:space="0" w:color="auto"/>
            <w:bottom w:val="single" w:sz="4" w:space="0" w:color="auto"/>
            <w:right w:val="single" w:sz="4" w:space="0" w:color="auto"/>
          </w:tblBorders>
          <w:tblCellMar>
            <w:left w:w="70" w:type="dxa"/>
            <w:right w:w="70" w:type="dxa"/>
          </w:tblCellMar>
        </w:tblPrEx>
        <w:trPr>
          <w:trHeight w:val="545"/>
          <w:jc w:val="center"/>
        </w:trPr>
        <w:tc>
          <w:tcPr>
            <w:tcW w:w="4455" w:type="dxa"/>
            <w:tcBorders>
              <w:top w:val="single" w:sz="6" w:space="0" w:color="000000"/>
              <w:left w:val="nil"/>
              <w:bottom w:val="double" w:sz="6" w:space="0" w:color="auto"/>
              <w:right w:val="nil"/>
            </w:tcBorders>
            <w:shd w:val="clear" w:color="auto" w:fill="CCCCFF"/>
            <w:textDirection w:val="lrTb"/>
            <w:vAlign w:val="center"/>
          </w:tcPr>
          <w:p w:rsidR="004C20F3">
            <w:pPr>
              <w:pStyle w:val="BodyText"/>
              <w:bidi w:val="0"/>
              <w:jc w:val="left"/>
              <w:rPr>
                <w:rFonts w:ascii="Arial Narrow" w:hAnsi="Arial Narrow"/>
                <w:b/>
                <w:bCs/>
                <w:sz w:val="20"/>
                <w:szCs w:val="20"/>
              </w:rPr>
            </w:pPr>
            <w:r>
              <w:rPr>
                <w:rFonts w:ascii="Arial Narrow" w:hAnsi="Arial Narrow"/>
                <w:b/>
                <w:bCs/>
                <w:sz w:val="20"/>
                <w:szCs w:val="20"/>
              </w:rPr>
              <w:t>Súdne spory</w:t>
            </w:r>
          </w:p>
        </w:tc>
        <w:tc>
          <w:tcPr>
            <w:tcW w:w="2304" w:type="dxa"/>
            <w:tcBorders>
              <w:top w:val="single" w:sz="6" w:space="0" w:color="000000"/>
              <w:left w:val="nil"/>
              <w:bottom w:val="double" w:sz="6" w:space="0" w:color="auto"/>
              <w:right w:val="nil"/>
            </w:tcBorders>
            <w:shd w:val="clear" w:color="auto" w:fill="CCCCFF"/>
            <w:textDirection w:val="lrTb"/>
            <w:vAlign w:val="center"/>
          </w:tcPr>
          <w:p w:rsidR="004C20F3">
            <w:pPr>
              <w:pStyle w:val="BodyText"/>
              <w:bidi w:val="0"/>
              <w:jc w:val="center"/>
              <w:rPr>
                <w:rFonts w:ascii="Arial Narrow" w:hAnsi="Arial Narrow"/>
                <w:b/>
                <w:bCs/>
                <w:sz w:val="20"/>
                <w:szCs w:val="20"/>
              </w:rPr>
            </w:pPr>
            <w:r>
              <w:rPr>
                <w:rFonts w:ascii="Arial Narrow" w:hAnsi="Arial Narrow"/>
                <w:b/>
                <w:bCs/>
                <w:sz w:val="20"/>
                <w:szCs w:val="20"/>
              </w:rPr>
              <w:t>Počet</w:t>
            </w:r>
          </w:p>
        </w:tc>
        <w:tc>
          <w:tcPr>
            <w:tcW w:w="2304" w:type="dxa"/>
            <w:tcBorders>
              <w:top w:val="single" w:sz="6" w:space="0" w:color="000000"/>
              <w:left w:val="nil"/>
              <w:bottom w:val="double" w:sz="6" w:space="0" w:color="auto"/>
              <w:right w:val="nil"/>
            </w:tcBorders>
            <w:shd w:val="clear" w:color="auto" w:fill="CCCCFF"/>
            <w:textDirection w:val="lrTb"/>
            <w:vAlign w:val="center"/>
          </w:tcPr>
          <w:p w:rsidR="004C20F3">
            <w:pPr>
              <w:pStyle w:val="BodyText"/>
              <w:bidi w:val="0"/>
              <w:jc w:val="center"/>
              <w:rPr>
                <w:rFonts w:ascii="Arial Narrow" w:hAnsi="Arial Narrow"/>
                <w:b/>
                <w:bCs/>
                <w:sz w:val="20"/>
                <w:szCs w:val="20"/>
              </w:rPr>
            </w:pPr>
            <w:r>
              <w:rPr>
                <w:rFonts w:ascii="Arial Narrow" w:hAnsi="Arial Narrow"/>
                <w:b/>
                <w:bCs/>
                <w:sz w:val="20"/>
                <w:szCs w:val="20"/>
              </w:rPr>
              <w:t>Finančný odhad v €</w:t>
            </w:r>
          </w:p>
        </w:tc>
      </w:tr>
      <w:tr>
        <w:tblPrEx>
          <w:tblW w:w="0" w:type="auto"/>
          <w:jc w:val="center"/>
          <w:tblInd w:w="-658" w:type="dxa"/>
          <w:tblCellMar>
            <w:left w:w="70" w:type="dxa"/>
            <w:right w:w="70" w:type="dxa"/>
          </w:tblCellMar>
        </w:tblPrEx>
        <w:trPr>
          <w:cantSplit/>
          <w:jc w:val="center"/>
        </w:trPr>
        <w:tc>
          <w:tcPr>
            <w:tcW w:w="4455" w:type="dxa"/>
            <w:vMerge w:val="restart"/>
            <w:tcBorders>
              <w:top w:val="double" w:sz="6" w:space="0" w:color="auto"/>
              <w:left w:val="nil"/>
              <w:bottom w:val="nil"/>
              <w:right w:val="nil"/>
            </w:tcBorders>
            <w:textDirection w:val="lrTb"/>
            <w:vAlign w:val="center"/>
          </w:tcPr>
          <w:p w:rsidR="004C20F3">
            <w:pPr>
              <w:pStyle w:val="BodyText"/>
              <w:bidi w:val="0"/>
              <w:jc w:val="left"/>
              <w:rPr>
                <w:rFonts w:ascii="Arial Narrow" w:hAnsi="Arial Narrow"/>
                <w:sz w:val="20"/>
                <w:szCs w:val="20"/>
              </w:rPr>
            </w:pPr>
            <w:r>
              <w:rPr>
                <w:rFonts w:ascii="Arial Narrow" w:hAnsi="Arial Narrow"/>
                <w:sz w:val="20"/>
                <w:szCs w:val="20"/>
              </w:rPr>
              <w:t>V zastupovaní internými právnikmi – aktívne</w:t>
            </w:r>
          </w:p>
          <w:p w:rsidR="004C20F3">
            <w:pPr>
              <w:pStyle w:val="BodyText"/>
              <w:bidi w:val="0"/>
              <w:jc w:val="left"/>
              <w:rPr>
                <w:rFonts w:ascii="Arial Narrow" w:hAnsi="Arial Narrow"/>
                <w:sz w:val="20"/>
                <w:szCs w:val="20"/>
              </w:rPr>
            </w:pPr>
            <w:r>
              <w:rPr>
                <w:rFonts w:ascii="Arial Narrow" w:hAnsi="Arial Narrow"/>
                <w:sz w:val="20"/>
                <w:szCs w:val="20"/>
              </w:rPr>
              <w:t xml:space="preserve">                                                        – pasívne</w:t>
            </w:r>
          </w:p>
        </w:tc>
        <w:tc>
          <w:tcPr>
            <w:tcW w:w="2304" w:type="dxa"/>
            <w:tcBorders>
              <w:top w:val="double" w:sz="6" w:space="0" w:color="auto"/>
              <w:left w:val="nil"/>
              <w:bottom w:val="nil"/>
              <w:right w:val="nil"/>
            </w:tcBorders>
            <w:textDirection w:val="lrTb"/>
            <w:vAlign w:val="center"/>
          </w:tcPr>
          <w:p w:rsidR="004C20F3">
            <w:pPr>
              <w:pStyle w:val="BodyText"/>
              <w:bidi w:val="0"/>
              <w:jc w:val="center"/>
              <w:rPr>
                <w:rFonts w:ascii="Arial Narrow" w:hAnsi="Arial Narrow"/>
                <w:sz w:val="20"/>
                <w:szCs w:val="20"/>
              </w:rPr>
            </w:pPr>
            <w:r>
              <w:rPr>
                <w:rFonts w:ascii="Arial Narrow" w:hAnsi="Arial Narrow"/>
                <w:sz w:val="20"/>
                <w:szCs w:val="20"/>
              </w:rPr>
              <w:t>42</w:t>
            </w:r>
          </w:p>
        </w:tc>
        <w:tc>
          <w:tcPr>
            <w:tcW w:w="2304" w:type="dxa"/>
            <w:tcBorders>
              <w:top w:val="double" w:sz="6" w:space="0" w:color="auto"/>
              <w:left w:val="nil"/>
              <w:bottom w:val="nil"/>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22 566 766,85</w:t>
            </w:r>
          </w:p>
        </w:tc>
      </w:tr>
      <w:tr>
        <w:tblPrEx>
          <w:tblW w:w="0" w:type="auto"/>
          <w:jc w:val="center"/>
          <w:tblInd w:w="-658" w:type="dxa"/>
          <w:tblCellMar>
            <w:left w:w="70" w:type="dxa"/>
            <w:right w:w="70" w:type="dxa"/>
          </w:tblCellMar>
        </w:tblPrEx>
        <w:trPr>
          <w:cantSplit/>
          <w:trHeight w:val="273"/>
          <w:jc w:val="center"/>
        </w:trPr>
        <w:tc>
          <w:tcPr>
            <w:tcW w:w="0" w:type="auto"/>
            <w:vMerge/>
            <w:tcBorders>
              <w:top w:val="nil"/>
              <w:left w:val="nil"/>
              <w:bottom w:val="nil"/>
              <w:right w:val="nil"/>
            </w:tcBorders>
            <w:textDirection w:val="lrTb"/>
            <w:vAlign w:val="center"/>
          </w:tcPr>
          <w:p w:rsidR="004C20F3">
            <w:pPr>
              <w:bidi w:val="0"/>
              <w:rPr>
                <w:rFonts w:ascii="Arial Narrow" w:hAnsi="Arial Narrow"/>
                <w:sz w:val="20"/>
                <w:szCs w:val="20"/>
              </w:rPr>
            </w:pPr>
          </w:p>
        </w:tc>
        <w:tc>
          <w:tcPr>
            <w:tcW w:w="2304" w:type="dxa"/>
            <w:tcBorders>
              <w:top w:val="nil"/>
              <w:left w:val="nil"/>
              <w:bottom w:val="nil"/>
              <w:right w:val="nil"/>
            </w:tcBorders>
            <w:textDirection w:val="lrTb"/>
            <w:vAlign w:val="center"/>
          </w:tcPr>
          <w:p w:rsidR="004C20F3">
            <w:pPr>
              <w:pStyle w:val="BodyText"/>
              <w:bidi w:val="0"/>
              <w:jc w:val="center"/>
              <w:rPr>
                <w:rFonts w:ascii="Arial Narrow" w:hAnsi="Arial Narrow"/>
                <w:sz w:val="20"/>
                <w:szCs w:val="20"/>
              </w:rPr>
            </w:pPr>
            <w:r>
              <w:rPr>
                <w:rFonts w:ascii="Arial Narrow" w:hAnsi="Arial Narrow"/>
                <w:sz w:val="20"/>
                <w:szCs w:val="20"/>
              </w:rPr>
              <w:t>68</w:t>
            </w:r>
          </w:p>
        </w:tc>
        <w:tc>
          <w:tcPr>
            <w:tcW w:w="2304" w:type="dxa"/>
            <w:tcBorders>
              <w:top w:val="nil"/>
              <w:left w:val="nil"/>
              <w:bottom w:val="nil"/>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- 126 500 731,77</w:t>
            </w:r>
          </w:p>
        </w:tc>
      </w:tr>
      <w:tr>
        <w:tblPrEx>
          <w:tblW w:w="0" w:type="auto"/>
          <w:jc w:val="center"/>
          <w:tblInd w:w="-658" w:type="dxa"/>
          <w:tblCellMar>
            <w:left w:w="70" w:type="dxa"/>
            <w:right w:w="70" w:type="dxa"/>
          </w:tblCellMar>
        </w:tblPrEx>
        <w:trPr>
          <w:cantSplit/>
          <w:jc w:val="center"/>
        </w:trPr>
        <w:tc>
          <w:tcPr>
            <w:tcW w:w="4455" w:type="dxa"/>
            <w:vMerge w:val="restart"/>
            <w:tcBorders>
              <w:top w:val="nil"/>
              <w:left w:val="nil"/>
              <w:bottom w:val="nil"/>
              <w:right w:val="nil"/>
            </w:tcBorders>
            <w:textDirection w:val="lrTb"/>
            <w:vAlign w:val="center"/>
          </w:tcPr>
          <w:p w:rsidR="004C20F3">
            <w:pPr>
              <w:pStyle w:val="BodyText"/>
              <w:bidi w:val="0"/>
              <w:jc w:val="left"/>
              <w:rPr>
                <w:rFonts w:ascii="Arial Narrow" w:hAnsi="Arial Narrow"/>
                <w:sz w:val="20"/>
                <w:szCs w:val="20"/>
              </w:rPr>
            </w:pPr>
            <w:r>
              <w:rPr>
                <w:rFonts w:ascii="Arial Narrow" w:hAnsi="Arial Narrow"/>
                <w:sz w:val="20"/>
                <w:szCs w:val="20"/>
              </w:rPr>
              <w:t>V zastupovaní externými právnikmi – aktívne</w:t>
            </w:r>
          </w:p>
          <w:p w:rsidR="004C20F3">
            <w:pPr>
              <w:pStyle w:val="BodyText"/>
              <w:bidi w:val="0"/>
              <w:jc w:val="left"/>
              <w:rPr>
                <w:rFonts w:ascii="Arial Narrow" w:hAnsi="Arial Narrow"/>
                <w:sz w:val="20"/>
                <w:szCs w:val="20"/>
              </w:rPr>
            </w:pPr>
            <w:r>
              <w:rPr>
                <w:rFonts w:ascii="Arial Narrow" w:hAnsi="Arial Narrow"/>
                <w:sz w:val="20"/>
                <w:szCs w:val="20"/>
              </w:rPr>
              <w:t xml:space="preserve">                                                         – pasívne</w:t>
            </w:r>
          </w:p>
        </w:tc>
        <w:tc>
          <w:tcPr>
            <w:tcW w:w="2304" w:type="dxa"/>
            <w:tcBorders>
              <w:top w:val="nil"/>
              <w:left w:val="nil"/>
              <w:bottom w:val="nil"/>
              <w:right w:val="nil"/>
            </w:tcBorders>
            <w:textDirection w:val="lrTb"/>
            <w:vAlign w:val="center"/>
          </w:tcPr>
          <w:p w:rsidR="004C20F3">
            <w:pPr>
              <w:pStyle w:val="BodyText"/>
              <w:bidi w:val="0"/>
              <w:jc w:val="center"/>
              <w:rPr>
                <w:rFonts w:ascii="Arial Narrow" w:hAnsi="Arial Narrow"/>
                <w:sz w:val="20"/>
                <w:szCs w:val="20"/>
              </w:rPr>
            </w:pPr>
            <w:r>
              <w:rPr>
                <w:rFonts w:ascii="Arial Narrow" w:hAnsi="Arial Narrow"/>
                <w:sz w:val="20"/>
                <w:szCs w:val="20"/>
              </w:rPr>
              <w:t>10</w:t>
            </w:r>
          </w:p>
        </w:tc>
        <w:tc>
          <w:tcPr>
            <w:tcW w:w="2304" w:type="dxa"/>
            <w:tcBorders>
              <w:top w:val="nil"/>
              <w:left w:val="nil"/>
              <w:bottom w:val="nil"/>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5 321 569,38</w:t>
            </w:r>
          </w:p>
        </w:tc>
      </w:tr>
      <w:tr>
        <w:tblPrEx>
          <w:tblW w:w="0" w:type="auto"/>
          <w:jc w:val="center"/>
          <w:tblInd w:w="-658" w:type="dxa"/>
          <w:tblCellMar>
            <w:left w:w="70" w:type="dxa"/>
            <w:right w:w="70" w:type="dxa"/>
          </w:tblCellMar>
        </w:tblPrEx>
        <w:trPr>
          <w:cantSplit/>
          <w:jc w:val="center"/>
        </w:trPr>
        <w:tc>
          <w:tcPr>
            <w:tcW w:w="0" w:type="auto"/>
            <w:vMerge/>
            <w:tcBorders>
              <w:top w:val="nil"/>
              <w:left w:val="nil"/>
              <w:bottom w:val="double" w:sz="6" w:space="0" w:color="auto"/>
              <w:right w:val="nil"/>
            </w:tcBorders>
            <w:textDirection w:val="lrTb"/>
            <w:vAlign w:val="center"/>
          </w:tcPr>
          <w:p w:rsidR="004C20F3">
            <w:pPr>
              <w:bidi w:val="0"/>
              <w:rPr>
                <w:rFonts w:ascii="Arial Narrow" w:hAnsi="Arial Narrow"/>
                <w:sz w:val="20"/>
                <w:szCs w:val="20"/>
              </w:rPr>
            </w:pPr>
          </w:p>
        </w:tc>
        <w:tc>
          <w:tcPr>
            <w:tcW w:w="2304" w:type="dxa"/>
            <w:tcBorders>
              <w:top w:val="nil"/>
              <w:left w:val="nil"/>
              <w:bottom w:val="double" w:sz="6" w:space="0" w:color="auto"/>
              <w:right w:val="nil"/>
            </w:tcBorders>
            <w:textDirection w:val="lrTb"/>
            <w:vAlign w:val="center"/>
          </w:tcPr>
          <w:p w:rsidR="004C20F3">
            <w:pPr>
              <w:pStyle w:val="BodyText"/>
              <w:bidi w:val="0"/>
              <w:jc w:val="center"/>
              <w:rPr>
                <w:rFonts w:ascii="Arial Narrow" w:hAnsi="Arial Narrow"/>
                <w:sz w:val="20"/>
                <w:szCs w:val="20"/>
              </w:rPr>
            </w:pPr>
            <w:r>
              <w:rPr>
                <w:rFonts w:ascii="Arial Narrow" w:hAnsi="Arial Narrow"/>
                <w:sz w:val="20"/>
                <w:szCs w:val="20"/>
              </w:rPr>
              <w:t>26</w:t>
            </w:r>
          </w:p>
        </w:tc>
        <w:tc>
          <w:tcPr>
            <w:tcW w:w="2304" w:type="dxa"/>
            <w:tcBorders>
              <w:top w:val="nil"/>
              <w:left w:val="nil"/>
              <w:bottom w:val="double" w:sz="6" w:space="0" w:color="auto"/>
              <w:right w:val="nil"/>
            </w:tcBorders>
            <w:textDirection w:val="lrTb"/>
            <w:vAlign w:val="center"/>
          </w:tcPr>
          <w:p w:rsidR="004C20F3">
            <w:pPr>
              <w:pStyle w:val="BodyText"/>
              <w:bidi w:val="0"/>
              <w:jc w:val="right"/>
              <w:rPr>
                <w:rFonts w:ascii="Arial Narrow" w:hAnsi="Arial Narrow"/>
                <w:sz w:val="20"/>
                <w:szCs w:val="20"/>
              </w:rPr>
            </w:pPr>
            <w:r>
              <w:rPr>
                <w:rFonts w:ascii="Arial Narrow" w:hAnsi="Arial Narrow"/>
                <w:sz w:val="20"/>
                <w:szCs w:val="20"/>
              </w:rPr>
              <w:t>- 37 027 545,00</w:t>
            </w:r>
          </w:p>
        </w:tc>
      </w:tr>
      <w:tr>
        <w:tblPrEx>
          <w:tblW w:w="0" w:type="auto"/>
          <w:jc w:val="center"/>
          <w:tblInd w:w="-658" w:type="dxa"/>
          <w:tblCellMar>
            <w:left w:w="70" w:type="dxa"/>
            <w:right w:w="70" w:type="dxa"/>
          </w:tblCellMar>
        </w:tblPrEx>
        <w:trPr>
          <w:jc w:val="center"/>
        </w:trPr>
        <w:tc>
          <w:tcPr>
            <w:tcW w:w="4455" w:type="dxa"/>
            <w:tcBorders>
              <w:top w:val="double" w:sz="6" w:space="0" w:color="auto"/>
              <w:left w:val="nil"/>
              <w:bottom w:val="single" w:sz="6" w:space="0" w:color="000000"/>
              <w:right w:val="nil"/>
            </w:tcBorders>
            <w:shd w:val="clear" w:color="auto" w:fill="CCCCFF"/>
            <w:textDirection w:val="lrTb"/>
            <w:vAlign w:val="center"/>
          </w:tcPr>
          <w:p w:rsidR="004C20F3">
            <w:pPr>
              <w:pStyle w:val="BodyText"/>
              <w:bidi w:val="0"/>
              <w:jc w:val="left"/>
              <w:rPr>
                <w:rFonts w:ascii="Arial Narrow" w:hAnsi="Arial Narrow"/>
                <w:b/>
                <w:bCs/>
                <w:sz w:val="20"/>
                <w:szCs w:val="20"/>
              </w:rPr>
            </w:pPr>
            <w:r>
              <w:rPr>
                <w:rFonts w:ascii="Arial Narrow" w:hAnsi="Arial Narrow"/>
                <w:b/>
                <w:bCs/>
                <w:sz w:val="20"/>
                <w:szCs w:val="20"/>
              </w:rPr>
              <w:t>Spolu:</w:t>
            </w:r>
          </w:p>
        </w:tc>
        <w:tc>
          <w:tcPr>
            <w:tcW w:w="2304" w:type="dxa"/>
            <w:tcBorders>
              <w:top w:val="double" w:sz="6" w:space="0" w:color="auto"/>
              <w:left w:val="nil"/>
              <w:bottom w:val="single" w:sz="6" w:space="0" w:color="000000"/>
              <w:right w:val="nil"/>
            </w:tcBorders>
            <w:shd w:val="clear" w:color="auto" w:fill="CCCCFF"/>
            <w:textDirection w:val="lrTb"/>
            <w:vAlign w:val="center"/>
          </w:tcPr>
          <w:p w:rsidR="004C20F3">
            <w:pPr>
              <w:pStyle w:val="BodyText"/>
              <w:bidi w:val="0"/>
              <w:jc w:val="center"/>
              <w:rPr>
                <w:rFonts w:ascii="Arial Narrow" w:hAnsi="Arial Narrow"/>
                <w:b/>
                <w:bCs/>
                <w:sz w:val="20"/>
                <w:szCs w:val="20"/>
              </w:rPr>
            </w:pPr>
            <w:r>
              <w:rPr>
                <w:rFonts w:ascii="Arial Narrow" w:hAnsi="Arial Narrow"/>
                <w:b/>
                <w:bCs/>
                <w:sz w:val="20"/>
                <w:szCs w:val="20"/>
              </w:rPr>
              <w:t>146</w:t>
            </w:r>
          </w:p>
        </w:tc>
        <w:tc>
          <w:tcPr>
            <w:tcW w:w="2304" w:type="dxa"/>
            <w:tcBorders>
              <w:top w:val="double" w:sz="6" w:space="0" w:color="auto"/>
              <w:left w:val="nil"/>
              <w:bottom w:val="single" w:sz="6" w:space="0" w:color="000000"/>
              <w:right w:val="nil"/>
            </w:tcBorders>
            <w:shd w:val="clear" w:color="auto" w:fill="CCCCFF"/>
            <w:textDirection w:val="lrTb"/>
            <w:vAlign w:val="center"/>
          </w:tcPr>
          <w:p w:rsidR="004C20F3">
            <w:pPr>
              <w:pStyle w:val="BodyText"/>
              <w:bidi w:val="0"/>
              <w:ind w:firstLine="0"/>
              <w:rPr>
                <w:rFonts w:ascii="Arial Narrow" w:hAnsi="Arial Narrow"/>
                <w:b/>
                <w:bCs/>
                <w:sz w:val="20"/>
                <w:szCs w:val="20"/>
              </w:rPr>
            </w:pPr>
            <w:r>
              <w:rPr>
                <w:rFonts w:ascii="Arial Narrow" w:hAnsi="Arial Narrow"/>
                <w:b/>
                <w:bCs/>
                <w:sz w:val="20"/>
                <w:szCs w:val="20"/>
              </w:rPr>
              <w:t xml:space="preserve">Aktívny:     27 888 336,23 Pasívny:       163 528 276,77     </w:t>
            </w:r>
          </w:p>
        </w:tc>
      </w:tr>
    </w:tbl>
    <w:p w:rsidR="004C20F3">
      <w:pPr>
        <w:bidi w:val="0"/>
        <w:rPr>
          <w:rFonts w:ascii="Times New Roman" w:hAnsi="Times New Roman"/>
        </w:rPr>
      </w:pPr>
      <w:r>
        <w:rPr>
          <w:rFonts w:ascii="Times New Roman" w:hAnsi="Times New Roman"/>
        </w:rPr>
        <w:t xml:space="preserve">Do oblasti zabezpečovania </w:t>
      </w:r>
      <w:r>
        <w:rPr>
          <w:rFonts w:ascii="Times New Roman" w:hAnsi="Times New Roman"/>
          <w:b/>
          <w:bCs/>
        </w:rPr>
        <w:t>rôznych úloh</w:t>
      </w:r>
      <w:r>
        <w:rPr>
          <w:rFonts w:ascii="Times New Roman" w:hAnsi="Times New Roman"/>
        </w:rPr>
        <w:t xml:space="preserve"> v roku 2009 možno zahrnúť vybavovanie značnej časti bežnej internej aj vonkajšej korešpondencie, poradenskú právnu činnosť pre ostatné útvary Fondu, posudzovanie dôležitých právnych dokumentov, dotýkajúcich sa činnosti Fondu. K tomu treba uviesť aj vypracovávanie a zabezpečovanie dokladov – podkladov v rámci požiadaviek súdov aj v právnych veciach, v  ktorých Fond nie je účastníkom, napr. súdnych konaní.</w:t>
      </w:r>
    </w:p>
    <w:p w:rsidR="004C20F3">
      <w:pPr>
        <w:bidi w:val="0"/>
        <w:rPr>
          <w:rFonts w:ascii="Times New Roman" w:hAnsi="Times New Roman"/>
        </w:rPr>
      </w:pPr>
      <w:r>
        <w:rPr>
          <w:rFonts w:ascii="Times New Roman" w:hAnsi="Times New Roman"/>
        </w:rPr>
        <w:t>Osobitnú časť činnosti sekcie v tejto oblasti tvorí rýchla a kvalitná spolupráca s  externými právnymi subjektami zastupujúcimi Fond, ktorá zahŕňa najmä uzatvorenie zmluvy o  právnej pomoci a priebežnú komunikáciu s externými právnymi subjektami, evidenciu a sledovanie plnenia zmlúv o právnej pomoci. Ďalej sekcia predkladá poradným orgánom Fondu materiály o vzájomnej právnej pomoci, t.j. informačný materiál o stave súdnych sporov v internom aj v  externom právnom zastúpení s  aktualizovaným stavom (v polročných intervaloch) a o uzatvorených zmluvách o poskytnutí právnej pomoci (v štvrťročných intervaloch). Do pôsobnosti sekcie patrí aj evidencia a  zakladanie podkladov k spolupráci s externými právnymi subjektami (evidenčné listy a zložky externých právnych kancelárií, vrátane ponúk na spoluprácu).</w:t>
      </w:r>
    </w:p>
    <w:p w:rsidR="004C20F3">
      <w:pPr>
        <w:bidi w:val="0"/>
        <w:ind w:firstLine="0"/>
        <w:rPr>
          <w:rFonts w:ascii="Times New Roman" w:hAnsi="Times New Roman"/>
          <w:b/>
          <w:bCs/>
          <w:i/>
          <w:iCs/>
          <w:sz w:val="26"/>
          <w:szCs w:val="26"/>
        </w:rPr>
      </w:pPr>
    </w:p>
    <w:p w:rsidR="004C20F3">
      <w:pPr>
        <w:pStyle w:val="Heading3"/>
        <w:bidi w:val="0"/>
        <w:spacing w:before="0"/>
        <w:rPr>
          <w:rFonts w:ascii="Times New Roman" w:hAnsi="Times New Roman"/>
        </w:rPr>
      </w:pPr>
      <w:r>
        <w:rPr>
          <w:rFonts w:ascii="Times New Roman" w:hAnsi="Times New Roman"/>
        </w:rPr>
        <w:t>VIII. Kontrola a vybavovanie sťažností</w:t>
      </w:r>
    </w:p>
    <w:p w:rsidR="004C20F3">
      <w:pPr>
        <w:bidi w:val="0"/>
        <w:rPr>
          <w:rFonts w:ascii="Times New Roman" w:hAnsi="Times New Roman"/>
        </w:rPr>
      </w:pPr>
      <w:r>
        <w:rPr>
          <w:rFonts w:ascii="Times New Roman" w:hAnsi="Times New Roman"/>
        </w:rPr>
        <w:t>Kontrolná činnosť Fondu sa realizuje v zmysle „Zásad kontrolnej činnosti Fondu“, ktoré stanovujú základné pravidlá a postupy zamestnancov Fondu vykonávajúcich kontrolnú činnosť a upravujú úlohy a pôsobnosť jednotlivých organizačných útvarov Fondu pri výkone kontrolnej činnosti, ktorá je rozdelená na vnútornú a vonkajšiu kontrolnú činnosť.</w:t>
      </w:r>
    </w:p>
    <w:p w:rsidR="004C20F3">
      <w:pPr>
        <w:bidi w:val="0"/>
        <w:rPr>
          <w:rFonts w:ascii="Times New Roman" w:hAnsi="Times New Roman"/>
          <w:szCs w:val="22"/>
        </w:rPr>
      </w:pPr>
      <w:r>
        <w:rPr>
          <w:rFonts w:ascii="Times New Roman" w:hAnsi="Times New Roman"/>
          <w:b/>
          <w:bCs/>
          <w:i/>
          <w:iCs/>
        </w:rPr>
        <w:t xml:space="preserve">Vnútorná kontrolná činnosť </w:t>
      </w:r>
      <w:r>
        <w:rPr>
          <w:rFonts w:ascii="Times New Roman" w:hAnsi="Times New Roman"/>
        </w:rPr>
        <w:t xml:space="preserve">bola v roku 2009 zameraná </w:t>
      </w:r>
      <w:r>
        <w:rPr>
          <w:rFonts w:ascii="Times New Roman" w:hAnsi="Times New Roman"/>
          <w:szCs w:val="22"/>
        </w:rPr>
        <w:t>hlavne na vybavovanie doručených rôznych podaní, ktorých štruktúra bola nasledovná:</w:t>
      </w:r>
    </w:p>
    <w:p w:rsidR="004C20F3" w:rsidP="004C20F3">
      <w:pPr>
        <w:numPr>
          <w:numId w:val="15"/>
        </w:numPr>
        <w:tabs>
          <w:tab w:val="num" w:pos="540"/>
          <w:tab w:val="clear" w:pos="1350"/>
        </w:tabs>
        <w:bidi w:val="0"/>
        <w:ind w:left="540" w:hanging="540"/>
        <w:rPr>
          <w:rFonts w:ascii="Times New Roman" w:hAnsi="Times New Roman"/>
        </w:rPr>
      </w:pPr>
      <w:r>
        <w:rPr>
          <w:rFonts w:ascii="Times New Roman" w:hAnsi="Times New Roman"/>
          <w:szCs w:val="22"/>
        </w:rPr>
        <w:t>podnety, žiadosti, sťažnosti (26 prípadov),</w:t>
      </w:r>
    </w:p>
    <w:p w:rsidR="004C20F3" w:rsidP="004C20F3">
      <w:pPr>
        <w:numPr>
          <w:numId w:val="15"/>
        </w:numPr>
        <w:tabs>
          <w:tab w:val="num" w:pos="540"/>
          <w:tab w:val="clear" w:pos="1350"/>
        </w:tabs>
        <w:bidi w:val="0"/>
        <w:ind w:left="540" w:hanging="540"/>
        <w:rPr>
          <w:rFonts w:ascii="Times New Roman" w:hAnsi="Times New Roman"/>
        </w:rPr>
      </w:pPr>
      <w:r>
        <w:rPr>
          <w:rFonts w:ascii="Times New Roman" w:hAnsi="Times New Roman"/>
          <w:szCs w:val="22"/>
        </w:rPr>
        <w:t xml:space="preserve">vypracovanie </w:t>
      </w:r>
      <w:r>
        <w:rPr>
          <w:rFonts w:ascii="Times New Roman" w:hAnsi="Times New Roman"/>
        </w:rPr>
        <w:t>analýz na zistenie možných zanedbaní pri správe zmlúv vyúsťujúcich k návrhu na trvalé upustenie od vymáhania pohľadávky Fondu a účtovné odpísanie („TUVOP” ako spôsob použitia majetku Fondu – 11 prípadov),</w:t>
      </w:r>
    </w:p>
    <w:p w:rsidR="004C20F3" w:rsidP="004C20F3">
      <w:pPr>
        <w:numPr>
          <w:numId w:val="15"/>
        </w:numPr>
        <w:tabs>
          <w:tab w:val="num" w:pos="540"/>
          <w:tab w:val="clear" w:pos="1350"/>
        </w:tabs>
        <w:bidi w:val="0"/>
        <w:ind w:left="540" w:hanging="540"/>
        <w:rPr>
          <w:rFonts w:ascii="Times New Roman" w:hAnsi="Times New Roman"/>
        </w:rPr>
      </w:pPr>
      <w:r>
        <w:rPr>
          <w:rFonts w:ascii="Times New Roman" w:hAnsi="Times New Roman"/>
        </w:rPr>
        <w:t>ako aj vybavovanie dožiadaní orgánov Policajného zboru Slovenskej republiky (10 prípadov).</w:t>
      </w:r>
    </w:p>
    <w:p w:rsidR="004C20F3">
      <w:pPr>
        <w:bidi w:val="0"/>
        <w:rPr>
          <w:rFonts w:ascii="Times New Roman" w:hAnsi="Times New Roman"/>
        </w:rPr>
      </w:pPr>
      <w:r>
        <w:rPr>
          <w:rFonts w:ascii="Times New Roman" w:hAnsi="Times New Roman"/>
        </w:rPr>
        <w:t>Doručené podania sa po obsahovej stránke týkali najmä podnetov na prešetrenie privatizačného procesu, žiadostí k prešetreniu porušovania ustanovení zmluvných záväzkov, nakladania s privatizovaným majetkom a konania kupujúcich v súvislosti s odpredajom bytov do osobného vlastníctva, rozviazania pracovného pomeru zamestnancov, vlastníckych vzťahov k pôde, ako aj prešetrenia predaja pohľadávky Fondu, prešetrenia verejno – obchodných súťaží, a požiadavky na prešetrenie postupu CDCP ohľadne fakturácie poplatku za vedenie účtu majiteľa cenných papierov za akcie už v súčasnosti neexistujúcich akciových spoločností.</w:t>
      </w:r>
    </w:p>
    <w:p w:rsidR="004C20F3">
      <w:pPr>
        <w:bidi w:val="0"/>
        <w:ind w:firstLine="0"/>
        <w:rPr>
          <w:rFonts w:ascii="Times New Roman" w:hAnsi="Times New Roman"/>
          <w:szCs w:val="22"/>
        </w:rPr>
      </w:pPr>
      <w:r>
        <w:rPr>
          <w:rFonts w:ascii="Times New Roman" w:hAnsi="Times New Roman"/>
          <w:szCs w:val="22"/>
        </w:rPr>
        <w:t>Dožiadania, sťažnosti a podnety od policajných orgánov sa týkali šetrení, v ktorých orgány činné v trestnom konaní konali v súčinnosti so súdmi.</w:t>
      </w:r>
    </w:p>
    <w:p w:rsidR="004C20F3">
      <w:pPr>
        <w:bidi w:val="0"/>
        <w:ind w:firstLine="0"/>
        <w:rPr>
          <w:rFonts w:ascii="Times New Roman" w:hAnsi="Times New Roman"/>
        </w:rPr>
      </w:pPr>
      <w:r>
        <w:rPr>
          <w:rFonts w:ascii="Times New Roman" w:hAnsi="Times New Roman"/>
          <w:szCs w:val="22"/>
        </w:rPr>
        <w:t>Závažnejšími zisteniami z vykonaného šetrenia sa zaoberali orgány Fondu, ku ktorým boli</w:t>
      </w:r>
      <w:r>
        <w:rPr>
          <w:rFonts w:ascii="Times New Roman" w:hAnsi="Times New Roman"/>
        </w:rPr>
        <w:t xml:space="preserve"> prijaté konkrétne opatrenia a tieto vo viacerých prípadoch viedli k vykonaniu hĺbkových kontrol v príslušných spoločnostiach. </w:t>
      </w:r>
    </w:p>
    <w:p w:rsidR="004C20F3">
      <w:pPr>
        <w:bidi w:val="0"/>
        <w:rPr>
          <w:rFonts w:ascii="Times New Roman" w:hAnsi="Times New Roman"/>
          <w:lang w:eastAsia="en-US"/>
        </w:rPr>
      </w:pPr>
      <w:r>
        <w:rPr>
          <w:rFonts w:ascii="Times New Roman" w:hAnsi="Times New Roman"/>
          <w:b/>
          <w:bCs/>
        </w:rPr>
        <w:t xml:space="preserve">Vonkajšia kontrolná činnosť - </w:t>
      </w:r>
      <w:r>
        <w:rPr>
          <w:rFonts w:ascii="Times New Roman" w:hAnsi="Times New Roman"/>
          <w:lang w:eastAsia="en-US"/>
        </w:rPr>
        <w:t xml:space="preserve">Sekcia právna, kontroly a sťažností </w:t>
      </w:r>
      <w:r>
        <w:rPr>
          <w:rFonts w:ascii="Times New Roman" w:hAnsi="Times New Roman"/>
        </w:rPr>
        <w:t>v roku</w:t>
      </w:r>
      <w:r>
        <w:rPr>
          <w:rFonts w:ascii="Times New Roman" w:hAnsi="Times New Roman"/>
          <w:b/>
          <w:bCs/>
        </w:rPr>
        <w:t xml:space="preserve"> </w:t>
      </w:r>
      <w:r>
        <w:rPr>
          <w:rFonts w:ascii="Times New Roman" w:hAnsi="Times New Roman"/>
        </w:rPr>
        <w:t xml:space="preserve">2009 </w:t>
      </w:r>
      <w:r>
        <w:rPr>
          <w:rFonts w:ascii="Times New Roman" w:hAnsi="Times New Roman"/>
          <w:lang w:eastAsia="en-US"/>
        </w:rPr>
        <w:t xml:space="preserve">realizovala kontrolnú činnosť v súlade s plánom kontrolnej činnosti na rok </w:t>
      </w:r>
      <w:smartTag w:uri="urn:schemas-microsoft-com:office:smarttags" w:element="metricconverter">
        <w:smartTagPr>
          <w:attr w:name="ProductID" w:val="2009 a"/>
        </w:smartTagPr>
        <w:r>
          <w:rPr>
            <w:rFonts w:ascii="Times New Roman" w:hAnsi="Times New Roman"/>
            <w:lang w:eastAsia="en-US"/>
          </w:rPr>
          <w:t>2009 a</w:t>
        </w:r>
      </w:smartTag>
      <w:r>
        <w:rPr>
          <w:rFonts w:ascii="Times New Roman" w:hAnsi="Times New Roman"/>
          <w:lang w:eastAsia="en-US"/>
        </w:rPr>
        <w:t xml:space="preserve"> na základe požiadaviek a potrieb Výkonného výboru Fondu. Kontroly boli zamerané na kontrolu plnenia záväzkov vyplývajúcich z ustanovení zmlúv o predaji podnikov, resp. časti podnikov a na kontrolu stavu a nakladania s privatizovaným majetkom u ich nadobúdateľov v súlade s § 19a ods.2 a § 40 zákona. Kontroly sa uskutočnili na základe poverení Výkonného výboru Fondu. V zmysle „Zásad kontrolnej činnosti Fondu“, o výsledkoch kontrol boli vypracované protokoly, s obsahom ktorých boli oboznámení príslušní štatutárni zástupcovia kontrolovaných subjektov. O prerokovaní protokolu o výsledku kontroly bola spísaná zápisnica, v ktorej boli dohodnuté resp. určené termíny na odstránenie zistených nedostatkov.</w:t>
      </w:r>
    </w:p>
    <w:p w:rsidR="004C20F3">
      <w:pPr>
        <w:bidi w:val="0"/>
        <w:rPr>
          <w:rFonts w:ascii="Times New Roman" w:hAnsi="Times New Roman"/>
        </w:rPr>
      </w:pPr>
      <w:r>
        <w:rPr>
          <w:rFonts w:ascii="Times New Roman" w:hAnsi="Times New Roman"/>
        </w:rPr>
        <w:t xml:space="preserve">Po analýze zistených nedostatkov možno konštatovať, že kontrolné zistenia v roku 2009 sa vo všeobecnosti týkali najmä </w:t>
      </w:r>
      <w:r>
        <w:rPr>
          <w:rFonts w:ascii="Times New Roman" w:hAnsi="Times New Roman"/>
          <w:i/>
          <w:iCs/>
        </w:rPr>
        <w:t>nedodržiavania zákonných obmedzení pri nakladaní s privatizovaným majetkom, najmä pri prenájme, odpredaji a založení majetku, podľa § 19a ods. 2 zákona, pri ktorých sa vyžaduje predchádzajúci písomný súhlas Fondu.</w:t>
      </w:r>
    </w:p>
    <w:p w:rsidR="004C20F3">
      <w:pPr>
        <w:bidi w:val="0"/>
        <w:rPr>
          <w:rFonts w:ascii="Times New Roman" w:hAnsi="Times New Roman"/>
        </w:rPr>
      </w:pPr>
      <w:r>
        <w:rPr>
          <w:rFonts w:ascii="Times New Roman" w:hAnsi="Times New Roman"/>
        </w:rPr>
        <w:t>V roku 2009 vykonala sekcia právna, kontroly a sťažností 14 kontrol, z toho 7 kontrol bolo vykonaných na dodržiavanie zmlúv v zdravotníckych zariadeniach, 5 kontrol bolo zameraných na zmluvy o bezodplatnom prevode majetku na subjekty a 2 kontroly na zmluvy o predaji časti podniku. Výsledky z vykonaných kontrol boli predložené na prerokovanie orgánom Fondu, ktoré vo svojich uzneseniach prijali konkrétne opatrenia na nápravu skutkového stavu. Správy o výsledkoch kontrolnej činnosti boli zaslané Najvyššiemu kontrolnému úradu Slovenskej republiky.</w:t>
      </w:r>
    </w:p>
    <w:p w:rsidR="004C20F3">
      <w:pPr>
        <w:bidi w:val="0"/>
        <w:ind w:firstLine="0"/>
        <w:rPr>
          <w:rFonts w:ascii="Times New Roman" w:hAnsi="Times New Roman"/>
        </w:rPr>
      </w:pPr>
    </w:p>
    <w:p w:rsidR="004C20F3">
      <w:pPr>
        <w:pStyle w:val="Heading1"/>
        <w:bidi w:val="0"/>
        <w:rPr>
          <w:rFonts w:ascii="Times New Roman" w:hAnsi="Times New Roman"/>
        </w:rPr>
      </w:pPr>
      <w:r>
        <w:rPr>
          <w:rFonts w:ascii="Times New Roman" w:hAnsi="Times New Roman"/>
        </w:rPr>
        <w:t>HOSPODÁRENIE FONDU V ROKU 2009</w:t>
      </w:r>
    </w:p>
    <w:p w:rsidR="004C20F3">
      <w:pPr>
        <w:pStyle w:val="Heading3"/>
        <w:bidi w:val="0"/>
        <w:rPr>
          <w:rFonts w:ascii="Times New Roman" w:hAnsi="Times New Roman"/>
        </w:rPr>
      </w:pPr>
      <w:r>
        <w:rPr>
          <w:rFonts w:ascii="Times New Roman" w:hAnsi="Times New Roman"/>
        </w:rPr>
        <w:t>I. Príjmy Fondu</w:t>
      </w:r>
    </w:p>
    <w:p w:rsidR="004C20F3">
      <w:pPr>
        <w:pStyle w:val="BodyTextIndent2"/>
        <w:bidi w:val="0"/>
        <w:rPr>
          <w:rFonts w:ascii="Times New Roman" w:hAnsi="Times New Roman"/>
        </w:rPr>
      </w:pPr>
      <w:r>
        <w:rPr>
          <w:rFonts w:ascii="Times New Roman" w:hAnsi="Times New Roman"/>
        </w:rPr>
        <w:t>Celkové príjmy Fondu, vrátane zostatku peňažných prostriedkov z predchádzajúceho obdobia, dosiahli v roku 2009 objem 889 741 624,49 €.</w:t>
      </w:r>
    </w:p>
    <w:p w:rsidR="004C20F3">
      <w:pPr>
        <w:pStyle w:val="BodyTextIndent2"/>
        <w:bidi w:val="0"/>
        <w:rPr>
          <w:rFonts w:ascii="Times New Roman" w:hAnsi="Times New Roman"/>
        </w:rPr>
      </w:pPr>
      <w:r>
        <w:rPr>
          <w:rFonts w:ascii="Times New Roman" w:hAnsi="Times New Roman"/>
        </w:rPr>
        <w:t>Najvýznamnejšou príjmovou položkou v tomto období, ktorá tvorí 99,28% celkových príjmov Fondu, boli dividendy zo spoločností, v ktorých mal Fond počas roku 2008 majetkovú účasť. Naproti tomu položky ako: príjmy zo zmlúv, ktoré Fond uzavrel pred rokom 2009, príjmy zo zmlúv, ktoré Fond uzavrel v priebehu roku 2009, úroky z kúpnopredajných zmlúv, sankcie za oneskorené úhrady a pod., predstavujú len nepatrnú časť z celkového objemu príjmov.</w:t>
      </w:r>
    </w:p>
    <w:p w:rsidR="004C20F3">
      <w:pPr>
        <w:pStyle w:val="BodyTextIndent2"/>
        <w:bidi w:val="0"/>
        <w:rPr>
          <w:rFonts w:ascii="Times New Roman" w:hAnsi="Times New Roman"/>
        </w:rPr>
      </w:pPr>
      <w:r>
        <w:rPr>
          <w:rFonts w:ascii="Times New Roman" w:hAnsi="Times New Roman"/>
        </w:rPr>
        <w:t>Peňažné prostriedky, ktoré mal Fond počas roku na svojich účtoch, až do realizácie svojich záväzkov, ukladal na termínované vklady, za účelom ich zhodnotenia. Úrokové výnosy vyplácané peňažnými ústavmi počas roku 2009 ovplyvňoval jednak objem peňažných prostriedkov, ktoré mal Fond počas roka k dispozícii na svojich účtoch v bankách, ale hlavne základná úroková sadzba vyhlasovaná Európskou centrálnou bankou. Takto získané peňažné prostriedky tvoria 0,34%-ný podiel z celkového objemu príjmov Fondu v roku 2009.</w:t>
      </w:r>
    </w:p>
    <w:p w:rsidR="004C20F3">
      <w:pPr>
        <w:pStyle w:val="BodyTextIndent2"/>
        <w:bidi w:val="0"/>
        <w:ind w:firstLine="0"/>
        <w:rPr>
          <w:rFonts w:ascii="Times New Roman" w:hAnsi="Times New Roman"/>
        </w:rPr>
      </w:pPr>
      <w:r>
        <w:rPr>
          <w:rFonts w:ascii="Times New Roman" w:hAnsi="Times New Roman"/>
        </w:rPr>
        <w:t>Prehľad príjmov Fondu v roku 2009 je uvedený v nasledujúcej tabuľke.</w:t>
      </w:r>
    </w:p>
    <w:p w:rsidR="004C20F3">
      <w:pPr>
        <w:tabs>
          <w:tab w:val="right" w:pos="9072"/>
        </w:tabs>
        <w:bidi w:val="0"/>
        <w:spacing w:before="360"/>
        <w:ind w:firstLine="0"/>
        <w:rPr>
          <w:rFonts w:ascii="Times New Roman" w:hAnsi="Times New Roman"/>
          <w:szCs w:val="22"/>
        </w:rPr>
      </w:pPr>
      <w:r>
        <w:rPr>
          <w:rFonts w:ascii="Times New Roman" w:hAnsi="Times New Roman"/>
          <w:b/>
          <w:bCs/>
          <w:szCs w:val="22"/>
        </w:rPr>
        <w:t>Príjmy Fondu v roku 2009</w:t>
      </w:r>
    </w:p>
    <w:p w:rsidR="004C20F3">
      <w:pPr>
        <w:bidi w:val="0"/>
        <w:ind w:firstLine="0"/>
        <w:rPr>
          <w:rFonts w:ascii="Times New Roman" w:hAnsi="Times New Roman"/>
          <w:sz w:val="22"/>
          <w:szCs w:val="22"/>
        </w:rPr>
      </w:pPr>
      <w:r>
        <w:rPr>
          <w:rFonts w:ascii="Times New Roman" w:hAnsi="Times New Roman" w:cs="Times New Roman"/>
          <w:sz w:val="22"/>
          <w:szCs w:val="22"/>
          <w:rtl w:val="0"/>
          <w:cs w:val="0"/>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16pt;height:227.75pt" o:oleicon="f" o:ole="" filled="f" stroked="f">
            <v:fill o:detectmouseclick="f"/>
            <v:imagedata r:id="rId4" o:title=""/>
          </v:shape>
          <o:OLEObject Type="Embed" ProgID="Excel.Sheet.8" ShapeID="_x0000_i1025" DrawAspect="Content" ObjectID="_1" r:id="rId5"/>
        </w:object>
      </w:r>
    </w:p>
    <w:p w:rsidR="004C20F3">
      <w:pPr>
        <w:pStyle w:val="Heading3"/>
        <w:bidi w:val="0"/>
        <w:rPr>
          <w:rFonts w:ascii="Times New Roman" w:hAnsi="Times New Roman"/>
        </w:rPr>
      </w:pPr>
      <w:r>
        <w:rPr>
          <w:rFonts w:ascii="Times New Roman" w:hAnsi="Times New Roman"/>
        </w:rPr>
        <w:t>II. Výdavky Fondu</w:t>
      </w:r>
    </w:p>
    <w:p w:rsidR="004C20F3">
      <w:pPr>
        <w:pStyle w:val="BodyTextIndent2"/>
        <w:bidi w:val="0"/>
        <w:ind w:firstLine="708"/>
        <w:rPr>
          <w:rFonts w:ascii="Times New Roman" w:hAnsi="Times New Roman"/>
        </w:rPr>
      </w:pPr>
      <w:r>
        <w:rPr>
          <w:rFonts w:ascii="Times New Roman" w:hAnsi="Times New Roman"/>
        </w:rPr>
        <w:t>Výdavky, ktoré Fond zrealizoval počas roku 2009 predstavujú čiastku 547 247 002 €. Podstatnú časť týchto výdavkov vo výške 531 879 000 €, ktoré zodpovedajú 97,19%-nému podielu z celkového objemu výdavkov Fondu v sledovanom období, tvorili úhrady podľa § 28 ods. 3 písm. b) zákona, čo znamená že išlo o použitie majetku Fondu v súlade s rozhodnutiami vlády Slovenskej republiky.</w:t>
      </w:r>
    </w:p>
    <w:p w:rsidR="004C20F3">
      <w:pPr>
        <w:pStyle w:val="BodyTextIndent2"/>
        <w:bidi w:val="0"/>
        <w:rPr>
          <w:rFonts w:ascii="Times New Roman" w:hAnsi="Times New Roman"/>
        </w:rPr>
      </w:pPr>
      <w:r>
        <w:rPr>
          <w:rFonts w:ascii="Times New Roman" w:hAnsi="Times New Roman"/>
        </w:rPr>
        <w:t>Ďalšími položkami (2,81%), k plneniu ktorých došlo v priebehu daného obdobia sú: náklady na činnosť Fondu, náklady na nákup majetku a majetkových účastí, na ktoré má Fond predkupné právo, náklady na uspokojovanie nárokov oprávnených osôb podľa osobitných predpisov, náklady spojené so splácaním dlhopisov Fondu a ich výnosov, náklady vzniknuté v dôsledku odstúpenia od zmluvy, ale aj náklady súvisiace so zákonným ručením Fondu podľa §</w:t>
      </w:r>
      <w:r>
        <w:rPr>
          <w:rFonts w:ascii="Times New Roman" w:hAnsi="Times New Roman"/>
          <w:color w:val="FFFFFF"/>
        </w:rPr>
        <w:t> </w:t>
      </w:r>
      <w:r>
        <w:rPr>
          <w:rFonts w:ascii="Times New Roman" w:hAnsi="Times New Roman"/>
        </w:rPr>
        <w:t>15 a § 30 uvedeného zákona.</w:t>
      </w:r>
    </w:p>
    <w:p w:rsidR="004C20F3">
      <w:pPr>
        <w:pStyle w:val="BodyTextIndent2"/>
        <w:bidi w:val="0"/>
        <w:rPr>
          <w:rFonts w:ascii="Times New Roman" w:hAnsi="Times New Roman"/>
        </w:rPr>
      </w:pPr>
      <w:r>
        <w:rPr>
          <w:rFonts w:ascii="Times New Roman" w:hAnsi="Times New Roman"/>
        </w:rPr>
        <w:t>Uvedené položky, konkrétne § 28 ods. 3 zákona, boli v roku 2009 doplnené o „nové“ písmeno n), týkajúce sa použitia majetku Fondu na úhradu nákladov spojených s cennými papiermi, ktoré boli prevedené na Fond fyzickými osobami a nákladov spojených s ich nadobudnutím a prevodom na iné osoby a na úhradu záväzkov zo zmlúv uzavretých podľa § 29 ods. 11 tohto zákona, ktoré priniesla novela zákona účinná od 1.1.2010.</w:t>
      </w:r>
    </w:p>
    <w:p w:rsidR="004C20F3">
      <w:pPr>
        <w:pStyle w:val="BodyTextIndent2"/>
        <w:bidi w:val="0"/>
        <w:rPr>
          <w:rFonts w:ascii="Times New Roman" w:hAnsi="Times New Roman"/>
        </w:rPr>
      </w:pPr>
      <w:r>
        <w:rPr>
          <w:rFonts w:ascii="Times New Roman" w:hAnsi="Times New Roman"/>
        </w:rPr>
        <w:t>Podrobnejšiu špecifikáciu jednotlivých výdavkových položiek v členení podľa zákona obsahuje nasledujúca tabuľka.</w:t>
      </w:r>
    </w:p>
    <w:p w:rsidR="004C20F3">
      <w:pPr>
        <w:tabs>
          <w:tab w:val="right" w:pos="9072"/>
        </w:tabs>
        <w:bidi w:val="0"/>
        <w:spacing w:before="360"/>
        <w:ind w:firstLine="0"/>
        <w:rPr>
          <w:rFonts w:ascii="Times New Roman" w:hAnsi="Times New Roman"/>
          <w:b/>
          <w:bCs/>
          <w:szCs w:val="22"/>
        </w:rPr>
      </w:pPr>
      <w:r>
        <w:rPr>
          <w:rFonts w:ascii="Times New Roman" w:hAnsi="Times New Roman"/>
          <w:b/>
          <w:bCs/>
          <w:szCs w:val="22"/>
        </w:rPr>
        <w:t>Výdavky Fondu v roku 2009</w:t>
      </w:r>
    </w:p>
    <w:p w:rsidR="004C20F3">
      <w:pPr>
        <w:bidi w:val="0"/>
        <w:ind w:firstLine="0"/>
        <w:rPr>
          <w:rFonts w:ascii="Times New Roman" w:hAnsi="Times New Roman"/>
        </w:rPr>
      </w:pPr>
      <w:r>
        <w:rPr>
          <w:rFonts w:ascii="Times New Roman" w:hAnsi="Times New Roman" w:cs="Times New Roman"/>
          <w:rtl w:val="0"/>
          <w:cs w:val="0"/>
        </w:rPr>
        <w:object>
          <v:shape id="_x0000_i1026" type="#_x0000_t75" style="width:458.28pt;height:278.09pt" o:oleicon="f" o:ole="" filled="f" stroked="f">
            <v:fill o:detectmouseclick="f"/>
            <v:imagedata r:id="rId6" o:title=""/>
          </v:shape>
          <o:OLEObject Type="Embed" ProgID="Excel.Sheet.8" ShapeID="_x0000_i1026" DrawAspect="Content" ObjectID="_2" r:id="rId7"/>
        </w:object>
      </w:r>
    </w:p>
    <w:p w:rsidR="004C20F3">
      <w:pPr>
        <w:bidi w:val="0"/>
        <w:ind w:firstLine="0"/>
        <w:rPr>
          <w:rFonts w:ascii="Times New Roman" w:hAnsi="Times New Roman"/>
        </w:rPr>
      </w:pPr>
      <w:r>
        <w:rPr>
          <w:rFonts w:ascii="Times New Roman" w:hAnsi="Times New Roman"/>
        </w:rPr>
        <w:t>Prehľad najvýznamnejších výdavkov Fondu podľa § 28 ods. 3 zákona:</w:t>
      </w:r>
    </w:p>
    <w:p w:rsidR="004C20F3">
      <w:pPr>
        <w:pStyle w:val="Styl2"/>
        <w:numPr>
          <w:numId w:val="16"/>
        </w:numPr>
        <w:bidi w:val="0"/>
        <w:rPr>
          <w:rFonts w:ascii="Times New Roman" w:hAnsi="Times New Roman"/>
          <w:bCs w:val="0"/>
          <w:sz w:val="24"/>
        </w:rPr>
      </w:pPr>
      <w:r>
        <w:rPr>
          <w:rFonts w:ascii="Times New Roman" w:hAnsi="Times New Roman"/>
          <w:b/>
          <w:sz w:val="24"/>
        </w:rPr>
        <w:t xml:space="preserve">§ 28 ods. 3 písm. b) </w:t>
      </w:r>
      <w:r>
        <w:rPr>
          <w:rFonts w:ascii="Times New Roman" w:hAnsi="Times New Roman"/>
          <w:bCs w:val="0"/>
          <w:sz w:val="24"/>
        </w:rPr>
        <w:t>– použitie majetku Fondu v súlade s uzneseniami vlády Slovenskej republiky:</w:t>
      </w:r>
    </w:p>
    <w:p w:rsidR="004C20F3" w:rsidP="004C20F3">
      <w:pPr>
        <w:pStyle w:val="ostavec2"/>
        <w:numPr>
          <w:ilvl w:val="1"/>
          <w:numId w:val="16"/>
        </w:numPr>
        <w:tabs>
          <w:tab w:val="num" w:pos="540"/>
          <w:tab w:val="num" w:pos="900"/>
          <w:tab w:val="clear" w:pos="927"/>
          <w:tab w:val="clear" w:pos="1440"/>
          <w:tab w:val="num" w:pos="2007"/>
        </w:tabs>
        <w:bidi w:val="0"/>
        <w:ind w:left="900"/>
        <w:rPr>
          <w:rFonts w:ascii="Times New Roman" w:hAnsi="Times New Roman"/>
        </w:rPr>
      </w:pPr>
      <w:r>
        <w:rPr>
          <w:rFonts w:ascii="Times New Roman" w:hAnsi="Times New Roman"/>
          <w:u w:val="single"/>
        </w:rPr>
        <w:t>uznesením č. 717 zo dňa 15.10.2008</w:t>
      </w:r>
      <w:r>
        <w:rPr>
          <w:rFonts w:ascii="Times New Roman" w:hAnsi="Times New Roman"/>
        </w:rPr>
        <w:t xml:space="preserve"> vláda Slovenskej republiky odsúhlasila použitie majetku Fondu v roku 2009 v súlade s § 28 ods. 3 písm. b) bod 9 zákona vo výške 443 471 000 € na posilnenie štátnych finančných aktív s tým, že v zmysle bodu F.1 predmetného uznesenia, vláda odporučila prezidentovi Prezídia Fondu zabezpečiť uvedené prostriedky z dividend, ktoré v spoločnostiach s majetkovou účasťou Fondu vznikli z výkonu ich činnosti. V súlade s týmto uznesením uzatvoril Fond a MF SR Zmluvu o poskytnutí finančných prostriedkov č. 01/2009, na základe ktorej bola dňa 29.07.2009 na účet štátnych finančných aktív uhradená prvá časť peňažných prostriedkov vo výške 301 130 000 €.</w:t>
      </w:r>
    </w:p>
    <w:p w:rsidR="004C20F3" w:rsidP="004C20F3">
      <w:pPr>
        <w:pStyle w:val="ostavec2"/>
        <w:numPr>
          <w:ilvl w:val="1"/>
          <w:numId w:val="16"/>
        </w:numPr>
        <w:tabs>
          <w:tab w:val="num" w:pos="540"/>
          <w:tab w:val="num" w:pos="900"/>
          <w:tab w:val="clear" w:pos="927"/>
          <w:tab w:val="clear" w:pos="1440"/>
          <w:tab w:val="num" w:pos="2007"/>
        </w:tabs>
        <w:bidi w:val="0"/>
        <w:ind w:left="900"/>
        <w:rPr>
          <w:rFonts w:ascii="Times New Roman" w:hAnsi="Times New Roman"/>
        </w:rPr>
      </w:pPr>
      <w:r>
        <w:rPr>
          <w:rFonts w:ascii="Times New Roman" w:hAnsi="Times New Roman"/>
          <w:u w:val="single"/>
        </w:rPr>
        <w:t>uznesením č. 606 zo dňa 2.9.2009</w:t>
      </w:r>
      <w:r>
        <w:rPr>
          <w:rFonts w:ascii="Times New Roman" w:hAnsi="Times New Roman"/>
        </w:rPr>
        <w:t xml:space="preserve"> vláda Slovenskej republiky zmenila uvedené uznesenie č. 717 zo dňa 15.10.2008 a odsúhlasila nové použitie majetku Fondu v roku 2009 v súlade s § 28 ods. 3 písm. b) bod 9 zákona v celkovej výške 531 879 000 € na posilnenie štátnych finančných aktív. Rovnako ako v predchádzajúcom uznesení, vláda odporučila prezidentovi Prezídia Fondu zabezpečiť tieto peňažné prostriedky z príjmov z dividend vyplatených na účet Fondu v priebehu roku 2009. V súlade s aktuálnym uznesením vlády Slovenskej republiky uzavrel Fond s MF SR Zmluvu o poskytnutí finančných prostriedkov č. 02/2009, na základe ktorej uhradil dňa 24.11.2009 zostatok peňažných prostriedkov, tzn. 230 749 000 € na účet štátnych finančných aktív.</w:t>
      </w:r>
    </w:p>
    <w:p w:rsidR="004C20F3">
      <w:pPr>
        <w:pStyle w:val="Styl2"/>
        <w:numPr>
          <w:numId w:val="16"/>
        </w:numPr>
        <w:bidi w:val="0"/>
        <w:rPr>
          <w:rFonts w:ascii="Times New Roman" w:hAnsi="Times New Roman"/>
          <w:bCs w:val="0"/>
          <w:sz w:val="24"/>
        </w:rPr>
      </w:pPr>
      <w:r>
        <w:rPr>
          <w:rFonts w:ascii="Times New Roman" w:hAnsi="Times New Roman"/>
          <w:b/>
          <w:sz w:val="24"/>
        </w:rPr>
        <w:t>§ 28 ods. 3 písm. d)</w:t>
      </w:r>
      <w:r>
        <w:rPr>
          <w:rFonts w:ascii="Times New Roman" w:hAnsi="Times New Roman"/>
          <w:bCs w:val="0"/>
          <w:sz w:val="24"/>
        </w:rPr>
        <w:t xml:space="preserve"> - náklady spojené s činnosťou Fondu.</w:t>
      </w:r>
    </w:p>
    <w:p w:rsidR="004C20F3">
      <w:pPr>
        <w:pStyle w:val="Styl2"/>
        <w:numPr>
          <w:numId w:val="16"/>
        </w:numPr>
        <w:bidi w:val="0"/>
        <w:rPr>
          <w:rFonts w:ascii="Times New Roman" w:hAnsi="Times New Roman"/>
          <w:bCs w:val="0"/>
          <w:sz w:val="24"/>
        </w:rPr>
      </w:pPr>
      <w:r>
        <w:rPr>
          <w:rFonts w:ascii="Times New Roman" w:hAnsi="Times New Roman"/>
          <w:b/>
          <w:sz w:val="24"/>
        </w:rPr>
        <w:t>§ 28 ods. 3 písm. f)</w:t>
      </w:r>
      <w:r>
        <w:rPr>
          <w:rFonts w:ascii="Times New Roman" w:hAnsi="Times New Roman"/>
          <w:bCs w:val="0"/>
          <w:sz w:val="24"/>
        </w:rPr>
        <w:t xml:space="preserve"> - náklady Fondu spojené s podporou privatizácie, schválené v zmysle Štatútu Fondu uznesením Prezídia Fondu.</w:t>
      </w:r>
    </w:p>
    <w:p w:rsidR="004C20F3">
      <w:pPr>
        <w:pStyle w:val="Styl2"/>
        <w:numPr>
          <w:numId w:val="16"/>
        </w:numPr>
        <w:bidi w:val="0"/>
        <w:rPr>
          <w:rFonts w:ascii="Times New Roman" w:hAnsi="Times New Roman"/>
          <w:bCs w:val="0"/>
          <w:sz w:val="24"/>
        </w:rPr>
      </w:pPr>
      <w:r>
        <w:rPr>
          <w:rFonts w:ascii="Times New Roman" w:hAnsi="Times New Roman"/>
          <w:b/>
          <w:sz w:val="24"/>
        </w:rPr>
        <w:t>§ 28 ods. 3 písm. g)</w:t>
      </w:r>
      <w:r>
        <w:rPr>
          <w:rFonts w:ascii="Times New Roman" w:hAnsi="Times New Roman"/>
          <w:bCs w:val="0"/>
          <w:sz w:val="24"/>
        </w:rPr>
        <w:t xml:space="preserve"> - náklady na nákup majetku a majetkových účastí, na ktoré má Fond predkupné právo. V prvom polroku 2009 zrealizoval Fond odkúpenie akcií BCPB, a.s., ktoré predstavujú 1,74% podiel na základnom imaní tejto spoločnosti.</w:t>
      </w:r>
    </w:p>
    <w:p w:rsidR="004C20F3">
      <w:pPr>
        <w:pStyle w:val="Styl2"/>
        <w:numPr>
          <w:numId w:val="16"/>
        </w:numPr>
        <w:bidi w:val="0"/>
        <w:rPr>
          <w:rFonts w:ascii="Times New Roman" w:hAnsi="Times New Roman"/>
          <w:bCs w:val="0"/>
          <w:sz w:val="24"/>
        </w:rPr>
      </w:pPr>
      <w:r>
        <w:rPr>
          <w:rFonts w:ascii="Times New Roman" w:hAnsi="Times New Roman"/>
          <w:b/>
          <w:sz w:val="24"/>
        </w:rPr>
        <w:t>§ 28 ods. 3 písm. h)</w:t>
      </w:r>
      <w:r>
        <w:rPr>
          <w:rFonts w:ascii="Times New Roman" w:hAnsi="Times New Roman"/>
          <w:bCs w:val="0"/>
          <w:sz w:val="24"/>
        </w:rPr>
        <w:t xml:space="preserve"> - náklady na uspokojovanie nárokov oprávnených osôb podľa osobitných predpisov. Okrem reštitučných nárokov položka zahŕňa výdavky súvisiace s mimosúdnym vysporiadaním súdnych sporov týkajúcich sa nárokov súvisiacich s oneskorením výplaty dlhopisov Fondu v súlade s Dohodou o urovnaní, uzatvorenou dňa 23.10.2009 medzi Fondom a spoločnosťou JOJAN CONSULTANTS LIMITED a COMINVEST ASSOCIATED LIMITED.</w:t>
      </w:r>
    </w:p>
    <w:p w:rsidR="004C20F3">
      <w:pPr>
        <w:pStyle w:val="Styl2"/>
        <w:numPr>
          <w:numId w:val="16"/>
        </w:numPr>
        <w:bidi w:val="0"/>
        <w:rPr>
          <w:rFonts w:ascii="Times New Roman" w:hAnsi="Times New Roman"/>
          <w:bCs w:val="0"/>
          <w:sz w:val="24"/>
        </w:rPr>
      </w:pPr>
      <w:r>
        <w:rPr>
          <w:rFonts w:ascii="Times New Roman" w:hAnsi="Times New Roman"/>
          <w:b/>
          <w:sz w:val="24"/>
        </w:rPr>
        <w:t>§ 28 ods. 3 písm. k)</w:t>
      </w:r>
      <w:r>
        <w:rPr>
          <w:rFonts w:ascii="Times New Roman" w:hAnsi="Times New Roman"/>
          <w:bCs w:val="0"/>
          <w:sz w:val="24"/>
        </w:rPr>
        <w:t xml:space="preserve"> - náklady spojené so splatením dlhopisov Fondu a ich výnosov.</w:t>
      </w:r>
    </w:p>
    <w:p w:rsidR="004C20F3">
      <w:pPr>
        <w:pStyle w:val="Styl2"/>
        <w:numPr>
          <w:numId w:val="16"/>
        </w:numPr>
        <w:bidi w:val="0"/>
        <w:rPr>
          <w:rFonts w:ascii="Times New Roman" w:hAnsi="Times New Roman"/>
          <w:bCs w:val="0"/>
          <w:sz w:val="24"/>
        </w:rPr>
      </w:pPr>
      <w:r>
        <w:rPr>
          <w:rFonts w:ascii="Times New Roman" w:hAnsi="Times New Roman"/>
          <w:b/>
          <w:sz w:val="24"/>
        </w:rPr>
        <w:t>§ 28 ods. 3 písm. l)</w:t>
      </w:r>
      <w:r>
        <w:rPr>
          <w:rFonts w:ascii="Times New Roman" w:hAnsi="Times New Roman"/>
          <w:bCs w:val="0"/>
          <w:sz w:val="24"/>
        </w:rPr>
        <w:t xml:space="preserve"> - úhrada nákladov vzniknutých v dôsledku odstúpenia od zmluvy, alebo na uzatváranie zmlúv o nájme takto získaného majetku.</w:t>
      </w:r>
    </w:p>
    <w:p w:rsidR="004C20F3">
      <w:pPr>
        <w:pStyle w:val="Styl2"/>
        <w:numPr>
          <w:numId w:val="16"/>
        </w:numPr>
        <w:bidi w:val="0"/>
        <w:rPr>
          <w:rFonts w:ascii="Times New Roman" w:hAnsi="Times New Roman"/>
          <w:bCs w:val="0"/>
          <w:sz w:val="24"/>
        </w:rPr>
      </w:pPr>
      <w:r>
        <w:rPr>
          <w:rFonts w:ascii="Times New Roman" w:hAnsi="Times New Roman"/>
          <w:b/>
          <w:sz w:val="24"/>
        </w:rPr>
        <w:t>§ 28 ods. 3 písm. n)</w:t>
      </w:r>
      <w:r>
        <w:rPr>
          <w:rFonts w:ascii="Times New Roman" w:hAnsi="Times New Roman"/>
          <w:bCs w:val="0"/>
          <w:sz w:val="24"/>
        </w:rPr>
        <w:t xml:space="preserve"> - náklady na ďalšie účely, ak tak ustanoví osobitný predpis (pôvodné znenie). Novelou zákona z apríla 2009, bol § 28 ods. 3 doplnený o „nové“ písmeno n), ktoré sa týka použitia majetku Fondu na úhradu nákladov spojených s cennými papiermi, ktoré boli prevedené na Fond fyzickými osobami a nákladov spojených s ich nadobudnutím a prevodom na iné osoby a na úhradu záväzkov zo zmlúv uzavretých podľa § 29 ods. 11 zákona.</w:t>
      </w:r>
    </w:p>
    <w:p w:rsidR="004C20F3">
      <w:pPr>
        <w:pStyle w:val="Styl2"/>
        <w:numPr>
          <w:numId w:val="16"/>
        </w:numPr>
        <w:bidi w:val="0"/>
        <w:rPr>
          <w:rFonts w:ascii="Times New Roman" w:hAnsi="Times New Roman"/>
          <w:bCs w:val="0"/>
          <w:sz w:val="24"/>
        </w:rPr>
      </w:pPr>
      <w:r>
        <w:rPr>
          <w:rFonts w:ascii="Times New Roman" w:hAnsi="Times New Roman"/>
          <w:b/>
          <w:sz w:val="24"/>
        </w:rPr>
        <w:t>§ 15 a § 30 zákona</w:t>
      </w:r>
      <w:r>
        <w:rPr>
          <w:rFonts w:ascii="Times New Roman" w:hAnsi="Times New Roman"/>
          <w:bCs w:val="0"/>
          <w:sz w:val="24"/>
        </w:rPr>
        <w:t xml:space="preserve"> - podľa § 15 zákona ručí Fond svojím majetkom za splnenie záväzkov nadobúdateľom privatizačného majetku. Podobne je tomu tak aj podľa § 30 zákona, v zmysle ktorého Fond, ktorému pri uskutočňovaní činností uvedených v § 28 vznikajú rôzne práva a záväzky, môže byť žalovaný za nesplnenie svojich záväzkov alebo iných povinností, za ktorých porušenie zodpovedá celým svojím majetkom. </w:t>
      </w:r>
      <w:r>
        <w:rPr>
          <w:rFonts w:ascii="Times New Roman" w:hAnsi="Times New Roman"/>
          <w:sz w:val="24"/>
        </w:rPr>
        <w:t>Plnenie týchto záväzkov nezávisí od rozhodnutí Fondu, ale v prevažnej miere od rozhodnutí súdu.</w:t>
      </w:r>
    </w:p>
    <w:p w:rsidR="004C20F3">
      <w:pPr>
        <w:pStyle w:val="Styl2"/>
        <w:numPr>
          <w:numId w:val="16"/>
        </w:numPr>
        <w:bidi w:val="0"/>
        <w:rPr>
          <w:rFonts w:ascii="Times New Roman" w:hAnsi="Times New Roman"/>
          <w:bCs w:val="0"/>
          <w:sz w:val="24"/>
        </w:rPr>
      </w:pPr>
      <w:r>
        <w:rPr>
          <w:rFonts w:ascii="Times New Roman" w:hAnsi="Times New Roman"/>
          <w:b/>
          <w:sz w:val="24"/>
        </w:rPr>
        <w:t xml:space="preserve">Ostatné </w:t>
      </w:r>
      <w:r>
        <w:rPr>
          <w:rFonts w:ascii="Times New Roman" w:hAnsi="Times New Roman"/>
          <w:bCs w:val="0"/>
          <w:sz w:val="24"/>
        </w:rPr>
        <w:t>– kolkové známky, poštové služby, vrátenie príjmov z minulých rokov a iné.</w:t>
      </w:r>
    </w:p>
    <w:p w:rsidR="004C20F3">
      <w:pPr>
        <w:pStyle w:val="Heading3"/>
        <w:bidi w:val="0"/>
        <w:rPr>
          <w:rFonts w:ascii="Times New Roman" w:hAnsi="Times New Roman"/>
        </w:rPr>
      </w:pPr>
      <w:r>
        <w:rPr>
          <w:rFonts w:ascii="Times New Roman" w:hAnsi="Times New Roman"/>
        </w:rPr>
        <w:br w:type="page"/>
        <w:t xml:space="preserve">III. Bilancia príjmov a výdavkov Fondu k 31.12.2009 </w:t>
      </w:r>
    </w:p>
    <w:p w:rsidR="004C20F3">
      <w:pPr>
        <w:pStyle w:val="Heading3"/>
        <w:bidi w:val="0"/>
        <w:spacing w:before="0"/>
        <w:rPr>
          <w:rFonts w:ascii="Times New Roman" w:hAnsi="Times New Roman"/>
          <w:b w:val="0"/>
          <w:bCs w:val="0"/>
          <w:i w:val="0"/>
          <w:iCs w:val="0"/>
          <w:sz w:val="24"/>
        </w:rPr>
      </w:pPr>
      <w:r>
        <w:rPr>
          <w:rFonts w:ascii="Times New Roman" w:hAnsi="Times New Roman"/>
          <w:b w:val="0"/>
          <w:bCs w:val="0"/>
          <w:i w:val="0"/>
          <w:iCs w:val="0"/>
          <w:sz w:val="24"/>
        </w:rPr>
        <w:t>(počítaná na báze cash flow)</w:t>
      </w:r>
    </w:p>
    <w:p w:rsidR="004C20F3">
      <w:pPr>
        <w:bidi w:val="0"/>
        <w:ind w:firstLine="708"/>
        <w:rPr>
          <w:rFonts w:ascii="Times New Roman" w:hAnsi="Times New Roman"/>
        </w:rPr>
      </w:pPr>
      <w:r>
        <w:rPr>
          <w:rFonts w:ascii="Times New Roman" w:hAnsi="Times New Roman"/>
        </w:rPr>
        <w:t>Použiteľné peňažné prostriedky, ktoré Fond k 1.1.2009 evidoval na svojich účtoch predstavovali čiastku 285 774 780,18 €.</w:t>
      </w:r>
    </w:p>
    <w:p w:rsidR="004C20F3">
      <w:pPr>
        <w:bidi w:val="0"/>
        <w:ind w:firstLine="708"/>
        <w:rPr>
          <w:rFonts w:ascii="Times New Roman" w:hAnsi="Times New Roman"/>
        </w:rPr>
      </w:pPr>
      <w:r>
        <w:rPr>
          <w:rFonts w:ascii="Times New Roman" w:hAnsi="Times New Roman"/>
        </w:rPr>
        <w:t>Príjmy Fondu počas roku 2009 dosiahli čiastku 603 966 844,31 €. Z uvedeného vyplýva, že v priebehu sledovaného obdobia mal Fond na uhrádzanie svojich záväzkov peňažné zdroje v celkovom objeme 889 741 624,49 €.</w:t>
      </w:r>
    </w:p>
    <w:p w:rsidR="004C20F3">
      <w:pPr>
        <w:bidi w:val="0"/>
        <w:ind w:firstLine="708"/>
        <w:rPr>
          <w:rFonts w:ascii="Times New Roman" w:hAnsi="Times New Roman"/>
        </w:rPr>
      </w:pPr>
      <w:r>
        <w:rPr>
          <w:rFonts w:ascii="Times New Roman" w:hAnsi="Times New Roman"/>
        </w:rPr>
        <w:t>Zároveň v roku 2009 Fond priebežne uhrádzal všetky svoje záväzky v termínoch splatnosti, pričom celková výška výdavkov Fondu v tomto období dosiahla objem 547 247 002 €. K 31.12.2009 Fond neevidoval neuhradené splatné záväzky.</w:t>
      </w:r>
    </w:p>
    <w:p w:rsidR="004C20F3">
      <w:pPr>
        <w:tabs>
          <w:tab w:val="right" w:pos="9000"/>
        </w:tabs>
        <w:bidi w:val="0"/>
        <w:spacing w:before="480"/>
        <w:ind w:left="284" w:hanging="284"/>
        <w:rPr>
          <w:rFonts w:ascii="Times New Roman" w:hAnsi="Times New Roman"/>
          <w:sz w:val="22"/>
          <w:szCs w:val="22"/>
        </w:rPr>
      </w:pPr>
      <w:r>
        <w:rPr>
          <w:rFonts w:ascii="Times New Roman" w:hAnsi="Times New Roman"/>
          <w:b/>
          <w:bCs/>
          <w:szCs w:val="22"/>
        </w:rPr>
        <w:t>Peňažné prostriedky k 31.12.2009</w:t>
      </w:r>
      <w:r>
        <w:rPr>
          <w:rFonts w:ascii="Times New Roman" w:hAnsi="Times New Roman"/>
          <w:b/>
          <w:bCs/>
          <w:sz w:val="22"/>
          <w:szCs w:val="22"/>
        </w:rPr>
        <w:tab/>
      </w:r>
      <w:r>
        <w:rPr>
          <w:rFonts w:ascii="Times New Roman" w:hAnsi="Times New Roman"/>
          <w:sz w:val="22"/>
          <w:szCs w:val="22"/>
        </w:rPr>
        <w:t>(v €)</w:t>
      </w:r>
    </w:p>
    <w:tbl>
      <w:tblPr>
        <w:tblStyle w:val="TableNormal"/>
        <w:tblW w:w="9000" w:type="dxa"/>
        <w:tblInd w:w="70" w:type="dxa"/>
        <w:tblBorders>
          <w:top w:val="single" w:sz="6" w:space="0" w:color="000000"/>
          <w:bottom w:val="single" w:sz="6" w:space="0" w:color="000000"/>
          <w:insideH w:val="double" w:sz="6" w:space="0" w:color="000000"/>
        </w:tblBorders>
        <w:tblCellMar>
          <w:top w:w="0" w:type="dxa"/>
          <w:left w:w="70" w:type="dxa"/>
          <w:bottom w:w="0" w:type="dxa"/>
          <w:right w:w="70" w:type="dxa"/>
        </w:tblCellMar>
      </w:tblPr>
      <w:tblGrid>
        <w:gridCol w:w="2340"/>
        <w:gridCol w:w="2160"/>
        <w:gridCol w:w="2340"/>
        <w:gridCol w:w="2160"/>
      </w:tblGrid>
      <w:tr>
        <w:tblPrEx>
          <w:tblW w:w="9000" w:type="dxa"/>
          <w:tblInd w:w="70" w:type="dxa"/>
          <w:tblBorders>
            <w:top w:val="single" w:sz="6" w:space="0" w:color="000000"/>
            <w:bottom w:val="single" w:sz="6" w:space="0" w:color="000000"/>
            <w:insideH w:val="double" w:sz="6" w:space="0" w:color="000000"/>
          </w:tblBorders>
          <w:tblCellMar>
            <w:top w:w="0" w:type="dxa"/>
            <w:left w:w="70" w:type="dxa"/>
            <w:bottom w:w="0" w:type="dxa"/>
            <w:right w:w="70" w:type="dxa"/>
          </w:tblCellMar>
        </w:tblPrEx>
        <w:trPr>
          <w:cantSplit/>
          <w:trHeight w:val="567"/>
        </w:trPr>
        <w:tc>
          <w:tcPr>
            <w:tcW w:w="2340" w:type="dxa"/>
            <w:tcBorders>
              <w:top w:val="single" w:sz="6" w:space="0" w:color="000000"/>
              <w:left w:val="none" w:sz="0" w:space="0" w:color="auto"/>
              <w:bottom w:val="double" w:sz="6" w:space="0" w:color="000000"/>
              <w:right w:val="none" w:sz="0" w:space="0" w:color="auto"/>
            </w:tcBorders>
            <w:shd w:val="clear" w:color="auto" w:fill="CCCCFF"/>
            <w:textDirection w:val="lrTb"/>
            <w:vAlign w:val="center"/>
          </w:tcPr>
          <w:p w:rsidR="004C20F3">
            <w:pPr>
              <w:bidi w:val="0"/>
              <w:jc w:val="center"/>
              <w:rPr>
                <w:rFonts w:ascii="Arial Narrow" w:hAnsi="Arial Narrow"/>
                <w:b/>
                <w:bCs/>
                <w:sz w:val="20"/>
                <w:szCs w:val="22"/>
              </w:rPr>
            </w:pPr>
            <w:r>
              <w:rPr>
                <w:rFonts w:ascii="Arial Narrow" w:hAnsi="Arial Narrow"/>
                <w:b/>
                <w:bCs/>
                <w:sz w:val="20"/>
                <w:szCs w:val="22"/>
              </w:rPr>
              <w:t>Počiatočný stav</w:t>
            </w:r>
          </w:p>
        </w:tc>
        <w:tc>
          <w:tcPr>
            <w:tcW w:w="2160" w:type="dxa"/>
            <w:tcBorders>
              <w:top w:val="single" w:sz="6" w:space="0" w:color="000000"/>
              <w:left w:val="none" w:sz="0" w:space="0" w:color="auto"/>
              <w:bottom w:val="double" w:sz="6" w:space="0" w:color="000000"/>
              <w:right w:val="none" w:sz="0" w:space="0" w:color="auto"/>
            </w:tcBorders>
            <w:shd w:val="clear" w:color="auto" w:fill="CCCCFF"/>
            <w:textDirection w:val="lrTb"/>
            <w:vAlign w:val="center"/>
          </w:tcPr>
          <w:p w:rsidR="004C20F3">
            <w:pPr>
              <w:bidi w:val="0"/>
              <w:jc w:val="center"/>
              <w:rPr>
                <w:rFonts w:ascii="Arial Narrow" w:hAnsi="Arial Narrow"/>
                <w:b/>
                <w:bCs/>
                <w:sz w:val="20"/>
                <w:szCs w:val="22"/>
              </w:rPr>
            </w:pPr>
            <w:r>
              <w:rPr>
                <w:rFonts w:ascii="Arial Narrow" w:hAnsi="Arial Narrow"/>
                <w:b/>
                <w:bCs/>
                <w:sz w:val="20"/>
                <w:szCs w:val="22"/>
              </w:rPr>
              <w:t>Príjmy</w:t>
            </w:r>
          </w:p>
        </w:tc>
        <w:tc>
          <w:tcPr>
            <w:tcW w:w="2340" w:type="dxa"/>
            <w:tcBorders>
              <w:top w:val="single" w:sz="6" w:space="0" w:color="000000"/>
              <w:left w:val="none" w:sz="0" w:space="0" w:color="auto"/>
              <w:bottom w:val="double" w:sz="6" w:space="0" w:color="000000"/>
              <w:right w:val="none" w:sz="0" w:space="0" w:color="auto"/>
            </w:tcBorders>
            <w:shd w:val="clear" w:color="auto" w:fill="CCCCFF"/>
            <w:textDirection w:val="lrTb"/>
            <w:vAlign w:val="center"/>
          </w:tcPr>
          <w:p w:rsidR="004C20F3">
            <w:pPr>
              <w:bidi w:val="0"/>
              <w:jc w:val="center"/>
              <w:rPr>
                <w:rFonts w:ascii="Arial Narrow" w:hAnsi="Arial Narrow"/>
                <w:b/>
                <w:bCs/>
                <w:sz w:val="20"/>
                <w:szCs w:val="22"/>
              </w:rPr>
            </w:pPr>
            <w:r>
              <w:rPr>
                <w:rFonts w:ascii="Arial Narrow" w:hAnsi="Arial Narrow"/>
                <w:b/>
                <w:bCs/>
                <w:sz w:val="20"/>
                <w:szCs w:val="22"/>
              </w:rPr>
              <w:t>Výdavky</w:t>
            </w:r>
          </w:p>
        </w:tc>
        <w:tc>
          <w:tcPr>
            <w:tcW w:w="2160" w:type="dxa"/>
            <w:tcBorders>
              <w:top w:val="single" w:sz="6" w:space="0" w:color="000000"/>
              <w:left w:val="none" w:sz="0" w:space="0" w:color="auto"/>
              <w:bottom w:val="double" w:sz="6" w:space="0" w:color="000000"/>
              <w:right w:val="none" w:sz="0" w:space="0" w:color="auto"/>
            </w:tcBorders>
            <w:shd w:val="clear" w:color="auto" w:fill="CCCCFF"/>
            <w:textDirection w:val="lrTb"/>
            <w:vAlign w:val="center"/>
          </w:tcPr>
          <w:p w:rsidR="004C20F3">
            <w:pPr>
              <w:bidi w:val="0"/>
              <w:jc w:val="center"/>
              <w:rPr>
                <w:rFonts w:ascii="Arial Narrow" w:hAnsi="Arial Narrow"/>
                <w:b/>
                <w:bCs/>
                <w:sz w:val="20"/>
                <w:szCs w:val="22"/>
              </w:rPr>
            </w:pPr>
            <w:r>
              <w:rPr>
                <w:rFonts w:ascii="Arial Narrow" w:hAnsi="Arial Narrow"/>
                <w:b/>
                <w:bCs/>
                <w:sz w:val="20"/>
                <w:szCs w:val="22"/>
              </w:rPr>
              <w:t>Konečný stav</w:t>
            </w:r>
          </w:p>
        </w:tc>
      </w:tr>
      <w:tr>
        <w:tblPrEx>
          <w:tblW w:w="9000" w:type="dxa"/>
          <w:tblInd w:w="70" w:type="dxa"/>
          <w:tblCellMar>
            <w:top w:w="0" w:type="dxa"/>
            <w:left w:w="70" w:type="dxa"/>
            <w:bottom w:w="0" w:type="dxa"/>
            <w:right w:w="70" w:type="dxa"/>
          </w:tblCellMar>
        </w:tblPrEx>
        <w:trPr>
          <w:cantSplit/>
          <w:trHeight w:val="567"/>
        </w:trPr>
        <w:tc>
          <w:tcPr>
            <w:tcW w:w="2340" w:type="dxa"/>
            <w:tcBorders>
              <w:top w:val="double" w:sz="6" w:space="0" w:color="000000"/>
              <w:left w:val="none" w:sz="0" w:space="0" w:color="auto"/>
              <w:bottom w:val="single" w:sz="6" w:space="0" w:color="000000"/>
              <w:right w:val="none" w:sz="0" w:space="0" w:color="auto"/>
            </w:tcBorders>
            <w:textDirection w:val="lrTb"/>
            <w:vAlign w:val="center"/>
          </w:tcPr>
          <w:p w:rsidR="004C20F3">
            <w:pPr>
              <w:bidi w:val="0"/>
              <w:jc w:val="center"/>
              <w:rPr>
                <w:rFonts w:ascii="Arial Narrow" w:hAnsi="Arial Narrow"/>
                <w:sz w:val="20"/>
                <w:szCs w:val="22"/>
              </w:rPr>
            </w:pPr>
            <w:r>
              <w:rPr>
                <w:rFonts w:ascii="Arial Narrow" w:hAnsi="Arial Narrow"/>
                <w:sz w:val="20"/>
              </w:rPr>
              <w:t>285 774 780,18</w:t>
            </w:r>
          </w:p>
        </w:tc>
        <w:tc>
          <w:tcPr>
            <w:tcW w:w="2160" w:type="dxa"/>
            <w:tcBorders>
              <w:top w:val="double" w:sz="6" w:space="0" w:color="000000"/>
              <w:left w:val="none" w:sz="0" w:space="0" w:color="auto"/>
              <w:bottom w:val="single" w:sz="6" w:space="0" w:color="000000"/>
              <w:right w:val="none" w:sz="0" w:space="0" w:color="auto"/>
            </w:tcBorders>
            <w:textDirection w:val="lrTb"/>
            <w:vAlign w:val="center"/>
          </w:tcPr>
          <w:p w:rsidR="004C20F3">
            <w:pPr>
              <w:bidi w:val="0"/>
              <w:jc w:val="center"/>
              <w:rPr>
                <w:rFonts w:ascii="Arial Narrow" w:hAnsi="Arial Narrow"/>
                <w:sz w:val="20"/>
                <w:szCs w:val="22"/>
              </w:rPr>
            </w:pPr>
            <w:r>
              <w:rPr>
                <w:rFonts w:ascii="Arial Narrow" w:hAnsi="Arial Narrow"/>
                <w:sz w:val="20"/>
              </w:rPr>
              <w:t>603 966 844,31</w:t>
            </w:r>
          </w:p>
        </w:tc>
        <w:tc>
          <w:tcPr>
            <w:tcW w:w="2340" w:type="dxa"/>
            <w:tcBorders>
              <w:top w:val="double" w:sz="6" w:space="0" w:color="000000"/>
              <w:left w:val="none" w:sz="0" w:space="0" w:color="auto"/>
              <w:bottom w:val="single" w:sz="6" w:space="0" w:color="000000"/>
              <w:right w:val="none" w:sz="0" w:space="0" w:color="auto"/>
            </w:tcBorders>
            <w:textDirection w:val="lrTb"/>
            <w:vAlign w:val="center"/>
          </w:tcPr>
          <w:p w:rsidR="004C20F3">
            <w:pPr>
              <w:bidi w:val="0"/>
              <w:jc w:val="center"/>
              <w:rPr>
                <w:rFonts w:ascii="Arial Narrow" w:hAnsi="Arial Narrow"/>
                <w:sz w:val="20"/>
                <w:szCs w:val="22"/>
              </w:rPr>
            </w:pPr>
            <w:r>
              <w:rPr>
                <w:rFonts w:ascii="Arial Narrow" w:hAnsi="Arial Narrow"/>
                <w:sz w:val="20"/>
              </w:rPr>
              <w:t>547 247 001,69</w:t>
            </w:r>
          </w:p>
        </w:tc>
        <w:tc>
          <w:tcPr>
            <w:tcW w:w="2160" w:type="dxa"/>
            <w:tcBorders>
              <w:top w:val="double" w:sz="6" w:space="0" w:color="000000"/>
              <w:left w:val="none" w:sz="0" w:space="0" w:color="auto"/>
              <w:bottom w:val="single" w:sz="6" w:space="0" w:color="000000"/>
              <w:right w:val="none" w:sz="0" w:space="0" w:color="auto"/>
            </w:tcBorders>
            <w:textDirection w:val="lrTb"/>
            <w:vAlign w:val="center"/>
          </w:tcPr>
          <w:p w:rsidR="004C20F3">
            <w:pPr>
              <w:bidi w:val="0"/>
              <w:jc w:val="center"/>
              <w:rPr>
                <w:rFonts w:ascii="Arial Narrow" w:hAnsi="Arial Narrow"/>
                <w:sz w:val="20"/>
                <w:szCs w:val="22"/>
              </w:rPr>
            </w:pPr>
            <w:r>
              <w:rPr>
                <w:rFonts w:ascii="Arial Narrow" w:hAnsi="Arial Narrow"/>
                <w:sz w:val="20"/>
              </w:rPr>
              <w:t>342 949 622,80</w:t>
            </w:r>
          </w:p>
        </w:tc>
      </w:tr>
    </w:tbl>
    <w:p w:rsidR="004C20F3">
      <w:pPr>
        <w:bidi w:val="0"/>
        <w:ind w:firstLine="0"/>
        <w:rPr>
          <w:rFonts w:ascii="Times New Roman" w:hAnsi="Times New Roman"/>
          <w:sz w:val="20"/>
        </w:rPr>
      </w:pPr>
    </w:p>
    <w:p w:rsidR="004C20F3">
      <w:pPr>
        <w:bidi w:val="0"/>
        <w:ind w:firstLine="708"/>
        <w:rPr>
          <w:rFonts w:ascii="Times New Roman" w:hAnsi="Times New Roman"/>
        </w:rPr>
      </w:pPr>
      <w:r>
        <w:rPr>
          <w:rFonts w:ascii="Times New Roman" w:hAnsi="Times New Roman"/>
        </w:rPr>
        <w:t>Na základe uvedeného vykázal Fond k 31.12.2009 prebytok peňažných prostriedkov vo výške 342 949 622 €. Tieto finančné prostriedky budú použité na plnenie záväzkov Fondu v nasledujúcom období, v súlade so zákonom.</w:t>
      </w:r>
    </w:p>
    <w:p w:rsidR="004C20F3">
      <w:pPr>
        <w:tabs>
          <w:tab w:val="right" w:pos="9000"/>
        </w:tabs>
        <w:bidi w:val="0"/>
        <w:spacing w:before="480"/>
        <w:ind w:left="284" w:hanging="284"/>
        <w:rPr>
          <w:rFonts w:ascii="Times New Roman" w:hAnsi="Times New Roman"/>
          <w:sz w:val="22"/>
          <w:szCs w:val="22"/>
        </w:rPr>
      </w:pPr>
      <w:r>
        <w:rPr>
          <w:rFonts w:ascii="Times New Roman" w:hAnsi="Times New Roman"/>
          <w:b/>
          <w:bCs/>
          <w:szCs w:val="22"/>
        </w:rPr>
        <w:t>Bilancia príjmov a výdavkov za rok 2009</w:t>
      </w:r>
      <w:r>
        <w:rPr>
          <w:rFonts w:ascii="Times New Roman" w:hAnsi="Times New Roman"/>
          <w:b/>
          <w:bCs/>
          <w:sz w:val="22"/>
          <w:szCs w:val="22"/>
        </w:rPr>
        <w:tab/>
      </w:r>
      <w:r>
        <w:rPr>
          <w:rFonts w:ascii="Times New Roman" w:hAnsi="Times New Roman"/>
          <w:sz w:val="22"/>
          <w:szCs w:val="22"/>
        </w:rPr>
        <w:t>(v €)</w:t>
      </w:r>
    </w:p>
    <w:tbl>
      <w:tblPr>
        <w:tblStyle w:val="TableNormal"/>
        <w:tblW w:w="0" w:type="auto"/>
        <w:tblInd w:w="70" w:type="dxa"/>
        <w:tblBorders>
          <w:top w:val="single" w:sz="6" w:space="0" w:color="000000"/>
          <w:bottom w:val="single" w:sz="6" w:space="0" w:color="000000"/>
          <w:insideH w:val="double" w:sz="6" w:space="0" w:color="000000"/>
        </w:tblBorders>
        <w:tblCellMar>
          <w:top w:w="0" w:type="dxa"/>
          <w:left w:w="70" w:type="dxa"/>
          <w:bottom w:w="0" w:type="dxa"/>
          <w:right w:w="70" w:type="dxa"/>
        </w:tblCellMar>
      </w:tblPr>
      <w:tblGrid>
        <w:gridCol w:w="3000"/>
        <w:gridCol w:w="3071"/>
        <w:gridCol w:w="2929"/>
      </w:tblGrid>
      <w:tr>
        <w:tblPrEx>
          <w:tblW w:w="0" w:type="auto"/>
          <w:tblInd w:w="70" w:type="dxa"/>
          <w:tblBorders>
            <w:top w:val="single" w:sz="6" w:space="0" w:color="000000"/>
            <w:bottom w:val="single" w:sz="6" w:space="0" w:color="000000"/>
            <w:insideH w:val="double" w:sz="6" w:space="0" w:color="000000"/>
          </w:tblBorders>
          <w:tblCellMar>
            <w:top w:w="0" w:type="dxa"/>
            <w:left w:w="70" w:type="dxa"/>
            <w:bottom w:w="0" w:type="dxa"/>
            <w:right w:w="70" w:type="dxa"/>
          </w:tblCellMar>
        </w:tblPrEx>
        <w:trPr>
          <w:trHeight w:val="567"/>
        </w:trPr>
        <w:tc>
          <w:tcPr>
            <w:tcW w:w="3000" w:type="dxa"/>
            <w:tcBorders>
              <w:top w:val="single" w:sz="6" w:space="0" w:color="000000"/>
              <w:left w:val="none" w:sz="0" w:space="0" w:color="auto"/>
              <w:bottom w:val="double" w:sz="6" w:space="0" w:color="000000"/>
              <w:right w:val="none" w:sz="0" w:space="0" w:color="auto"/>
            </w:tcBorders>
            <w:shd w:val="clear" w:color="auto" w:fill="CCCCFF"/>
            <w:textDirection w:val="lrTb"/>
            <w:vAlign w:val="center"/>
          </w:tcPr>
          <w:p w:rsidR="004C20F3">
            <w:pPr>
              <w:bidi w:val="0"/>
              <w:jc w:val="center"/>
              <w:rPr>
                <w:rFonts w:ascii="Arial Narrow" w:hAnsi="Arial Narrow"/>
                <w:b/>
                <w:bCs/>
                <w:sz w:val="20"/>
                <w:szCs w:val="22"/>
              </w:rPr>
            </w:pPr>
            <w:r>
              <w:rPr>
                <w:rFonts w:ascii="Arial Narrow" w:hAnsi="Arial Narrow"/>
                <w:b/>
                <w:bCs/>
                <w:sz w:val="20"/>
                <w:szCs w:val="22"/>
              </w:rPr>
              <w:t>Príjmy</w:t>
            </w:r>
          </w:p>
        </w:tc>
        <w:tc>
          <w:tcPr>
            <w:tcW w:w="3071" w:type="dxa"/>
            <w:tcBorders>
              <w:top w:val="single" w:sz="6" w:space="0" w:color="000000"/>
              <w:left w:val="none" w:sz="0" w:space="0" w:color="auto"/>
              <w:bottom w:val="double" w:sz="6" w:space="0" w:color="000000"/>
              <w:right w:val="none" w:sz="0" w:space="0" w:color="auto"/>
            </w:tcBorders>
            <w:shd w:val="clear" w:color="auto" w:fill="CCCCFF"/>
            <w:textDirection w:val="lrTb"/>
            <w:vAlign w:val="center"/>
          </w:tcPr>
          <w:p w:rsidR="004C20F3">
            <w:pPr>
              <w:bidi w:val="0"/>
              <w:jc w:val="center"/>
              <w:rPr>
                <w:rFonts w:ascii="Arial Narrow" w:hAnsi="Arial Narrow"/>
                <w:b/>
                <w:bCs/>
                <w:sz w:val="20"/>
                <w:szCs w:val="22"/>
              </w:rPr>
            </w:pPr>
            <w:r>
              <w:rPr>
                <w:rFonts w:ascii="Arial Narrow" w:hAnsi="Arial Narrow"/>
                <w:b/>
                <w:bCs/>
                <w:sz w:val="20"/>
                <w:szCs w:val="22"/>
              </w:rPr>
              <w:t>Výdavky</w:t>
            </w:r>
          </w:p>
        </w:tc>
        <w:tc>
          <w:tcPr>
            <w:tcW w:w="2929" w:type="dxa"/>
            <w:tcBorders>
              <w:top w:val="single" w:sz="6" w:space="0" w:color="000000"/>
              <w:left w:val="none" w:sz="0" w:space="0" w:color="auto"/>
              <w:bottom w:val="double" w:sz="6" w:space="0" w:color="000000"/>
              <w:right w:val="none" w:sz="0" w:space="0" w:color="auto"/>
            </w:tcBorders>
            <w:shd w:val="clear" w:color="auto" w:fill="CCCCFF"/>
            <w:textDirection w:val="lrTb"/>
            <w:vAlign w:val="center"/>
          </w:tcPr>
          <w:p w:rsidR="004C20F3">
            <w:pPr>
              <w:bidi w:val="0"/>
              <w:jc w:val="center"/>
              <w:rPr>
                <w:rFonts w:ascii="Arial Narrow" w:hAnsi="Arial Narrow"/>
                <w:b/>
                <w:bCs/>
                <w:sz w:val="20"/>
                <w:szCs w:val="22"/>
              </w:rPr>
            </w:pPr>
            <w:r>
              <w:rPr>
                <w:rFonts w:ascii="Arial Narrow" w:hAnsi="Arial Narrow"/>
                <w:b/>
                <w:bCs/>
                <w:sz w:val="20"/>
                <w:szCs w:val="22"/>
              </w:rPr>
              <w:t>Saldo</w:t>
            </w:r>
          </w:p>
        </w:tc>
      </w:tr>
      <w:tr>
        <w:tblPrEx>
          <w:tblW w:w="0" w:type="auto"/>
          <w:tblInd w:w="70" w:type="dxa"/>
          <w:tblCellMar>
            <w:top w:w="0" w:type="dxa"/>
            <w:left w:w="70" w:type="dxa"/>
            <w:bottom w:w="0" w:type="dxa"/>
            <w:right w:w="70" w:type="dxa"/>
          </w:tblCellMar>
        </w:tblPrEx>
        <w:trPr>
          <w:trHeight w:val="567"/>
        </w:trPr>
        <w:tc>
          <w:tcPr>
            <w:tcW w:w="3000" w:type="dxa"/>
            <w:tcBorders>
              <w:top w:val="double" w:sz="6" w:space="0" w:color="000000"/>
              <w:left w:val="none" w:sz="0" w:space="0" w:color="auto"/>
              <w:bottom w:val="single" w:sz="6" w:space="0" w:color="000000"/>
              <w:right w:val="none" w:sz="0" w:space="0" w:color="auto"/>
            </w:tcBorders>
            <w:textDirection w:val="lrTb"/>
            <w:vAlign w:val="center"/>
          </w:tcPr>
          <w:p w:rsidR="004C20F3">
            <w:pPr>
              <w:bidi w:val="0"/>
              <w:jc w:val="center"/>
              <w:rPr>
                <w:rFonts w:ascii="Arial Narrow" w:hAnsi="Arial Narrow"/>
                <w:sz w:val="20"/>
                <w:szCs w:val="22"/>
              </w:rPr>
            </w:pPr>
            <w:r>
              <w:rPr>
                <w:rFonts w:ascii="Arial Narrow" w:hAnsi="Arial Narrow"/>
                <w:sz w:val="20"/>
              </w:rPr>
              <w:t>603 966 844,31</w:t>
            </w:r>
          </w:p>
        </w:tc>
        <w:tc>
          <w:tcPr>
            <w:tcW w:w="3071" w:type="dxa"/>
            <w:tcBorders>
              <w:top w:val="double" w:sz="6" w:space="0" w:color="000000"/>
              <w:left w:val="none" w:sz="0" w:space="0" w:color="auto"/>
              <w:bottom w:val="single" w:sz="6" w:space="0" w:color="000000"/>
              <w:right w:val="none" w:sz="0" w:space="0" w:color="auto"/>
            </w:tcBorders>
            <w:textDirection w:val="lrTb"/>
            <w:vAlign w:val="center"/>
          </w:tcPr>
          <w:p w:rsidR="004C20F3">
            <w:pPr>
              <w:bidi w:val="0"/>
              <w:jc w:val="center"/>
              <w:rPr>
                <w:rFonts w:ascii="Arial Narrow" w:hAnsi="Arial Narrow"/>
                <w:sz w:val="20"/>
                <w:szCs w:val="22"/>
              </w:rPr>
            </w:pPr>
            <w:r>
              <w:rPr>
                <w:rFonts w:ascii="Arial Narrow" w:hAnsi="Arial Narrow"/>
                <w:sz w:val="20"/>
              </w:rPr>
              <w:t>547 247 001,69</w:t>
            </w:r>
          </w:p>
        </w:tc>
        <w:tc>
          <w:tcPr>
            <w:tcW w:w="2929" w:type="dxa"/>
            <w:tcBorders>
              <w:top w:val="double" w:sz="6" w:space="0" w:color="000000"/>
              <w:left w:val="none" w:sz="0" w:space="0" w:color="auto"/>
              <w:bottom w:val="single" w:sz="6" w:space="0" w:color="000000"/>
              <w:right w:val="none" w:sz="0" w:space="0" w:color="auto"/>
            </w:tcBorders>
            <w:textDirection w:val="lrTb"/>
            <w:vAlign w:val="center"/>
          </w:tcPr>
          <w:p w:rsidR="004C20F3">
            <w:pPr>
              <w:bidi w:val="0"/>
              <w:jc w:val="center"/>
              <w:rPr>
                <w:rFonts w:ascii="Arial Narrow" w:hAnsi="Arial Narrow"/>
                <w:sz w:val="20"/>
                <w:szCs w:val="22"/>
              </w:rPr>
            </w:pPr>
            <w:r>
              <w:rPr>
                <w:rFonts w:ascii="Arial Narrow" w:hAnsi="Arial Narrow"/>
                <w:sz w:val="20"/>
                <w:szCs w:val="22"/>
              </w:rPr>
              <w:t>56 719 842,62</w:t>
            </w:r>
          </w:p>
        </w:tc>
      </w:tr>
    </w:tbl>
    <w:p w:rsidR="004C20F3">
      <w:pPr>
        <w:bidi w:val="0"/>
        <w:ind w:firstLine="0"/>
        <w:rPr>
          <w:rFonts w:ascii="Times New Roman" w:hAnsi="Times New Roman"/>
          <w:sz w:val="20"/>
        </w:rPr>
      </w:pPr>
    </w:p>
    <w:p w:rsidR="004C20F3">
      <w:pPr>
        <w:pStyle w:val="Heading6"/>
        <w:bidi w:val="0"/>
        <w:spacing w:line="360" w:lineRule="atLeast"/>
        <w:ind w:firstLine="0"/>
        <w:rPr>
          <w:rFonts w:ascii="Times New Roman" w:hAnsi="Times New Roman" w:cs="Times New Roman"/>
          <w:i/>
          <w:iCs/>
          <w:sz w:val="26"/>
          <w:szCs w:val="26"/>
          <w:u w:val="none"/>
        </w:rPr>
      </w:pPr>
      <w:r>
        <w:rPr>
          <w:rFonts w:ascii="Times New Roman" w:hAnsi="Times New Roman" w:cs="Times New Roman"/>
          <w:i/>
          <w:iCs/>
          <w:sz w:val="26"/>
          <w:szCs w:val="26"/>
          <w:u w:val="none"/>
        </w:rPr>
        <w:t>IV. Stav majetku Fondu k 31.12.2009</w:t>
      </w:r>
    </w:p>
    <w:p w:rsidR="004C20F3">
      <w:pPr>
        <w:bidi w:val="0"/>
        <w:ind w:firstLine="720"/>
        <w:rPr>
          <w:rFonts w:ascii="Times New Roman" w:hAnsi="Times New Roman"/>
        </w:rPr>
      </w:pPr>
      <w:r>
        <w:rPr>
          <w:rFonts w:ascii="Times New Roman" w:hAnsi="Times New Roman"/>
        </w:rPr>
        <w:t>Na základe výsledkov ročnej účtovnej závierky k 31.12.2009 stav majetku, jeho štruktúra a zdroje krytia sú nasledovné:</w:t>
      </w:r>
    </w:p>
    <w:p w:rsidR="004C20F3">
      <w:pPr>
        <w:bidi w:val="0"/>
        <w:jc w:val="right"/>
        <w:rPr>
          <w:rFonts w:ascii="Times New Roman" w:hAnsi="Times New Roman"/>
          <w:sz w:val="22"/>
          <w:szCs w:val="22"/>
        </w:rPr>
      </w:pPr>
      <w:r>
        <w:rPr>
          <w:rFonts w:ascii="Times New Roman" w:hAnsi="Times New Roman"/>
          <w:sz w:val="22"/>
          <w:szCs w:val="22"/>
        </w:rPr>
        <w:t>(v €)</w:t>
      </w:r>
    </w:p>
    <w:tbl>
      <w:tblPr>
        <w:tblStyle w:val="TableNormal"/>
        <w:tblW w:w="0" w:type="auto"/>
        <w:tblInd w:w="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0" w:type="dxa"/>
          <w:left w:w="70" w:type="dxa"/>
          <w:bottom w:w="0" w:type="dxa"/>
          <w:right w:w="70" w:type="dxa"/>
        </w:tblCellMar>
      </w:tblPr>
      <w:tblGrid>
        <w:gridCol w:w="3835"/>
        <w:gridCol w:w="2700"/>
        <w:gridCol w:w="2635"/>
      </w:tblGrid>
      <w:tr>
        <w:tblPrEx>
          <w:tblW w:w="0" w:type="auto"/>
          <w:tblInd w:w="15"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0" w:type="dxa"/>
            <w:left w:w="70" w:type="dxa"/>
            <w:bottom w:w="0" w:type="dxa"/>
            <w:right w:w="70" w:type="dxa"/>
          </w:tblCellMar>
        </w:tblPrEx>
        <w:trPr>
          <w:trHeight w:val="340"/>
        </w:trPr>
        <w:tc>
          <w:tcPr>
            <w:tcW w:w="3835" w:type="dxa"/>
            <w:tcBorders>
              <w:top w:val="single" w:sz="6" w:space="0" w:color="000000"/>
              <w:left w:val="nil"/>
              <w:bottom w:val="double" w:sz="6" w:space="0" w:color="000000"/>
              <w:right w:val="nil"/>
            </w:tcBorders>
            <w:shd w:val="clear" w:color="auto" w:fill="CCCCFF"/>
            <w:textDirection w:val="lrTb"/>
            <w:vAlign w:val="center"/>
          </w:tcPr>
          <w:p w:rsidR="004C20F3">
            <w:pPr>
              <w:bidi w:val="0"/>
              <w:spacing w:line="360" w:lineRule="atLeast"/>
              <w:ind w:firstLine="0"/>
              <w:rPr>
                <w:rFonts w:ascii="Arial Narrow" w:hAnsi="Arial Narrow"/>
                <w:b/>
                <w:bCs/>
                <w:caps/>
                <w:sz w:val="20"/>
                <w:szCs w:val="22"/>
              </w:rPr>
            </w:pPr>
            <w:r>
              <w:rPr>
                <w:rFonts w:ascii="Arial Narrow" w:hAnsi="Arial Narrow"/>
                <w:b/>
                <w:bCs/>
                <w:sz w:val="20"/>
                <w:szCs w:val="22"/>
              </w:rPr>
              <w:t>Súvaha k</w:t>
            </w:r>
            <w:r>
              <w:rPr>
                <w:rFonts w:ascii="Arial Narrow" w:hAnsi="Arial Narrow"/>
                <w:b/>
                <w:bCs/>
                <w:caps/>
                <w:sz w:val="20"/>
                <w:szCs w:val="22"/>
              </w:rPr>
              <w:t xml:space="preserve"> 31.12.</w:t>
            </w:r>
          </w:p>
        </w:tc>
        <w:tc>
          <w:tcPr>
            <w:tcW w:w="2700" w:type="dxa"/>
            <w:tcBorders>
              <w:top w:val="single" w:sz="6" w:space="0" w:color="000000"/>
              <w:left w:val="nil"/>
              <w:bottom w:val="double" w:sz="6" w:space="0" w:color="000000"/>
              <w:right w:val="nil"/>
            </w:tcBorders>
            <w:shd w:val="clear" w:color="auto" w:fill="CCCCFF"/>
            <w:textDirection w:val="lrTb"/>
            <w:vAlign w:val="center"/>
          </w:tcPr>
          <w:p w:rsidR="004C20F3">
            <w:pPr>
              <w:bidi w:val="0"/>
              <w:spacing w:line="360" w:lineRule="atLeast"/>
              <w:ind w:firstLine="1190"/>
              <w:jc w:val="center"/>
              <w:rPr>
                <w:rFonts w:ascii="Arial Narrow" w:hAnsi="Arial Narrow"/>
                <w:b/>
                <w:bCs/>
                <w:sz w:val="20"/>
                <w:szCs w:val="22"/>
              </w:rPr>
            </w:pPr>
            <w:r>
              <w:rPr>
                <w:rFonts w:ascii="Arial Narrow" w:hAnsi="Arial Narrow"/>
                <w:b/>
                <w:bCs/>
                <w:sz w:val="20"/>
                <w:szCs w:val="22"/>
              </w:rPr>
              <w:t xml:space="preserve"> rok 2008</w:t>
            </w:r>
          </w:p>
        </w:tc>
        <w:tc>
          <w:tcPr>
            <w:tcW w:w="2635" w:type="dxa"/>
            <w:tcBorders>
              <w:top w:val="single" w:sz="6" w:space="0" w:color="000000"/>
              <w:left w:val="nil"/>
              <w:bottom w:val="double" w:sz="6" w:space="0" w:color="000000"/>
              <w:right w:val="nil"/>
            </w:tcBorders>
            <w:shd w:val="clear" w:color="auto" w:fill="CCCCFF"/>
            <w:textDirection w:val="lrTb"/>
            <w:vAlign w:val="center"/>
          </w:tcPr>
          <w:p w:rsidR="004C20F3">
            <w:pPr>
              <w:bidi w:val="0"/>
              <w:spacing w:line="360" w:lineRule="atLeast"/>
              <w:ind w:firstLine="1010"/>
              <w:jc w:val="center"/>
              <w:rPr>
                <w:rFonts w:ascii="Arial Narrow" w:hAnsi="Arial Narrow"/>
                <w:b/>
                <w:bCs/>
                <w:sz w:val="20"/>
                <w:szCs w:val="22"/>
              </w:rPr>
            </w:pPr>
            <w:r>
              <w:rPr>
                <w:rFonts w:ascii="Arial Narrow" w:hAnsi="Arial Narrow"/>
                <w:b/>
                <w:bCs/>
                <w:sz w:val="20"/>
                <w:szCs w:val="22"/>
              </w:rPr>
              <w:t xml:space="preserve">rok 2009 </w:t>
            </w:r>
          </w:p>
        </w:tc>
      </w:tr>
      <w:tr>
        <w:tblPrEx>
          <w:tblW w:w="0" w:type="auto"/>
          <w:tblInd w:w="15" w:type="dxa"/>
          <w:tblLayout w:type="fixed"/>
          <w:tblCellMar>
            <w:top w:w="0" w:type="dxa"/>
            <w:left w:w="70" w:type="dxa"/>
            <w:bottom w:w="0" w:type="dxa"/>
            <w:right w:w="70" w:type="dxa"/>
          </w:tblCellMar>
        </w:tblPrEx>
        <w:trPr>
          <w:trHeight w:val="284"/>
        </w:trPr>
        <w:tc>
          <w:tcPr>
            <w:tcW w:w="3835" w:type="dxa"/>
            <w:tcBorders>
              <w:top w:val="double" w:sz="6" w:space="0" w:color="000000"/>
              <w:left w:val="nil"/>
              <w:bottom w:val="nil"/>
              <w:right w:val="nil"/>
            </w:tcBorders>
            <w:textDirection w:val="lrTb"/>
            <w:vAlign w:val="center"/>
          </w:tcPr>
          <w:p w:rsidR="004C20F3">
            <w:pPr>
              <w:pStyle w:val="Heading4"/>
              <w:overflowPunct/>
              <w:autoSpaceDE/>
              <w:autoSpaceDN/>
              <w:bidi w:val="0"/>
              <w:adjustRightInd/>
              <w:spacing w:line="360" w:lineRule="atLeast"/>
              <w:textAlignment w:val="auto"/>
              <w:rPr>
                <w:rFonts w:ascii="Arial Narrow" w:hAnsi="Arial Narrow"/>
                <w:sz w:val="20"/>
              </w:rPr>
            </w:pPr>
            <w:r>
              <w:rPr>
                <w:rFonts w:ascii="Arial Narrow" w:hAnsi="Arial Narrow"/>
                <w:sz w:val="20"/>
              </w:rPr>
              <w:t>AKTÍVA SPOLU</w:t>
            </w:r>
          </w:p>
        </w:tc>
        <w:tc>
          <w:tcPr>
            <w:tcW w:w="2700" w:type="dxa"/>
            <w:tcBorders>
              <w:top w:val="double" w:sz="6" w:space="0" w:color="000000"/>
              <w:left w:val="nil"/>
              <w:bottom w:val="nil"/>
              <w:right w:val="nil"/>
            </w:tcBorders>
            <w:textDirection w:val="lrTb"/>
            <w:vAlign w:val="center"/>
          </w:tcPr>
          <w:p w:rsidR="004C20F3">
            <w:pPr>
              <w:bidi w:val="0"/>
              <w:spacing w:line="360" w:lineRule="atLeast"/>
              <w:jc w:val="right"/>
              <w:rPr>
                <w:rFonts w:ascii="Arial Narrow" w:hAnsi="Arial Narrow"/>
                <w:b/>
                <w:bCs/>
                <w:sz w:val="20"/>
                <w:szCs w:val="22"/>
              </w:rPr>
            </w:pPr>
            <w:r>
              <w:rPr>
                <w:rFonts w:ascii="Arial Narrow" w:hAnsi="Arial Narrow"/>
                <w:b/>
                <w:bCs/>
                <w:sz w:val="20"/>
                <w:szCs w:val="22"/>
              </w:rPr>
              <w:t>2 806 474 891</w:t>
            </w:r>
          </w:p>
        </w:tc>
        <w:tc>
          <w:tcPr>
            <w:tcW w:w="2635" w:type="dxa"/>
            <w:tcBorders>
              <w:top w:val="double" w:sz="6" w:space="0" w:color="000000"/>
              <w:left w:val="nil"/>
              <w:bottom w:val="nil"/>
              <w:right w:val="nil"/>
            </w:tcBorders>
            <w:textDirection w:val="lrTb"/>
            <w:vAlign w:val="center"/>
          </w:tcPr>
          <w:p w:rsidR="004C20F3">
            <w:pPr>
              <w:bidi w:val="0"/>
              <w:spacing w:line="360" w:lineRule="atLeast"/>
              <w:jc w:val="right"/>
              <w:rPr>
                <w:rFonts w:ascii="Arial Narrow" w:hAnsi="Arial Narrow"/>
                <w:b/>
                <w:bCs/>
                <w:sz w:val="20"/>
                <w:szCs w:val="22"/>
              </w:rPr>
            </w:pPr>
            <w:r>
              <w:rPr>
                <w:rFonts w:ascii="Arial Narrow" w:hAnsi="Arial Narrow"/>
                <w:b/>
                <w:bCs/>
                <w:sz w:val="20"/>
                <w:szCs w:val="22"/>
              </w:rPr>
              <w:t>2 819 837 820</w:t>
            </w:r>
          </w:p>
        </w:tc>
      </w:tr>
      <w:tr>
        <w:tblPrEx>
          <w:tblW w:w="0" w:type="auto"/>
          <w:tblInd w:w="15" w:type="dxa"/>
          <w:tblLayout w:type="fixed"/>
          <w:tblCellMar>
            <w:top w:w="0" w:type="dxa"/>
            <w:left w:w="70" w:type="dxa"/>
            <w:bottom w:w="0" w:type="dxa"/>
            <w:right w:w="70" w:type="dxa"/>
          </w:tblCellMar>
        </w:tblPrEx>
        <w:trPr>
          <w:trHeight w:val="284"/>
        </w:trPr>
        <w:tc>
          <w:tcPr>
            <w:tcW w:w="3835" w:type="dxa"/>
            <w:tcBorders>
              <w:top w:val="nil"/>
              <w:left w:val="nil"/>
              <w:bottom w:val="nil"/>
              <w:right w:val="nil"/>
            </w:tcBorders>
            <w:textDirection w:val="lrTb"/>
            <w:vAlign w:val="center"/>
          </w:tcPr>
          <w:p w:rsidR="004C20F3">
            <w:pPr>
              <w:bidi w:val="0"/>
              <w:spacing w:line="360" w:lineRule="atLeast"/>
              <w:rPr>
                <w:rFonts w:ascii="Arial Narrow" w:hAnsi="Arial Narrow"/>
                <w:sz w:val="20"/>
                <w:szCs w:val="22"/>
              </w:rPr>
            </w:pPr>
            <w:r>
              <w:rPr>
                <w:rFonts w:ascii="Arial Narrow" w:hAnsi="Arial Narrow"/>
                <w:sz w:val="20"/>
                <w:szCs w:val="22"/>
              </w:rPr>
              <w:t>v tom : 1. Neobežný majetok</w:t>
            </w:r>
          </w:p>
        </w:tc>
        <w:tc>
          <w:tcPr>
            <w:tcW w:w="2700" w:type="dxa"/>
            <w:tcBorders>
              <w:top w:val="nil"/>
              <w:left w:val="nil"/>
              <w:bottom w:val="nil"/>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1 514 537 567</w:t>
            </w:r>
          </w:p>
        </w:tc>
        <w:tc>
          <w:tcPr>
            <w:tcW w:w="2635" w:type="dxa"/>
            <w:tcBorders>
              <w:top w:val="nil"/>
              <w:left w:val="nil"/>
              <w:bottom w:val="nil"/>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1 514 374 071</w:t>
            </w:r>
          </w:p>
        </w:tc>
      </w:tr>
      <w:tr>
        <w:tblPrEx>
          <w:tblW w:w="0" w:type="auto"/>
          <w:tblInd w:w="15" w:type="dxa"/>
          <w:tblLayout w:type="fixed"/>
          <w:tblCellMar>
            <w:top w:w="0" w:type="dxa"/>
            <w:left w:w="70" w:type="dxa"/>
            <w:bottom w:w="0" w:type="dxa"/>
            <w:right w:w="70" w:type="dxa"/>
          </w:tblCellMar>
        </w:tblPrEx>
        <w:trPr>
          <w:trHeight w:val="284"/>
        </w:trPr>
        <w:tc>
          <w:tcPr>
            <w:tcW w:w="3835" w:type="dxa"/>
            <w:tcBorders>
              <w:top w:val="nil"/>
              <w:left w:val="nil"/>
              <w:bottom w:val="nil"/>
              <w:right w:val="nil"/>
            </w:tcBorders>
            <w:textDirection w:val="lrTb"/>
            <w:vAlign w:val="center"/>
          </w:tcPr>
          <w:p w:rsidR="004C20F3">
            <w:pPr>
              <w:bidi w:val="0"/>
              <w:spacing w:line="360" w:lineRule="atLeast"/>
              <w:rPr>
                <w:rFonts w:ascii="Arial Narrow" w:hAnsi="Arial Narrow"/>
                <w:sz w:val="20"/>
                <w:szCs w:val="22"/>
              </w:rPr>
            </w:pPr>
            <w:r>
              <w:rPr>
                <w:rFonts w:ascii="Arial Narrow" w:hAnsi="Arial Narrow"/>
                <w:sz w:val="20"/>
                <w:szCs w:val="22"/>
              </w:rPr>
              <w:t xml:space="preserve">           2. Obežný majetok</w:t>
            </w:r>
          </w:p>
        </w:tc>
        <w:tc>
          <w:tcPr>
            <w:tcW w:w="2700" w:type="dxa"/>
            <w:tcBorders>
              <w:top w:val="nil"/>
              <w:left w:val="nil"/>
              <w:bottom w:val="nil"/>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1 291 937 324</w:t>
            </w:r>
          </w:p>
        </w:tc>
        <w:tc>
          <w:tcPr>
            <w:tcW w:w="2635" w:type="dxa"/>
            <w:tcBorders>
              <w:top w:val="nil"/>
              <w:left w:val="nil"/>
              <w:bottom w:val="nil"/>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1 305 463 749</w:t>
            </w:r>
          </w:p>
        </w:tc>
      </w:tr>
      <w:tr>
        <w:tblPrEx>
          <w:tblW w:w="0" w:type="auto"/>
          <w:tblInd w:w="15" w:type="dxa"/>
          <w:tblLayout w:type="fixed"/>
          <w:tblCellMar>
            <w:top w:w="0" w:type="dxa"/>
            <w:left w:w="70" w:type="dxa"/>
            <w:bottom w:w="0" w:type="dxa"/>
            <w:right w:w="70" w:type="dxa"/>
          </w:tblCellMar>
        </w:tblPrEx>
        <w:trPr>
          <w:trHeight w:val="299"/>
        </w:trPr>
        <w:tc>
          <w:tcPr>
            <w:tcW w:w="3835" w:type="dxa"/>
            <w:tcBorders>
              <w:top w:val="single" w:sz="6" w:space="0" w:color="000000"/>
              <w:left w:val="nil"/>
              <w:bottom w:val="nil"/>
              <w:right w:val="nil"/>
            </w:tcBorders>
            <w:textDirection w:val="lrTb"/>
            <w:vAlign w:val="bottom"/>
          </w:tcPr>
          <w:p w:rsidR="004C20F3">
            <w:pPr>
              <w:pStyle w:val="Heading4"/>
              <w:bidi w:val="0"/>
              <w:jc w:val="left"/>
              <w:rPr>
                <w:rFonts w:ascii="Arial Narrow" w:hAnsi="Arial Narrow"/>
                <w:sz w:val="20"/>
              </w:rPr>
            </w:pPr>
            <w:r>
              <w:rPr>
                <w:rFonts w:ascii="Arial Narrow" w:hAnsi="Arial Narrow"/>
                <w:sz w:val="20"/>
              </w:rPr>
              <w:t>PASÍVA SPOLU</w:t>
            </w:r>
          </w:p>
        </w:tc>
        <w:tc>
          <w:tcPr>
            <w:tcW w:w="2700" w:type="dxa"/>
            <w:tcBorders>
              <w:top w:val="single" w:sz="6" w:space="0" w:color="000000"/>
              <w:left w:val="nil"/>
              <w:bottom w:val="nil"/>
              <w:right w:val="nil"/>
            </w:tcBorders>
            <w:textDirection w:val="lrTb"/>
            <w:vAlign w:val="center"/>
          </w:tcPr>
          <w:p w:rsidR="004C20F3">
            <w:pPr>
              <w:bidi w:val="0"/>
              <w:spacing w:line="360" w:lineRule="atLeast"/>
              <w:jc w:val="right"/>
              <w:rPr>
                <w:rFonts w:ascii="Arial Narrow" w:hAnsi="Arial Narrow"/>
                <w:b/>
                <w:bCs/>
                <w:sz w:val="20"/>
                <w:szCs w:val="22"/>
              </w:rPr>
            </w:pPr>
            <w:r>
              <w:rPr>
                <w:rFonts w:ascii="Arial Narrow" w:hAnsi="Arial Narrow"/>
                <w:b/>
                <w:bCs/>
                <w:sz w:val="20"/>
                <w:szCs w:val="22"/>
              </w:rPr>
              <w:t>2 806 474 891</w:t>
            </w:r>
          </w:p>
        </w:tc>
        <w:tc>
          <w:tcPr>
            <w:tcW w:w="2635" w:type="dxa"/>
            <w:tcBorders>
              <w:top w:val="single" w:sz="6" w:space="0" w:color="000000"/>
              <w:left w:val="nil"/>
              <w:bottom w:val="nil"/>
              <w:right w:val="nil"/>
            </w:tcBorders>
            <w:textDirection w:val="lrTb"/>
            <w:vAlign w:val="center"/>
          </w:tcPr>
          <w:p w:rsidR="004C20F3">
            <w:pPr>
              <w:bidi w:val="0"/>
              <w:spacing w:line="360" w:lineRule="atLeast"/>
              <w:jc w:val="right"/>
              <w:rPr>
                <w:rFonts w:ascii="Arial Narrow" w:hAnsi="Arial Narrow"/>
                <w:b/>
                <w:bCs/>
                <w:sz w:val="20"/>
                <w:szCs w:val="22"/>
              </w:rPr>
            </w:pPr>
            <w:r>
              <w:rPr>
                <w:rFonts w:ascii="Arial Narrow" w:hAnsi="Arial Narrow"/>
                <w:b/>
                <w:bCs/>
                <w:sz w:val="20"/>
                <w:szCs w:val="22"/>
              </w:rPr>
              <w:t>2 819 837 820</w:t>
            </w:r>
          </w:p>
        </w:tc>
      </w:tr>
      <w:tr>
        <w:tblPrEx>
          <w:tblW w:w="0" w:type="auto"/>
          <w:tblInd w:w="15" w:type="dxa"/>
          <w:tblLayout w:type="fixed"/>
          <w:tblCellMar>
            <w:top w:w="0" w:type="dxa"/>
            <w:left w:w="70" w:type="dxa"/>
            <w:bottom w:w="0" w:type="dxa"/>
            <w:right w:w="70" w:type="dxa"/>
          </w:tblCellMar>
        </w:tblPrEx>
        <w:trPr>
          <w:trHeight w:val="340"/>
        </w:trPr>
        <w:tc>
          <w:tcPr>
            <w:tcW w:w="3835" w:type="dxa"/>
            <w:tcBorders>
              <w:top w:val="nil"/>
              <w:left w:val="nil"/>
              <w:bottom w:val="nil"/>
              <w:right w:val="nil"/>
            </w:tcBorders>
            <w:textDirection w:val="lrTb"/>
            <w:vAlign w:val="center"/>
          </w:tcPr>
          <w:p w:rsidR="004C20F3">
            <w:pPr>
              <w:bidi w:val="0"/>
              <w:spacing w:line="360" w:lineRule="atLeast"/>
              <w:rPr>
                <w:rFonts w:ascii="Arial Narrow" w:hAnsi="Arial Narrow"/>
                <w:sz w:val="20"/>
                <w:szCs w:val="22"/>
              </w:rPr>
            </w:pPr>
            <w:r>
              <w:rPr>
                <w:rFonts w:ascii="Arial Narrow" w:hAnsi="Arial Narrow"/>
                <w:sz w:val="20"/>
                <w:szCs w:val="22"/>
              </w:rPr>
              <w:t>v tom : 1. Vlastné imanie</w:t>
            </w:r>
          </w:p>
        </w:tc>
        <w:tc>
          <w:tcPr>
            <w:tcW w:w="2700" w:type="dxa"/>
            <w:tcBorders>
              <w:top w:val="nil"/>
              <w:left w:val="nil"/>
              <w:bottom w:val="nil"/>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2 788 904 060</w:t>
            </w:r>
          </w:p>
        </w:tc>
        <w:tc>
          <w:tcPr>
            <w:tcW w:w="2635" w:type="dxa"/>
            <w:tcBorders>
              <w:top w:val="nil"/>
              <w:left w:val="nil"/>
              <w:bottom w:val="nil"/>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2 800 301 971</w:t>
            </w:r>
          </w:p>
        </w:tc>
      </w:tr>
      <w:tr>
        <w:tblPrEx>
          <w:tblW w:w="0" w:type="auto"/>
          <w:tblInd w:w="15" w:type="dxa"/>
          <w:tblLayout w:type="fixed"/>
          <w:tblCellMar>
            <w:top w:w="0" w:type="dxa"/>
            <w:left w:w="70" w:type="dxa"/>
            <w:bottom w:w="0" w:type="dxa"/>
            <w:right w:w="70" w:type="dxa"/>
          </w:tblCellMar>
        </w:tblPrEx>
        <w:trPr>
          <w:trHeight w:val="340"/>
        </w:trPr>
        <w:tc>
          <w:tcPr>
            <w:tcW w:w="3835" w:type="dxa"/>
            <w:tcBorders>
              <w:top w:val="nil"/>
              <w:left w:val="nil"/>
              <w:bottom w:val="single" w:sz="6" w:space="0" w:color="000000"/>
              <w:right w:val="nil"/>
            </w:tcBorders>
            <w:textDirection w:val="lrTb"/>
            <w:vAlign w:val="center"/>
          </w:tcPr>
          <w:p w:rsidR="004C20F3">
            <w:pPr>
              <w:bidi w:val="0"/>
              <w:spacing w:line="360" w:lineRule="atLeast"/>
              <w:rPr>
                <w:rFonts w:ascii="Arial Narrow" w:hAnsi="Arial Narrow"/>
                <w:sz w:val="20"/>
                <w:szCs w:val="22"/>
              </w:rPr>
            </w:pPr>
            <w:r>
              <w:rPr>
                <w:rFonts w:ascii="Arial Narrow" w:hAnsi="Arial Narrow"/>
                <w:sz w:val="20"/>
                <w:szCs w:val="22"/>
              </w:rPr>
              <w:t xml:space="preserve">           2. Záväzky</w:t>
            </w:r>
          </w:p>
        </w:tc>
        <w:tc>
          <w:tcPr>
            <w:tcW w:w="2700" w:type="dxa"/>
            <w:tcBorders>
              <w:top w:val="nil"/>
              <w:left w:val="nil"/>
              <w:bottom w:val="single" w:sz="6" w:space="0" w:color="000000"/>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17 570 831</w:t>
            </w:r>
          </w:p>
        </w:tc>
        <w:tc>
          <w:tcPr>
            <w:tcW w:w="2635" w:type="dxa"/>
            <w:tcBorders>
              <w:top w:val="nil"/>
              <w:left w:val="nil"/>
              <w:bottom w:val="single" w:sz="6" w:space="0" w:color="000000"/>
              <w:right w:val="nil"/>
            </w:tcBorders>
            <w:textDirection w:val="lrTb"/>
            <w:vAlign w:val="center"/>
          </w:tcPr>
          <w:p w:rsidR="004C20F3">
            <w:pPr>
              <w:bidi w:val="0"/>
              <w:spacing w:line="360" w:lineRule="atLeast"/>
              <w:jc w:val="right"/>
              <w:rPr>
                <w:rFonts w:ascii="Arial Narrow" w:hAnsi="Arial Narrow"/>
                <w:i/>
                <w:iCs/>
                <w:sz w:val="20"/>
                <w:szCs w:val="22"/>
              </w:rPr>
            </w:pPr>
            <w:r>
              <w:rPr>
                <w:rFonts w:ascii="Arial Narrow" w:hAnsi="Arial Narrow"/>
                <w:i/>
                <w:iCs/>
                <w:sz w:val="20"/>
                <w:szCs w:val="22"/>
              </w:rPr>
              <w:t>19 535 849</w:t>
            </w:r>
          </w:p>
        </w:tc>
      </w:tr>
    </w:tbl>
    <w:p w:rsidR="004C20F3">
      <w:pPr>
        <w:bidi w:val="0"/>
        <w:ind w:firstLine="0"/>
        <w:rPr>
          <w:rFonts w:ascii="Times New Roman" w:hAnsi="Times New Roman"/>
        </w:rPr>
      </w:pPr>
      <w:bookmarkEnd w:id="0"/>
    </w:p>
    <w:sectPr>
      <w:footerReference w:type="default" r:id="rId8"/>
      <w:pgSz w:w="11906" w:h="16838"/>
      <w:pgMar w:top="1079" w:right="1417" w:bottom="1417" w:left="1417" w:header="708" w:footer="708" w:gutter="0"/>
      <w:lnNumType w:distance="0"/>
      <w:pgNumType w:start="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Arial Narrow">
    <w:panose1 w:val="020B0506020202030204"/>
    <w:charset w:val="EE"/>
    <w:family w:val="swiss"/>
    <w:pitch w:val="variable"/>
    <w:sig w:usb0="00000000" w:usb1="00000000" w:usb2="00000000" w:usb3="00000000" w:csb0="0000009F"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0F3">
    <w:pPr>
      <w:pStyle w:val="Footer"/>
      <w:framePr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568F4">
      <w:rPr>
        <w:rStyle w:val="PageNumber"/>
        <w:rFonts w:ascii="Times New Roman" w:hAnsi="Times New Roman"/>
        <w:noProof/>
      </w:rPr>
      <w:t>25</w:t>
    </w:r>
    <w:r>
      <w:rPr>
        <w:rStyle w:val="PageNumber"/>
        <w:rFonts w:ascii="Times New Roman" w:hAnsi="Times New Roman"/>
      </w:rPr>
      <w:fldChar w:fldCharType="end"/>
    </w:r>
  </w:p>
  <w:p w:rsidR="004C20F3">
    <w:pPr>
      <w:pStyle w:val="Footer"/>
      <w:bidi w:val="0"/>
      <w:ind w:right="360"/>
      <w:jc w:val="right"/>
      <w:rPr>
        <w:rFonts w:ascii="Times New Roman" w:hAnsi="Times New Roman"/>
        <w:i/>
        <w:iCs/>
        <w:sz w:val="20"/>
        <w:szCs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00FE6"/>
    <w:multiLevelType w:val="hybridMultilevel"/>
    <w:tmpl w:val="612C355E"/>
    <w:lvl w:ilvl="0">
      <w:start w:val="1"/>
      <w:numFmt w:val="bullet"/>
      <w:lvlText w:val=""/>
      <w:lvlJc w:val="left"/>
      <w:pPr>
        <w:tabs>
          <w:tab w:val="num" w:pos="1200"/>
        </w:tabs>
        <w:ind w:left="1200" w:hanging="360"/>
      </w:pPr>
      <w:rPr>
        <w:rFonts w:ascii="Symbol" w:hAnsi="Symbol" w:hint="default"/>
      </w:rPr>
    </w:lvl>
    <w:lvl w:ilvl="1">
      <w:start w:val="1"/>
      <w:numFmt w:val="bullet"/>
      <w:lvlText w:val="o"/>
      <w:lvlJc w:val="left"/>
      <w:pPr>
        <w:tabs>
          <w:tab w:val="num" w:pos="1920"/>
        </w:tabs>
        <w:ind w:left="1920" w:hanging="360"/>
      </w:pPr>
      <w:rPr>
        <w:rFonts w:ascii="Courier New" w:hAnsi="Courier New" w:hint="default"/>
      </w:rPr>
    </w:lvl>
    <w:lvl w:ilvl="2">
      <w:start w:val="1"/>
      <w:numFmt w:val="bullet"/>
      <w:lvlText w:val=""/>
      <w:lvlJc w:val="left"/>
      <w:pPr>
        <w:tabs>
          <w:tab w:val="num" w:pos="2640"/>
        </w:tabs>
        <w:ind w:left="2640" w:hanging="360"/>
      </w:pPr>
      <w:rPr>
        <w:rFonts w:ascii="Wingdings" w:hAnsi="Wingdings" w:hint="default"/>
      </w:rPr>
    </w:lvl>
    <w:lvl w:ilvl="3">
      <w:start w:val="1"/>
      <w:numFmt w:val="bullet"/>
      <w:lvlText w:val=""/>
      <w:lvlJc w:val="left"/>
      <w:pPr>
        <w:tabs>
          <w:tab w:val="num" w:pos="3360"/>
        </w:tabs>
        <w:ind w:left="3360" w:hanging="360"/>
      </w:pPr>
      <w:rPr>
        <w:rFonts w:ascii="Symbol" w:hAnsi="Symbol" w:hint="default"/>
      </w:rPr>
    </w:lvl>
    <w:lvl w:ilvl="4">
      <w:start w:val="1"/>
      <w:numFmt w:val="bullet"/>
      <w:lvlText w:val="o"/>
      <w:lvlJc w:val="left"/>
      <w:pPr>
        <w:tabs>
          <w:tab w:val="num" w:pos="4080"/>
        </w:tabs>
        <w:ind w:left="4080" w:hanging="360"/>
      </w:pPr>
      <w:rPr>
        <w:rFonts w:ascii="Courier New" w:hAnsi="Courier New" w:hint="default"/>
      </w:rPr>
    </w:lvl>
    <w:lvl w:ilvl="5">
      <w:start w:val="1"/>
      <w:numFmt w:val="bullet"/>
      <w:lvlText w:val=""/>
      <w:lvlJc w:val="left"/>
      <w:pPr>
        <w:tabs>
          <w:tab w:val="num" w:pos="4800"/>
        </w:tabs>
        <w:ind w:left="4800" w:hanging="360"/>
      </w:pPr>
      <w:rPr>
        <w:rFonts w:ascii="Wingdings" w:hAnsi="Wingdings" w:hint="default"/>
      </w:rPr>
    </w:lvl>
    <w:lvl w:ilvl="6">
      <w:start w:val="1"/>
      <w:numFmt w:val="bullet"/>
      <w:lvlText w:val=""/>
      <w:lvlJc w:val="left"/>
      <w:pPr>
        <w:tabs>
          <w:tab w:val="num" w:pos="5520"/>
        </w:tabs>
        <w:ind w:left="5520" w:hanging="360"/>
      </w:pPr>
      <w:rPr>
        <w:rFonts w:ascii="Symbol" w:hAnsi="Symbol" w:hint="default"/>
      </w:rPr>
    </w:lvl>
    <w:lvl w:ilvl="7">
      <w:start w:val="1"/>
      <w:numFmt w:val="bullet"/>
      <w:lvlText w:val="o"/>
      <w:lvlJc w:val="left"/>
      <w:pPr>
        <w:tabs>
          <w:tab w:val="num" w:pos="6240"/>
        </w:tabs>
        <w:ind w:left="6240" w:hanging="360"/>
      </w:pPr>
      <w:rPr>
        <w:rFonts w:ascii="Courier New" w:hAnsi="Courier New" w:hint="default"/>
      </w:rPr>
    </w:lvl>
    <w:lvl w:ilvl="8">
      <w:start w:val="1"/>
      <w:numFmt w:val="bullet"/>
      <w:lvlText w:val=""/>
      <w:lvlJc w:val="left"/>
      <w:pPr>
        <w:tabs>
          <w:tab w:val="num" w:pos="6960"/>
        </w:tabs>
        <w:ind w:left="6960" w:hanging="360"/>
      </w:pPr>
      <w:rPr>
        <w:rFonts w:ascii="Wingdings" w:hAnsi="Wingdings" w:hint="default"/>
      </w:rPr>
    </w:lvl>
  </w:abstractNum>
  <w:abstractNum w:abstractNumId="1">
    <w:nsid w:val="0B347ADE"/>
    <w:multiLevelType w:val="hybridMultilevel"/>
    <w:tmpl w:val="EE54A0A6"/>
    <w:lvl w:ilvl="0">
      <w:start w:val="1"/>
      <w:numFmt w:val="bullet"/>
      <w:pStyle w:val="ostavec3"/>
      <w:lvlText w:val=""/>
      <w:lvlJc w:val="left"/>
      <w:pPr>
        <w:tabs>
          <w:tab w:val="num" w:pos="1494"/>
        </w:tabs>
        <w:ind w:left="1494"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0037A52"/>
    <w:multiLevelType w:val="hybridMultilevel"/>
    <w:tmpl w:val="F6A01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89A72B4"/>
    <w:multiLevelType w:val="hybridMultilevel"/>
    <w:tmpl w:val="484CF9F8"/>
    <w:lvl w:ilvl="0">
      <w:start w:val="1"/>
      <w:numFmt w:val="upperRoman"/>
      <w:lvlText w:val="%1."/>
      <w:lvlJc w:val="left"/>
      <w:pPr>
        <w:tabs>
          <w:tab w:val="num" w:pos="1725"/>
        </w:tabs>
        <w:ind w:left="1725" w:hanging="720"/>
      </w:pPr>
      <w:rPr>
        <w:rFonts w:cs="Times New Roman" w:hint="default"/>
        <w:b/>
        <w:i/>
        <w:sz w:val="26"/>
        <w:szCs w:val="26"/>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4">
    <w:nsid w:val="1A892DDD"/>
    <w:multiLevelType w:val="hybridMultilevel"/>
    <w:tmpl w:val="1F2A0BC2"/>
    <w:lvl w:ilvl="0">
      <w:start w:va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D7006AC"/>
    <w:multiLevelType w:val="hybridMultilevel"/>
    <w:tmpl w:val="43DA4D96"/>
    <w:lvl w:ilvl="0">
      <w:start w:val="1"/>
      <w:numFmt w:val="decimal"/>
      <w:pStyle w:val="ostavec2"/>
      <w:lvlText w:val="%1.)"/>
      <w:lvlJc w:val="left"/>
      <w:pPr>
        <w:tabs>
          <w:tab w:val="num" w:pos="927"/>
        </w:tabs>
        <w:ind w:left="927" w:hanging="360"/>
      </w:pPr>
      <w:rPr>
        <w:rFonts w:cs="Times New Roman" w:hint="default"/>
        <w:rtl w:val="0"/>
        <w:cs w:val="0"/>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
    <w:nsid w:val="1F61136B"/>
    <w:multiLevelType w:val="hybridMultilevel"/>
    <w:tmpl w:val="25BAC4E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7">
    <w:nsid w:val="1F9F4517"/>
    <w:multiLevelType w:val="hybridMultilevel"/>
    <w:tmpl w:val="5A2492EA"/>
    <w:lvl w:ilvl="0">
      <w:start w:val="1"/>
      <w:numFmt w:val="upperRoman"/>
      <w:lvlText w:val="%1."/>
      <w:lvlJc w:val="left"/>
      <w:pPr>
        <w:tabs>
          <w:tab w:val="num" w:pos="1080"/>
        </w:tabs>
        <w:ind w:left="1080" w:hanging="720"/>
      </w:pPr>
      <w:rPr>
        <w:rFonts w:cs="Times New Roman" w:hint="default"/>
        <w:b/>
        <w:i/>
        <w:sz w:val="26"/>
        <w:szCs w:val="26"/>
        <w:rtl w:val="0"/>
        <w:cs w:val="0"/>
      </w:rPr>
    </w:lvl>
    <w:lvl w:ilvl="1">
      <w:start w:val="0"/>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7F63C46"/>
    <w:multiLevelType w:val="hybridMultilevel"/>
    <w:tmpl w:val="5D0AD2CC"/>
    <w:lvl w:ilvl="0">
      <w:start w:val="1"/>
      <w:numFmt w:val="decimal"/>
      <w:pStyle w:val="Styl2"/>
      <w:lvlText w:val="%1./"/>
      <w:lvlJc w:val="left"/>
      <w:pPr>
        <w:tabs>
          <w:tab w:val="num" w:pos="567"/>
        </w:tabs>
        <w:ind w:left="567" w:hanging="567"/>
      </w:pPr>
      <w:rPr>
        <w:rFonts w:ascii="Times New Roman" w:eastAsia="Times New Roman" w:hAnsi="Times New Roman" w:cs="Times New Roman" w:hint="default"/>
        <w:b/>
        <w:rtl w:val="0"/>
        <w:cs w:val="0"/>
      </w:rPr>
    </w:lvl>
    <w:lvl w:ilvl="1">
      <w:start w:val="1"/>
      <w:numFmt w:val="decimal"/>
      <w:lvlText w:val="%2.)"/>
      <w:lvlJc w:val="left"/>
      <w:pPr>
        <w:tabs>
          <w:tab w:val="num" w:pos="1440"/>
        </w:tabs>
        <w:ind w:left="1440" w:hanging="360"/>
      </w:pPr>
      <w:rPr>
        <w:rFonts w:cs="Times New Roman" w:hint="default"/>
        <w:u w:val="words"/>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547D741B"/>
    <w:multiLevelType w:val="hybridMultilevel"/>
    <w:tmpl w:val="F3407BE0"/>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2070"/>
        </w:tabs>
        <w:ind w:left="2070" w:hanging="360"/>
      </w:pPr>
      <w:rPr>
        <w:rFonts w:ascii="Courier New" w:hAnsi="Courier New" w:hint="default"/>
      </w:rPr>
    </w:lvl>
    <w:lvl w:ilvl="2">
      <w:start w:val="1"/>
      <w:numFmt w:val="bullet"/>
      <w:lvlText w:val=""/>
      <w:lvlJc w:val="left"/>
      <w:pPr>
        <w:tabs>
          <w:tab w:val="num" w:pos="2790"/>
        </w:tabs>
        <w:ind w:left="2790" w:hanging="360"/>
      </w:pPr>
      <w:rPr>
        <w:rFonts w:ascii="Wingdings" w:hAnsi="Wingdings" w:hint="default"/>
      </w:rPr>
    </w:lvl>
    <w:lvl w:ilvl="3">
      <w:start w:val="1"/>
      <w:numFmt w:val="bullet"/>
      <w:lvlText w:val=""/>
      <w:lvlJc w:val="left"/>
      <w:pPr>
        <w:tabs>
          <w:tab w:val="num" w:pos="3510"/>
        </w:tabs>
        <w:ind w:left="3510" w:hanging="360"/>
      </w:pPr>
      <w:rPr>
        <w:rFonts w:ascii="Symbol" w:hAnsi="Symbol" w:hint="default"/>
      </w:rPr>
    </w:lvl>
    <w:lvl w:ilvl="4">
      <w:start w:val="1"/>
      <w:numFmt w:val="bullet"/>
      <w:lvlText w:val="o"/>
      <w:lvlJc w:val="left"/>
      <w:pPr>
        <w:tabs>
          <w:tab w:val="num" w:pos="4230"/>
        </w:tabs>
        <w:ind w:left="4230" w:hanging="360"/>
      </w:pPr>
      <w:rPr>
        <w:rFonts w:ascii="Courier New" w:hAnsi="Courier New" w:hint="default"/>
      </w:rPr>
    </w:lvl>
    <w:lvl w:ilvl="5">
      <w:start w:val="1"/>
      <w:numFmt w:val="bullet"/>
      <w:lvlText w:val=""/>
      <w:lvlJc w:val="left"/>
      <w:pPr>
        <w:tabs>
          <w:tab w:val="num" w:pos="4950"/>
        </w:tabs>
        <w:ind w:left="4950" w:hanging="360"/>
      </w:pPr>
      <w:rPr>
        <w:rFonts w:ascii="Wingdings" w:hAnsi="Wingdings" w:hint="default"/>
      </w:rPr>
    </w:lvl>
    <w:lvl w:ilvl="6">
      <w:start w:val="1"/>
      <w:numFmt w:val="bullet"/>
      <w:lvlText w:val=""/>
      <w:lvlJc w:val="left"/>
      <w:pPr>
        <w:tabs>
          <w:tab w:val="num" w:pos="5670"/>
        </w:tabs>
        <w:ind w:left="5670" w:hanging="360"/>
      </w:pPr>
      <w:rPr>
        <w:rFonts w:ascii="Symbol" w:hAnsi="Symbol" w:hint="default"/>
      </w:rPr>
    </w:lvl>
    <w:lvl w:ilvl="7">
      <w:start w:val="1"/>
      <w:numFmt w:val="bullet"/>
      <w:lvlText w:val="o"/>
      <w:lvlJc w:val="left"/>
      <w:pPr>
        <w:tabs>
          <w:tab w:val="num" w:pos="6390"/>
        </w:tabs>
        <w:ind w:left="6390" w:hanging="360"/>
      </w:pPr>
      <w:rPr>
        <w:rFonts w:ascii="Courier New" w:hAnsi="Courier New" w:hint="default"/>
      </w:rPr>
    </w:lvl>
    <w:lvl w:ilvl="8">
      <w:start w:val="1"/>
      <w:numFmt w:val="bullet"/>
      <w:lvlText w:val=""/>
      <w:lvlJc w:val="left"/>
      <w:pPr>
        <w:tabs>
          <w:tab w:val="num" w:pos="7110"/>
        </w:tabs>
        <w:ind w:left="7110" w:hanging="360"/>
      </w:pPr>
      <w:rPr>
        <w:rFonts w:ascii="Wingdings" w:hAnsi="Wingdings" w:hint="default"/>
      </w:rPr>
    </w:lvl>
  </w:abstractNum>
  <w:abstractNum w:abstractNumId="10">
    <w:nsid w:val="6924504A"/>
    <w:multiLevelType w:val="hybridMultilevel"/>
    <w:tmpl w:val="BA921B10"/>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1">
    <w:nsid w:val="6A5B657C"/>
    <w:multiLevelType w:val="hybridMultilevel"/>
    <w:tmpl w:val="27F8AB72"/>
    <w:lvl w:ilvl="0">
      <w:start w:val="1"/>
      <w:numFmt w:val="upperRoman"/>
      <w:lvlText w:val="%1."/>
      <w:lvlJc w:val="left"/>
      <w:pPr>
        <w:tabs>
          <w:tab w:val="num" w:pos="1260"/>
        </w:tabs>
        <w:ind w:left="1260" w:hanging="720"/>
      </w:pPr>
      <w:rPr>
        <w:rFonts w:cs="Times New Roman" w:hint="default"/>
        <w:b/>
        <w:i/>
        <w:sz w:val="26"/>
        <w:szCs w:val="26"/>
        <w:rtl w:val="0"/>
        <w:cs w:val="0"/>
      </w:rPr>
    </w:lvl>
    <w:lvl w:ilvl="1">
      <w:start w:val="1"/>
      <w:numFmt w:val="lowerLetter"/>
      <w:lvlText w:val="%2."/>
      <w:lvlJc w:val="left"/>
      <w:pPr>
        <w:tabs>
          <w:tab w:val="num" w:pos="1620"/>
        </w:tabs>
        <w:ind w:left="1620" w:hanging="360"/>
      </w:pPr>
      <w:rPr>
        <w:rFonts w:cs="Times New Roman"/>
        <w:rtl w:val="0"/>
        <w:cs w:val="0"/>
      </w:rPr>
    </w:lvl>
    <w:lvl w:ilvl="2">
      <w:start w:val="1"/>
      <w:numFmt w:val="lowerRoman"/>
      <w:lvlText w:val="%3."/>
      <w:lvlJc w:val="right"/>
      <w:pPr>
        <w:tabs>
          <w:tab w:val="num" w:pos="2340"/>
        </w:tabs>
        <w:ind w:left="2340" w:hanging="180"/>
      </w:pPr>
      <w:rPr>
        <w:rFonts w:cs="Times New Roman"/>
        <w:rtl w:val="0"/>
        <w:cs w:val="0"/>
      </w:rPr>
    </w:lvl>
    <w:lvl w:ilvl="3">
      <w:start w:val="1"/>
      <w:numFmt w:val="decimal"/>
      <w:lvlText w:val="%4."/>
      <w:lvlJc w:val="left"/>
      <w:pPr>
        <w:tabs>
          <w:tab w:val="num" w:pos="3060"/>
        </w:tabs>
        <w:ind w:left="3060" w:hanging="360"/>
      </w:pPr>
      <w:rPr>
        <w:rFonts w:cs="Times New Roman"/>
        <w:rtl w:val="0"/>
        <w:cs w:val="0"/>
      </w:rPr>
    </w:lvl>
    <w:lvl w:ilvl="4">
      <w:start w:val="1"/>
      <w:numFmt w:val="lowerLetter"/>
      <w:lvlText w:val="%5."/>
      <w:lvlJc w:val="left"/>
      <w:pPr>
        <w:tabs>
          <w:tab w:val="num" w:pos="3780"/>
        </w:tabs>
        <w:ind w:left="3780" w:hanging="360"/>
      </w:pPr>
      <w:rPr>
        <w:rFonts w:cs="Times New Roman"/>
        <w:rtl w:val="0"/>
        <w:cs w:val="0"/>
      </w:rPr>
    </w:lvl>
    <w:lvl w:ilvl="5">
      <w:start w:val="1"/>
      <w:numFmt w:val="lowerRoman"/>
      <w:lvlText w:val="%6."/>
      <w:lvlJc w:val="right"/>
      <w:pPr>
        <w:tabs>
          <w:tab w:val="num" w:pos="4500"/>
        </w:tabs>
        <w:ind w:left="4500" w:hanging="180"/>
      </w:pPr>
      <w:rPr>
        <w:rFonts w:cs="Times New Roman"/>
        <w:rtl w:val="0"/>
        <w:cs w:val="0"/>
      </w:rPr>
    </w:lvl>
    <w:lvl w:ilvl="6">
      <w:start w:val="1"/>
      <w:numFmt w:val="decimal"/>
      <w:lvlText w:val="%7."/>
      <w:lvlJc w:val="left"/>
      <w:pPr>
        <w:tabs>
          <w:tab w:val="num" w:pos="5220"/>
        </w:tabs>
        <w:ind w:left="5220" w:hanging="360"/>
      </w:pPr>
      <w:rPr>
        <w:rFonts w:cs="Times New Roman"/>
        <w:rtl w:val="0"/>
        <w:cs w:val="0"/>
      </w:rPr>
    </w:lvl>
    <w:lvl w:ilvl="7">
      <w:start w:val="1"/>
      <w:numFmt w:val="lowerLetter"/>
      <w:lvlText w:val="%8."/>
      <w:lvlJc w:val="left"/>
      <w:pPr>
        <w:tabs>
          <w:tab w:val="num" w:pos="5940"/>
        </w:tabs>
        <w:ind w:left="5940" w:hanging="360"/>
      </w:pPr>
      <w:rPr>
        <w:rFonts w:cs="Times New Roman"/>
        <w:rtl w:val="0"/>
        <w:cs w:val="0"/>
      </w:rPr>
    </w:lvl>
    <w:lvl w:ilvl="8">
      <w:start w:val="1"/>
      <w:numFmt w:val="lowerRoman"/>
      <w:lvlText w:val="%9."/>
      <w:lvlJc w:val="right"/>
      <w:pPr>
        <w:tabs>
          <w:tab w:val="num" w:pos="6660"/>
        </w:tabs>
        <w:ind w:left="6660" w:hanging="180"/>
      </w:pPr>
      <w:rPr>
        <w:rFonts w:cs="Times New Roman"/>
        <w:rtl w:val="0"/>
        <w:cs w:val="0"/>
      </w:rPr>
    </w:lvl>
  </w:abstractNum>
  <w:abstractNum w:abstractNumId="12">
    <w:nsid w:val="6CA428DC"/>
    <w:multiLevelType w:val="hybridMultilevel"/>
    <w:tmpl w:val="8242939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77A13E47"/>
    <w:multiLevelType w:val="hybridMultilevel"/>
    <w:tmpl w:val="D7627A6A"/>
    <w:lvl w:ilvl="0">
      <w:start w:val="1"/>
      <w:numFmt w:val="bullet"/>
      <w:lvlText w:val=""/>
      <w:lvlJc w:val="left"/>
      <w:pPr>
        <w:tabs>
          <w:tab w:val="num" w:pos="1287"/>
        </w:tabs>
        <w:ind w:left="128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4">
    <w:nsid w:val="7F647668"/>
    <w:multiLevelType w:val="hybridMultilevel"/>
    <w:tmpl w:val="694CF1E0"/>
    <w:lvl w:ilvl="0">
      <w:start w:val="1"/>
      <w:numFmt w:val="decimal"/>
      <w:lvlText w:val="%1."/>
      <w:lvlJc w:val="left"/>
      <w:pPr>
        <w:tabs>
          <w:tab w:val="num" w:pos="1287"/>
        </w:tabs>
        <w:ind w:left="1287" w:hanging="360"/>
      </w:pPr>
      <w:rPr>
        <w:rFonts w:cs="Times New Roman"/>
        <w:rtl w:val="0"/>
        <w:cs w:val="0"/>
      </w:rPr>
    </w:lvl>
    <w:lvl w:ilvl="1">
      <w:start w:val="1"/>
      <w:numFmt w:val="lowerLetter"/>
      <w:lvlText w:val="%2."/>
      <w:lvlJc w:val="left"/>
      <w:pPr>
        <w:tabs>
          <w:tab w:val="num" w:pos="2007"/>
        </w:tabs>
        <w:ind w:left="2007" w:hanging="360"/>
      </w:pPr>
      <w:rPr>
        <w:rFonts w:cs="Times New Roman"/>
        <w:rtl w:val="0"/>
        <w:cs w:val="0"/>
      </w:rPr>
    </w:lvl>
    <w:lvl w:ilvl="2">
      <w:start w:val="1"/>
      <w:numFmt w:val="lowerRoman"/>
      <w:lvlText w:val="%3."/>
      <w:lvlJc w:val="right"/>
      <w:pPr>
        <w:tabs>
          <w:tab w:val="num" w:pos="2727"/>
        </w:tabs>
        <w:ind w:left="2727" w:hanging="180"/>
      </w:pPr>
      <w:rPr>
        <w:rFonts w:cs="Times New Roman"/>
        <w:rtl w:val="0"/>
        <w:cs w:val="0"/>
      </w:rPr>
    </w:lvl>
    <w:lvl w:ilvl="3">
      <w:start w:val="1"/>
      <w:numFmt w:val="decimal"/>
      <w:lvlText w:val="%4."/>
      <w:lvlJc w:val="left"/>
      <w:pPr>
        <w:tabs>
          <w:tab w:val="num" w:pos="3447"/>
        </w:tabs>
        <w:ind w:left="3447" w:hanging="360"/>
      </w:pPr>
      <w:rPr>
        <w:rFonts w:cs="Times New Roman"/>
        <w:rtl w:val="0"/>
        <w:cs w:val="0"/>
      </w:rPr>
    </w:lvl>
    <w:lvl w:ilvl="4">
      <w:start w:val="1"/>
      <w:numFmt w:val="lowerLetter"/>
      <w:lvlText w:val="%5."/>
      <w:lvlJc w:val="left"/>
      <w:pPr>
        <w:tabs>
          <w:tab w:val="num" w:pos="4167"/>
        </w:tabs>
        <w:ind w:left="4167" w:hanging="360"/>
      </w:pPr>
      <w:rPr>
        <w:rFonts w:cs="Times New Roman"/>
        <w:rtl w:val="0"/>
        <w:cs w:val="0"/>
      </w:rPr>
    </w:lvl>
    <w:lvl w:ilvl="5">
      <w:start w:val="1"/>
      <w:numFmt w:val="lowerRoman"/>
      <w:lvlText w:val="%6."/>
      <w:lvlJc w:val="right"/>
      <w:pPr>
        <w:tabs>
          <w:tab w:val="num" w:pos="4887"/>
        </w:tabs>
        <w:ind w:left="4887" w:hanging="180"/>
      </w:pPr>
      <w:rPr>
        <w:rFonts w:cs="Times New Roman"/>
        <w:rtl w:val="0"/>
        <w:cs w:val="0"/>
      </w:rPr>
    </w:lvl>
    <w:lvl w:ilvl="6">
      <w:start w:val="1"/>
      <w:numFmt w:val="decimal"/>
      <w:lvlText w:val="%7."/>
      <w:lvlJc w:val="left"/>
      <w:pPr>
        <w:tabs>
          <w:tab w:val="num" w:pos="5607"/>
        </w:tabs>
        <w:ind w:left="5607" w:hanging="360"/>
      </w:pPr>
      <w:rPr>
        <w:rFonts w:cs="Times New Roman"/>
        <w:rtl w:val="0"/>
        <w:cs w:val="0"/>
      </w:rPr>
    </w:lvl>
    <w:lvl w:ilvl="7">
      <w:start w:val="1"/>
      <w:numFmt w:val="lowerLetter"/>
      <w:lvlText w:val="%8."/>
      <w:lvlJc w:val="left"/>
      <w:pPr>
        <w:tabs>
          <w:tab w:val="num" w:pos="6327"/>
        </w:tabs>
        <w:ind w:left="6327" w:hanging="360"/>
      </w:pPr>
      <w:rPr>
        <w:rFonts w:cs="Times New Roman"/>
        <w:rtl w:val="0"/>
        <w:cs w:val="0"/>
      </w:rPr>
    </w:lvl>
    <w:lvl w:ilvl="8">
      <w:start w:val="1"/>
      <w:numFmt w:val="lowerRoman"/>
      <w:lvlText w:val="%9."/>
      <w:lvlJc w:val="right"/>
      <w:pPr>
        <w:tabs>
          <w:tab w:val="num" w:pos="7047"/>
        </w:tabs>
        <w:ind w:left="7047" w:hanging="180"/>
      </w:pPr>
      <w:rPr>
        <w:rFonts w:cs="Times New Roman"/>
        <w:rtl w:val="0"/>
        <w:cs w:val="0"/>
      </w:rPr>
    </w:lvl>
  </w:abstractNum>
  <w:num w:numId="1">
    <w:abstractNumId w:val="7"/>
  </w:num>
  <w:num w:numId="2">
    <w:abstractNumId w:val="3"/>
  </w:num>
  <w:num w:numId="3">
    <w:abstractNumId w:val="11"/>
  </w:num>
  <w:num w:numId="4">
    <w:abstractNumId w:val="8"/>
  </w:num>
  <w:num w:numId="5">
    <w:abstractNumId w:val="5"/>
  </w:num>
  <w:num w:numId="6">
    <w:abstractNumId w:val="1"/>
  </w:num>
  <w:num w:numId="7">
    <w:abstractNumId w:val="0"/>
  </w:num>
  <w:num w:numId="8">
    <w:abstractNumId w:val="12"/>
  </w:num>
  <w:num w:numId="9">
    <w:abstractNumId w:val="2"/>
    <w:lvlOverride w:ilvl="0"/>
    <w:lvlOverride w:ilvl="1"/>
    <w:lvlOverride w:ilvl="2"/>
    <w:lvlOverride w:ilvl="3"/>
    <w:lvlOverride w:ilvl="4"/>
    <w:lvlOverride w:ilvl="5"/>
    <w:lvlOverride w:ilvl="6"/>
    <w:lvlOverride w:ilvl="7"/>
    <w:lvlOverride w:ilvl="8"/>
  </w:num>
  <w:num w:numId="10">
    <w:abstractNumId w:val="4"/>
  </w:num>
  <w:num w:numId="11">
    <w:abstractNumId w:val="6"/>
  </w:num>
  <w:num w:numId="12">
    <w:abstractNumId w:val="13"/>
  </w:num>
  <w:num w:numId="13">
    <w:abstractNumId w:val="10"/>
  </w:num>
  <w:num w:numId="14">
    <w:abstractNumId w:val="14"/>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9"/>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67DA"/>
    <w:rsid w:val="000067DA"/>
    <w:rsid w:val="0018625F"/>
    <w:rsid w:val="004C20F3"/>
    <w:rsid w:val="00780D07"/>
    <w:rsid w:val="00B568F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before="120"/>
      <w:ind w:left="0" w:right="0" w:firstLine="567"/>
      <w:jc w:val="both"/>
      <w:textAlignment w:val="auto"/>
    </w:pPr>
    <w:rPr>
      <w:rFonts w:cs="Times New Roman"/>
      <w:sz w:val="24"/>
      <w:szCs w:val="24"/>
      <w:rtl w:val="0"/>
      <w:cs w:val="0"/>
      <w:lang w:val="sk-SK" w:eastAsia="cs-CZ" w:bidi="ar-SA"/>
    </w:rPr>
  </w:style>
  <w:style w:type="paragraph" w:styleId="Heading1">
    <w:name w:val="heading 1"/>
    <w:basedOn w:val="Normal"/>
    <w:next w:val="Normal"/>
    <w:qFormat/>
    <w:pPr>
      <w:keepNext/>
      <w:spacing w:before="360"/>
      <w:ind w:firstLine="0"/>
      <w:jc w:val="both"/>
      <w:outlineLvl w:val="0"/>
    </w:pPr>
    <w:rPr>
      <w:b/>
      <w:bCs/>
      <w:i/>
      <w:caps/>
      <w:sz w:val="28"/>
      <w:u w:val="thick"/>
    </w:rPr>
  </w:style>
  <w:style w:type="paragraph" w:styleId="Heading2">
    <w:name w:val="heading 2"/>
    <w:basedOn w:val="Normal"/>
    <w:next w:val="Normal"/>
    <w:qFormat/>
    <w:pPr>
      <w:keepNext/>
      <w:pBdr>
        <w:bottom w:val="single" w:sz="6" w:space="1" w:color="auto"/>
      </w:pBdr>
      <w:overflowPunct w:val="0"/>
      <w:autoSpaceDE w:val="0"/>
      <w:autoSpaceDN w:val="0"/>
      <w:adjustRightInd w:val="0"/>
      <w:spacing w:line="360" w:lineRule="auto"/>
      <w:ind w:firstLine="720"/>
      <w:jc w:val="both"/>
      <w:textAlignment w:val="baseline"/>
      <w:outlineLvl w:val="1"/>
    </w:pPr>
    <w:rPr>
      <w:b/>
      <w:bCs/>
    </w:rPr>
  </w:style>
  <w:style w:type="paragraph" w:styleId="Heading3">
    <w:name w:val="heading 3"/>
    <w:basedOn w:val="Normal"/>
    <w:next w:val="Normal"/>
    <w:qFormat/>
    <w:pPr>
      <w:keepNext/>
      <w:spacing w:before="240"/>
      <w:ind w:firstLine="0"/>
      <w:jc w:val="both"/>
      <w:outlineLvl w:val="2"/>
    </w:pPr>
    <w:rPr>
      <w:b/>
      <w:bCs/>
      <w:i/>
      <w:iCs/>
      <w:sz w:val="26"/>
      <w:szCs w:val="26"/>
    </w:rPr>
  </w:style>
  <w:style w:type="paragraph" w:styleId="Heading4">
    <w:name w:val="heading 4"/>
    <w:basedOn w:val="Normal"/>
    <w:next w:val="Normal"/>
    <w:qFormat/>
    <w:pPr>
      <w:keepNext/>
      <w:overflowPunct w:val="0"/>
      <w:autoSpaceDE w:val="0"/>
      <w:autoSpaceDN w:val="0"/>
      <w:adjustRightInd w:val="0"/>
      <w:spacing w:before="0"/>
      <w:ind w:firstLine="0"/>
      <w:jc w:val="both"/>
      <w:textAlignment w:val="baseline"/>
      <w:outlineLvl w:val="3"/>
    </w:pPr>
    <w:rPr>
      <w:bCs/>
      <w:i/>
      <w:szCs w:val="22"/>
      <w:u w:val="single"/>
    </w:rPr>
  </w:style>
  <w:style w:type="paragraph" w:styleId="Heading5">
    <w:name w:val="heading 5"/>
    <w:basedOn w:val="Normal"/>
    <w:next w:val="Normal"/>
    <w:qFormat/>
    <w:pPr>
      <w:keepNext/>
      <w:overflowPunct w:val="0"/>
      <w:autoSpaceDE w:val="0"/>
      <w:autoSpaceDN w:val="0"/>
      <w:adjustRightInd w:val="0"/>
      <w:jc w:val="both"/>
      <w:outlineLvl w:val="4"/>
    </w:pPr>
    <w:rPr>
      <w:i/>
      <w:iCs/>
      <w:u w:val="single"/>
    </w:rPr>
  </w:style>
  <w:style w:type="paragraph" w:styleId="Heading6">
    <w:name w:val="heading 6"/>
    <w:basedOn w:val="Normal"/>
    <w:next w:val="Normal"/>
    <w:qFormat/>
    <w:pPr>
      <w:keepNext/>
      <w:overflowPunct w:val="0"/>
      <w:autoSpaceDE w:val="0"/>
      <w:autoSpaceDN w:val="0"/>
      <w:adjustRightInd w:val="0"/>
      <w:jc w:val="both"/>
      <w:textAlignment w:val="baseline"/>
      <w:outlineLvl w:val="5"/>
    </w:pPr>
    <w:rPr>
      <w:rFonts w:ascii="Arial" w:hAnsi="Arial" w:cs="Arial"/>
      <w:b/>
      <w:bCs/>
      <w:sz w:val="22"/>
      <w:szCs w:val="22"/>
      <w:u w:val="single"/>
    </w:rPr>
  </w:style>
  <w:style w:type="paragraph" w:styleId="Heading7">
    <w:name w:val="heading 7"/>
    <w:basedOn w:val="Normal"/>
    <w:next w:val="Normal"/>
    <w:qFormat/>
    <w:pPr>
      <w:keepNext/>
      <w:overflowPunct w:val="0"/>
      <w:autoSpaceDE w:val="0"/>
      <w:autoSpaceDN w:val="0"/>
      <w:adjustRightInd w:val="0"/>
      <w:spacing w:line="360" w:lineRule="auto"/>
      <w:ind w:firstLine="708"/>
      <w:jc w:val="both"/>
      <w:textAlignment w:val="baseline"/>
      <w:outlineLvl w:val="6"/>
    </w:pPr>
    <w:rPr>
      <w:b/>
      <w:bCs/>
      <w:i/>
      <w:iCs/>
      <w:sz w:val="28"/>
      <w:szCs w:val="28"/>
    </w:rPr>
  </w:style>
  <w:style w:type="paragraph" w:styleId="Heading8">
    <w:name w:val="heading 8"/>
    <w:basedOn w:val="Normal"/>
    <w:next w:val="Normal"/>
    <w:qFormat/>
    <w:pPr>
      <w:keepNext/>
      <w:overflowPunct w:val="0"/>
      <w:autoSpaceDE w:val="0"/>
      <w:autoSpaceDN w:val="0"/>
      <w:adjustRightInd w:val="0"/>
      <w:jc w:val="both"/>
      <w:textAlignment w:val="baseline"/>
      <w:outlineLvl w:val="7"/>
    </w:pPr>
    <w:rPr>
      <w:i/>
      <w:iCs/>
      <w:sz w:val="20"/>
      <w:szCs w:val="20"/>
    </w:rPr>
  </w:style>
  <w:style w:type="paragraph" w:styleId="Heading9">
    <w:name w:val="heading 9"/>
    <w:basedOn w:val="Normal"/>
    <w:next w:val="Normal"/>
    <w:qFormat/>
    <w:pPr>
      <w:keepNext/>
      <w:overflowPunct w:val="0"/>
      <w:autoSpaceDE w:val="0"/>
      <w:autoSpaceDN w:val="0"/>
      <w:adjustRightInd w:val="0"/>
      <w:jc w:val="both"/>
      <w:textAlignment w:val="baseline"/>
      <w:outlineLvl w:val="8"/>
    </w:pPr>
    <w:rPr>
      <w:caps/>
      <w:color w:val="FFCC99"/>
      <w:sz w:val="40"/>
      <w:szCs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BodyTextIndent">
    <w:name w:val="Body Text Indent"/>
    <w:basedOn w:val="Normal"/>
    <w:pPr>
      <w:overflowPunct w:val="0"/>
      <w:autoSpaceDE w:val="0"/>
      <w:autoSpaceDN w:val="0"/>
      <w:adjustRightInd w:val="0"/>
      <w:spacing w:line="360" w:lineRule="auto"/>
      <w:ind w:firstLine="708"/>
      <w:jc w:val="both"/>
      <w:textAlignment w:val="baseline"/>
    </w:pPr>
    <w:rPr>
      <w:sz w:val="22"/>
      <w:szCs w:val="22"/>
    </w:rPr>
  </w:style>
  <w:style w:type="paragraph" w:styleId="Footer">
    <w:name w:val="footer"/>
    <w:basedOn w:val="Normal"/>
    <w:pPr>
      <w:tabs>
        <w:tab w:val="center" w:pos="4536"/>
        <w:tab w:val="right" w:pos="9072"/>
      </w:tabs>
      <w:jc w:val="both"/>
    </w:pPr>
  </w:style>
  <w:style w:type="paragraph" w:styleId="BodyTextIndent2">
    <w:name w:val="Body Text Indent 2"/>
    <w:basedOn w:val="Normal"/>
    <w:pPr>
      <w:ind w:firstLine="709"/>
      <w:jc w:val="both"/>
    </w:pPr>
  </w:style>
  <w:style w:type="paragraph" w:styleId="BodyText">
    <w:name w:val="Body Text"/>
    <w:basedOn w:val="Normal"/>
    <w:pPr>
      <w:overflowPunct w:val="0"/>
      <w:autoSpaceDE w:val="0"/>
      <w:autoSpaceDN w:val="0"/>
      <w:adjustRightInd w:val="0"/>
      <w:spacing w:line="360" w:lineRule="auto"/>
      <w:jc w:val="both"/>
      <w:textAlignment w:val="baseline"/>
    </w:pPr>
    <w:rPr>
      <w:sz w:val="22"/>
      <w:szCs w:val="22"/>
    </w:rPr>
  </w:style>
  <w:style w:type="paragraph" w:styleId="BodyText3">
    <w:name w:val="Body Text 3"/>
    <w:basedOn w:val="Normal"/>
    <w:pPr>
      <w:overflowPunct w:val="0"/>
      <w:autoSpaceDE w:val="0"/>
      <w:autoSpaceDN w:val="0"/>
      <w:adjustRightInd w:val="0"/>
      <w:jc w:val="both"/>
      <w:textAlignment w:val="baseline"/>
    </w:pPr>
    <w:rPr>
      <w:i/>
      <w:iCs/>
      <w:sz w:val="22"/>
      <w:szCs w:val="22"/>
    </w:rPr>
  </w:style>
  <w:style w:type="character" w:styleId="PageNumber">
    <w:name w:val="page number"/>
    <w:basedOn w:val="DefaultParagraphFont"/>
    <w:rPr>
      <w:rFonts w:cs="Times New Roman"/>
      <w:rtl w:val="0"/>
      <w:cs w:val="0"/>
    </w:rPr>
  </w:style>
  <w:style w:type="paragraph" w:styleId="BodyText2">
    <w:name w:val="Body Text 2"/>
    <w:basedOn w:val="Normal"/>
    <w:pPr>
      <w:jc w:val="both"/>
    </w:pPr>
  </w:style>
  <w:style w:type="paragraph" w:styleId="BodyTextIndent3">
    <w:name w:val="Body Text Indent 3"/>
    <w:basedOn w:val="Normal"/>
    <w:pPr>
      <w:ind w:firstLine="708"/>
      <w:jc w:val="both"/>
    </w:pPr>
    <w:rPr>
      <w:color w:val="0000FF"/>
    </w:rPr>
  </w:style>
  <w:style w:type="paragraph" w:customStyle="1" w:styleId="Styl2">
    <w:name w:val="Styl 2"/>
    <w:basedOn w:val="Normal"/>
    <w:next w:val="Normal"/>
    <w:pPr>
      <w:numPr>
        <w:numId w:val="4"/>
      </w:numPr>
      <w:tabs>
        <w:tab w:val="num" w:pos="567"/>
      </w:tabs>
      <w:spacing w:after="120"/>
      <w:ind w:left="567" w:hanging="567"/>
      <w:jc w:val="both"/>
    </w:pPr>
    <w:rPr>
      <w:rFonts w:ascii="Arial Narrow" w:hAnsi="Arial Narrow"/>
      <w:bCs/>
      <w:iCs/>
      <w:sz w:val="22"/>
    </w:rPr>
  </w:style>
  <w:style w:type="paragraph" w:customStyle="1" w:styleId="ostavec2">
    <w:name w:val="ostavec 2"/>
    <w:basedOn w:val="Normal"/>
    <w:next w:val="Normal"/>
    <w:pPr>
      <w:widowControl w:val="0"/>
      <w:numPr>
        <w:numId w:val="5"/>
      </w:numPr>
      <w:tabs>
        <w:tab w:val="num" w:pos="927"/>
      </w:tabs>
      <w:overflowPunct w:val="0"/>
      <w:autoSpaceDE w:val="0"/>
      <w:autoSpaceDN w:val="0"/>
      <w:adjustRightInd w:val="0"/>
      <w:spacing w:after="60"/>
      <w:ind w:left="927" w:hanging="360"/>
      <w:jc w:val="both"/>
      <w:textAlignment w:val="baseline"/>
    </w:pPr>
    <w:rPr>
      <w:szCs w:val="20"/>
    </w:rPr>
  </w:style>
  <w:style w:type="paragraph" w:customStyle="1" w:styleId="ostavec3">
    <w:name w:val="ostavec 3."/>
    <w:basedOn w:val="Normal"/>
    <w:pPr>
      <w:numPr>
        <w:numId w:val="6"/>
      </w:numPr>
      <w:tabs>
        <w:tab w:val="left" w:pos="924"/>
      </w:tabs>
      <w:overflowPunct w:val="0"/>
      <w:autoSpaceDE w:val="0"/>
      <w:autoSpaceDN w:val="0"/>
      <w:adjustRightInd w:val="0"/>
      <w:spacing w:before="60" w:after="60"/>
      <w:ind w:left="924" w:hanging="357"/>
      <w:jc w:val="both"/>
      <w:textAlignment w:val="baseline"/>
    </w:pPr>
    <w:rPr>
      <w:szCs w:val="20"/>
    </w:rPr>
  </w:style>
  <w:style w:type="paragraph" w:styleId="Header">
    <w:name w:val="header"/>
    <w:basedOn w:val="Normal"/>
    <w:pPr>
      <w:tabs>
        <w:tab w:val="center" w:pos="4536"/>
        <w:tab w:val="right" w:pos="9072"/>
      </w:tabs>
      <w:jc w:val="both"/>
    </w:pPr>
  </w:style>
  <w:style w:type="paragraph" w:customStyle="1" w:styleId="Obsahlistu">
    <w:name w:val="Obsah listu"/>
    <w:basedOn w:val="Normal"/>
    <w:pPr>
      <w:tabs>
        <w:tab w:val="left" w:pos="720"/>
      </w:tabs>
      <w:overflowPunct w:val="0"/>
      <w:autoSpaceDE w:val="0"/>
      <w:autoSpaceDN w:val="0"/>
      <w:adjustRightInd w:val="0"/>
      <w:spacing w:before="0" w:after="120"/>
      <w:ind w:firstLine="720"/>
      <w:jc w:val="left"/>
    </w:pPr>
    <w:rPr>
      <w:rFonts w:ascii="Arial" w:hAnsi="Arial"/>
      <w:sz w:val="22"/>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oleObject" Target="embeddings/oleObject1.xls" /><Relationship Id="rId6" Type="http://schemas.openxmlformats.org/officeDocument/2006/relationships/image" Target="media/image2.wmf" /><Relationship Id="rId7" Type="http://schemas.openxmlformats.org/officeDocument/2006/relationships/oleObject" Target="embeddings/oleObject2.xls"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26</Pages>
  <Words>9497</Words>
  <Characters>55999</Characters>
  <Application>Microsoft Office Word</Application>
  <DocSecurity>0</DocSecurity>
  <Lines>0</Lines>
  <Paragraphs>0</Paragraphs>
  <ScaleCrop>false</ScaleCrop>
  <Company>FNM SR</Company>
  <LinksUpToDate>false</LinksUpToDate>
  <CharactersWithSpaces>65366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b s a h</dc:title>
  <dc:creator>FNMSR</dc:creator>
  <cp:lastModifiedBy>GaspJarm</cp:lastModifiedBy>
  <cp:revision>2</cp:revision>
  <cp:lastPrinted>2010-03-03T15:41:00Z</cp:lastPrinted>
  <dcterms:created xsi:type="dcterms:W3CDTF">2010-11-23T16:26:00Z</dcterms:created>
  <dcterms:modified xsi:type="dcterms:W3CDTF">2010-11-23T16:26:00Z</dcterms:modified>
</cp:coreProperties>
</file>