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keepNext/>
        <w:jc w:val="center"/>
        <w:rPr>
          <w:rFonts w:ascii="Times New Roman" w:hAnsi="Times New Roman" w:cs="Times New Roman"/>
          <w:b/>
          <w:sz w:val="28"/>
        </w:rPr>
      </w:pPr>
      <w:r>
        <w:rPr>
          <w:rFonts w:ascii="Times New Roman" w:hAnsi="Times New Roman" w:cs="Times New Roman"/>
          <w:b/>
          <w:sz w:val="28"/>
        </w:rPr>
        <w:t>D ô v o d o v á    s p r á v a</w:t>
      </w:r>
    </w:p>
    <w:p>
      <w:pPr>
        <w:keepNext/>
        <w:rPr>
          <w:rFonts w:ascii="Times New Roman" w:hAnsi="Times New Roman" w:cs="Times New Roman"/>
          <w:b/>
        </w:rPr>
      </w:pPr>
    </w:p>
    <w:p>
      <w:pPr>
        <w:keepNext/>
        <w:rPr>
          <w:rFonts w:ascii="Times New Roman" w:hAnsi="Times New Roman" w:cs="Times New Roman"/>
          <w:b/>
        </w:rPr>
      </w:pPr>
      <w:r>
        <w:rPr>
          <w:rFonts w:ascii="Times New Roman" w:hAnsi="Times New Roman" w:cs="Times New Roman"/>
          <w:b/>
        </w:rPr>
        <w:t>Všeobecná časť</w:t>
      </w:r>
    </w:p>
    <w:p>
      <w:pPr>
        <w:jc w:val="both"/>
        <w:rPr>
          <w:rFonts w:ascii="Times New Roman" w:hAnsi="Times New Roman" w:cs="Times New Roman"/>
          <w:b w:val="0"/>
        </w:rPr>
      </w:pPr>
    </w:p>
    <w:p>
      <w:pPr>
        <w:jc w:val="both"/>
        <w:rPr>
          <w:rFonts w:ascii="Times New Roman" w:hAnsi="Times New Roman" w:cs="Times New Roman"/>
          <w:b w:val="0"/>
        </w:rPr>
      </w:pPr>
      <w:r>
        <w:rPr>
          <w:rFonts w:ascii="Times New Roman" w:hAnsi="Times New Roman" w:cs="Times New Roman"/>
          <w:b w:val="0"/>
        </w:rPr>
        <w:t xml:space="preserve">Návrh novely zákona č. 610/2003 Z. z. o elektronických komunikáciách v znení zákona č. 716/2004 Z. z., zákona č. 69/2005 Z. z., zákona 117/2006 Z. z. a zákona č. 220/2007 Z.z., (ďalej len „zákon o elektronických komunikáciách“) bol vypracovaný za účelom transpozície Smernice EP a Rady 2006/24/ES (ďalej len „smernica 2006/24/ES“) z 15. marca 2006 o uchovávaní údajov vytvorených alebo spracovaných v súvislosti s poskytovaním verejne dostupných elektronických komunikačných služieb alebo verejných komunikačných sietí a o zmene a doplnení smernice 2002/58/ES, do slovenského právneho poriadku. </w:t>
      </w:r>
    </w:p>
    <w:p>
      <w:pPr>
        <w:jc w:val="both"/>
        <w:rPr>
          <w:rFonts w:ascii="Times New Roman" w:hAnsi="Times New Roman" w:cs="Times New Roman"/>
          <w:b w:val="0"/>
        </w:rPr>
      </w:pPr>
    </w:p>
    <w:p>
      <w:pPr>
        <w:jc w:val="both"/>
        <w:rPr>
          <w:rFonts w:ascii="Times New Roman" w:hAnsi="Times New Roman" w:cs="Times New Roman"/>
          <w:b w:val="0"/>
        </w:rPr>
      </w:pPr>
      <w:r>
        <w:rPr>
          <w:rFonts w:ascii="Times New Roman" w:hAnsi="Times New Roman" w:cs="Times New Roman"/>
          <w:b w:val="0"/>
        </w:rPr>
        <w:t>Z analýzy smernice 2006/24/ES vyplynulo, že je nevyhnutné jej ustanovenia transponovať hlavne do zákona č. 610/2003 Z.z. o elektronických komunikáciách v znení neskorších predpisov, jeho novelizáciou. S predmetnou problematikou úzko súvisia ustanovenia zákona č. 428/2002 Z. z. o ochrane osobných údajov, Trestný zákon č. 300/2005 Z.z., Trestný poriadok č. 301/2005 Z.z., zákon č. 171/1993 Z.z. o Policajnom zbore a zákon č. 40/1964 Zb. Občiansky zákonník. Zmeny v týchto súvisiacich zákonoch nie sú v novele zákona o elektronických komunikáciách navrhované.</w:t>
      </w:r>
    </w:p>
    <w:p>
      <w:pPr>
        <w:jc w:val="both"/>
        <w:rPr>
          <w:rFonts w:ascii="Times New Roman" w:hAnsi="Times New Roman" w:cs="Times New Roman"/>
          <w:b w:val="0"/>
        </w:rPr>
      </w:pPr>
    </w:p>
    <w:p>
      <w:pPr>
        <w:jc w:val="both"/>
        <w:rPr>
          <w:rFonts w:ascii="Times New Roman" w:hAnsi="Times New Roman" w:cs="Times New Roman"/>
          <w:b w:val="0"/>
        </w:rPr>
      </w:pPr>
      <w:r>
        <w:rPr>
          <w:rFonts w:ascii="Times New Roman" w:hAnsi="Times New Roman" w:cs="Times New Roman"/>
          <w:b w:val="0"/>
        </w:rPr>
        <w:t xml:space="preserve">Prijatie smernice 2006/24/ES je priamym dôsledkom opatrení Európskej únie (EÚ), týkajúcich sa boja proti terorizmu, v nadväznosti na teroristické útoky uskutočnené v Madride v marci 2004 a v Londýne v júni 2005. </w:t>
      </w:r>
    </w:p>
    <w:p>
      <w:pPr>
        <w:spacing w:after="120"/>
        <w:jc w:val="both"/>
        <w:rPr>
          <w:rFonts w:ascii="Times New Roman" w:hAnsi="Times New Roman" w:cs="Times New Roman"/>
          <w:b w:val="0"/>
        </w:rPr>
      </w:pPr>
    </w:p>
    <w:p>
      <w:pPr>
        <w:spacing w:after="120"/>
        <w:jc w:val="both"/>
        <w:rPr>
          <w:rFonts w:ascii="Times New Roman" w:hAnsi="Times New Roman" w:cs="Times New Roman"/>
          <w:b w:val="0"/>
          <w:sz w:val="28"/>
        </w:rPr>
      </w:pPr>
      <w:r>
        <w:rPr>
          <w:rFonts w:ascii="Times New Roman" w:hAnsi="Times New Roman" w:cs="Times New Roman"/>
          <w:b w:val="0"/>
        </w:rPr>
        <w:t>Dôvodom na vypracovanie niektorých bodov návrhu novely zákona o elektronických komunikáciách je tiež upraviť ustanovenia zákona podľa pripomienok Európskej komisie (EK) a prijať zmeny a upresnenia, ktoré vyplynuli z praxe od jeho poslednej novelizácie</w:t>
      </w:r>
      <w:r>
        <w:rPr>
          <w:rFonts w:ascii="Times New Roman" w:hAnsi="Times New Roman" w:cs="Times New Roman"/>
          <w:b w:val="0"/>
          <w:sz w:val="28"/>
        </w:rPr>
        <w:t>.</w:t>
      </w:r>
    </w:p>
    <w:p>
      <w:pPr>
        <w:jc w:val="both"/>
        <w:rPr>
          <w:rFonts w:ascii="Times New Roman" w:hAnsi="Times New Roman" w:cs="Times New Roman"/>
          <w:b w:val="0"/>
        </w:rPr>
      </w:pPr>
    </w:p>
    <w:p>
      <w:pPr>
        <w:jc w:val="both"/>
        <w:rPr>
          <w:rFonts w:ascii="Times New Roman" w:hAnsi="Times New Roman" w:cs="Times New Roman"/>
          <w:b w:val="0"/>
        </w:rPr>
      </w:pPr>
      <w:r>
        <w:rPr>
          <w:rFonts w:ascii="Times New Roman" w:hAnsi="Times New Roman" w:cs="Times New Roman"/>
          <w:b w:val="0"/>
        </w:rPr>
        <w:t>Navrhovaná právna úprava je v súlade s Ústavou Slovenskej republiky a medzinárodnými zmluvami, ktorými je Slovenská republika viazaná. Vzhľadom na ich väčší počet sú uvádzané v osobitnej časti dôvodovej správy k jednotlivým ustanoveniam.</w:t>
      </w:r>
    </w:p>
    <w:p>
      <w:pPr>
        <w:spacing w:after="120"/>
        <w:jc w:val="both"/>
        <w:rPr>
          <w:rFonts w:ascii="Times New Roman" w:hAnsi="Times New Roman" w:cs="Times New Roman"/>
          <w:b/>
        </w:rPr>
      </w:pPr>
    </w:p>
    <w:p>
      <w:pPr>
        <w:spacing w:after="120"/>
        <w:jc w:val="center"/>
        <w:rPr>
          <w:rFonts w:ascii="Times New Roman" w:hAnsi="Times New Roman" w:cs="Times New Roman"/>
          <w:b/>
        </w:rPr>
      </w:pPr>
      <w:r>
        <w:rPr>
          <w:rFonts w:ascii="Times New Roman" w:hAnsi="Times New Roman" w:cs="Times New Roman"/>
          <w:b/>
        </w:rPr>
        <w:br w:type="page"/>
        <w:t>Doložka finančných, ekonomických, environmentálnych vplyvov, vplyvov na zamestnanosť a podnikateľské prostredie</w:t>
      </w:r>
    </w:p>
    <w:p>
      <w:pPr>
        <w:spacing w:after="120"/>
        <w:jc w:val="both"/>
        <w:rPr>
          <w:rFonts w:ascii="Times New Roman" w:hAnsi="Times New Roman" w:cs="Times New Roman"/>
          <w:b/>
          <w:sz w:val="16"/>
          <w:u w:val="single"/>
        </w:rPr>
      </w:pPr>
    </w:p>
    <w:p>
      <w:pPr>
        <w:spacing w:after="120"/>
        <w:jc w:val="both"/>
        <w:rPr>
          <w:rFonts w:ascii="Times New Roman" w:hAnsi="Times New Roman" w:cs="Times New Roman"/>
          <w:b w:val="0"/>
          <w:u w:val="single"/>
        </w:rPr>
      </w:pPr>
      <w:r>
        <w:rPr>
          <w:rFonts w:ascii="Times New Roman" w:hAnsi="Times New Roman" w:cs="Times New Roman"/>
          <w:b w:val="0"/>
          <w:u w:val="single"/>
        </w:rPr>
        <w:t>Odhad dopadov na verejné financie a zamestnanosť</w:t>
      </w:r>
    </w:p>
    <w:p>
      <w:pPr>
        <w:jc w:val="both"/>
        <w:rPr>
          <w:rFonts w:ascii="Times New Roman" w:hAnsi="Times New Roman" w:cs="Times New Roman"/>
          <w:b w:val="0"/>
          <w:u w:val="none"/>
        </w:rPr>
      </w:pPr>
      <w:r>
        <w:rPr>
          <w:rFonts w:ascii="Times New Roman" w:hAnsi="Times New Roman" w:cs="Times New Roman"/>
          <w:b w:val="0"/>
          <w:u w:val="none"/>
        </w:rPr>
        <w:t>Prijatím predloženého návrhu zákona, ktorým sa mení a dopĺňa zákon č. 610 /2003 Z. z. o elektronických komunikáciách v znení zákona č. 716/2004 Z. z., zákona č. 69/2005 Z. z., zákona 117/2006 Z. z. a zákona č. 220/2007 Z. z. sa nepredpokladá negatívny vplyv na štátny rozpočet, na rozpočty obcí ani na rozpočty vyšších územných celkov (samosprávnych krajov). Návrh zákona nebude mať negatívny vplyv na zamestnanosť.</w:t>
      </w:r>
    </w:p>
    <w:p>
      <w:pPr>
        <w:spacing w:after="120"/>
        <w:ind w:left="708" w:hanging="708"/>
        <w:jc w:val="both"/>
        <w:rPr>
          <w:rFonts w:ascii="Times New Roman" w:hAnsi="Times New Roman" w:cs="Times New Roman"/>
          <w:b w:val="0"/>
          <w:u w:val="single"/>
        </w:rPr>
      </w:pPr>
    </w:p>
    <w:p>
      <w:pPr>
        <w:spacing w:after="120"/>
        <w:ind w:left="708" w:hanging="708"/>
        <w:jc w:val="both"/>
        <w:rPr>
          <w:rFonts w:ascii="Times New Roman" w:hAnsi="Times New Roman" w:cs="Times New Roman"/>
          <w:b w:val="0"/>
          <w:u w:val="none"/>
        </w:rPr>
      </w:pPr>
      <w:r>
        <w:rPr>
          <w:rFonts w:ascii="Times New Roman" w:hAnsi="Times New Roman" w:cs="Times New Roman"/>
          <w:b w:val="0"/>
          <w:u w:val="single"/>
        </w:rPr>
        <w:t xml:space="preserve">Odhad dopadov na obyvateľov </w:t>
      </w:r>
    </w:p>
    <w:p>
      <w:pPr>
        <w:spacing w:after="120"/>
        <w:jc w:val="both"/>
        <w:rPr>
          <w:rFonts w:ascii="Times New Roman" w:hAnsi="Times New Roman" w:cs="Times New Roman"/>
          <w:b w:val="0"/>
          <w:u w:val="none"/>
        </w:rPr>
      </w:pPr>
      <w:r>
        <w:rPr>
          <w:rFonts w:ascii="Times New Roman" w:hAnsi="Times New Roman" w:cs="Times New Roman"/>
          <w:b w:val="0"/>
          <w:u w:val="none"/>
        </w:rPr>
        <w:t xml:space="preserve">Realizáciou predloženého návrhu zákona sa nepredpokladá negatívny vplyv na obyvateľov. </w:t>
      </w:r>
    </w:p>
    <w:p>
      <w:pPr>
        <w:spacing w:after="120"/>
        <w:jc w:val="both"/>
        <w:rPr>
          <w:rFonts w:ascii="Times New Roman" w:hAnsi="Times New Roman" w:cs="Times New Roman"/>
          <w:b w:val="0"/>
          <w:u w:val="single"/>
        </w:rPr>
      </w:pPr>
    </w:p>
    <w:p>
      <w:pPr>
        <w:spacing w:after="120"/>
        <w:jc w:val="both"/>
        <w:rPr>
          <w:rFonts w:ascii="Times New Roman" w:hAnsi="Times New Roman" w:cs="Times New Roman"/>
          <w:b w:val="0"/>
          <w:u w:val="none"/>
        </w:rPr>
      </w:pPr>
      <w:r>
        <w:rPr>
          <w:rFonts w:ascii="Times New Roman" w:hAnsi="Times New Roman" w:cs="Times New Roman"/>
          <w:b w:val="0"/>
          <w:u w:val="single"/>
        </w:rPr>
        <w:t>Odhad dopadov na životné prostredie</w:t>
      </w:r>
      <w:r>
        <w:rPr>
          <w:rFonts w:ascii="Times New Roman" w:hAnsi="Times New Roman" w:cs="Times New Roman"/>
          <w:b w:val="0"/>
          <w:u w:val="none"/>
        </w:rPr>
        <w:t xml:space="preserve"> </w:t>
      </w:r>
    </w:p>
    <w:p>
      <w:pPr>
        <w:spacing w:after="120"/>
        <w:jc w:val="both"/>
        <w:rPr>
          <w:rFonts w:ascii="Times New Roman" w:hAnsi="Times New Roman" w:cs="Times New Roman"/>
          <w:b w:val="0"/>
          <w:sz w:val="28"/>
          <w:u w:val="none"/>
        </w:rPr>
      </w:pPr>
      <w:r>
        <w:rPr>
          <w:rFonts w:ascii="Times New Roman" w:hAnsi="Times New Roman" w:cs="Times New Roman"/>
          <w:b w:val="0"/>
          <w:u w:val="none"/>
        </w:rPr>
        <w:t>Realizáciou predloženého návrhu zákona sa nepredpokladá žiadny vplyv na životné prostredie</w:t>
      </w:r>
      <w:r>
        <w:rPr>
          <w:rFonts w:ascii="Times New Roman" w:hAnsi="Times New Roman" w:cs="Times New Roman"/>
          <w:b w:val="0"/>
          <w:sz w:val="28"/>
          <w:u w:val="none"/>
        </w:rPr>
        <w:t>.</w:t>
      </w:r>
    </w:p>
    <w:p>
      <w:pPr>
        <w:spacing w:after="120"/>
        <w:jc w:val="both"/>
        <w:rPr>
          <w:rFonts w:ascii="Times New Roman" w:hAnsi="Times New Roman" w:cs="Times New Roman"/>
          <w:b w:val="0"/>
          <w:u w:val="none"/>
        </w:rPr>
      </w:pPr>
    </w:p>
    <w:p>
      <w:pPr>
        <w:spacing w:after="120"/>
        <w:jc w:val="both"/>
        <w:rPr>
          <w:rFonts w:ascii="Times New Roman" w:hAnsi="Times New Roman" w:cs="Times New Roman"/>
          <w:b w:val="0"/>
          <w:u w:val="single"/>
        </w:rPr>
      </w:pPr>
      <w:r>
        <w:rPr>
          <w:rFonts w:ascii="Times New Roman" w:hAnsi="Times New Roman" w:cs="Times New Roman"/>
          <w:b w:val="0"/>
          <w:u w:val="single"/>
        </w:rPr>
        <w:t>Odhad vplyvu na podnikateľské prostredie</w:t>
      </w:r>
    </w:p>
    <w:p>
      <w:pPr>
        <w:jc w:val="both"/>
        <w:rPr>
          <w:rFonts w:ascii="Times New Roman" w:hAnsi="Times New Roman" w:cs="Times New Roman"/>
          <w:b w:val="0"/>
          <w:i w:val="0"/>
          <w:u w:val="none"/>
        </w:rPr>
      </w:pPr>
      <w:r>
        <w:rPr>
          <w:rFonts w:ascii="Times New Roman" w:hAnsi="Times New Roman" w:cs="Times New Roman"/>
          <w:b w:val="0"/>
          <w:u w:val="none"/>
        </w:rPr>
        <w:t>Návrh zákona má priamy vplyv na hospodárenie podnikateľskej sféry a podnikateľské prostredie okrem iného tým, že stanovuje termín dokedy musia podniky, ktoré poskytujú siete a/alebo služby elektronických komunikácií dovybaviť svoje siete na povinné uchovávanie podrobne kategorizovaných prevádzkových, lokalizačných a súvisiacich údajov všetkých svojich užívateľov/účastníkov počas stanovenej doby.</w:t>
      </w:r>
      <w:r>
        <w:rPr>
          <w:rFonts w:ascii="Times New Roman" w:hAnsi="Times New Roman" w:cs="Times New Roman"/>
          <w:b w:val="0"/>
          <w:i/>
          <w:u w:val="none"/>
        </w:rPr>
        <w:t xml:space="preserve"> </w:t>
      </w:r>
      <w:r>
        <w:rPr>
          <w:rFonts w:ascii="Times New Roman" w:hAnsi="Times New Roman" w:cs="Times New Roman"/>
          <w:b w:val="0"/>
          <w:i w:val="0"/>
          <w:u w:val="none"/>
        </w:rPr>
        <w:t xml:space="preserve">Dodržanie tohto termínu môže byť problematické hlavne pre vybavenie zariadení na uchovávanie komunikačných údajov týkajúcich sa internetového prístupu, telefonovania prostredníctvom internetu a internetovej elektronickej pošty. </w:t>
      </w:r>
    </w:p>
    <w:p>
      <w:pPr>
        <w:jc w:val="both"/>
        <w:rPr>
          <w:rFonts w:ascii="Times New Roman" w:hAnsi="Times New Roman" w:cs="Times New Roman"/>
          <w:b w:val="0"/>
          <w:i w:val="0"/>
          <w:u w:val="none"/>
        </w:rPr>
      </w:pPr>
    </w:p>
    <w:p>
      <w:pPr>
        <w:jc w:val="both"/>
        <w:rPr>
          <w:rFonts w:ascii="Times New Roman" w:hAnsi="Times New Roman" w:cs="Times New Roman"/>
          <w:b w:val="0"/>
          <w:i w:val="0"/>
          <w:u w:val="none"/>
        </w:rPr>
      </w:pPr>
    </w:p>
    <w:p>
      <w:pPr>
        <w:spacing w:after="120"/>
        <w:jc w:val="center"/>
        <w:rPr>
          <w:rFonts w:ascii="Times New Roman" w:hAnsi="Times New Roman" w:cs="Times New Roman"/>
          <w:b w:val="0"/>
          <w:i w:val="0"/>
          <w:sz w:val="28"/>
          <w:u w:val="none"/>
        </w:rPr>
      </w:pPr>
      <w:r>
        <w:rPr>
          <w:rFonts w:ascii="Times New Roman" w:hAnsi="Times New Roman" w:cs="Times New Roman"/>
          <w:b w:val="0"/>
          <w:i w:val="0"/>
          <w:sz w:val="28"/>
          <w:u w:val="single"/>
        </w:rPr>
        <w:br w:type="page"/>
      </w:r>
      <w:r>
        <w:rPr>
          <w:rFonts w:ascii="Times New Roman" w:hAnsi="Times New Roman" w:cs="Times New Roman"/>
          <w:b w:val="0"/>
          <w:i w:val="0"/>
          <w:sz w:val="28"/>
          <w:u w:val="none"/>
        </w:rPr>
        <w:t>DOLOŽKA  ZLUČITEĽNOSTI</w:t>
      </w:r>
    </w:p>
    <w:p>
      <w:pPr>
        <w:spacing w:after="120"/>
        <w:jc w:val="center"/>
        <w:rPr>
          <w:rFonts w:ascii="Times New Roman" w:hAnsi="Times New Roman" w:cs="Times New Roman"/>
          <w:b/>
          <w:i w:val="0"/>
          <w:u w:val="none"/>
        </w:rPr>
      </w:pPr>
      <w:r>
        <w:rPr>
          <w:rFonts w:ascii="Times New Roman" w:hAnsi="Times New Roman" w:cs="Times New Roman"/>
          <w:b/>
          <w:i w:val="0"/>
          <w:u w:val="none"/>
        </w:rPr>
        <w:t>návrhu zákona s právom Európskych spoločenstiev a právom Európskej únie</w:t>
      </w:r>
    </w:p>
    <w:p>
      <w:pPr>
        <w:rPr>
          <w:rFonts w:ascii="Times New Roman" w:hAnsi="Times New Roman" w:cs="Times New Roman"/>
          <w:b w:val="0"/>
          <w:i w:val="0"/>
          <w:sz w:val="16"/>
          <w:u w:val="none"/>
        </w:rPr>
      </w:pPr>
    </w:p>
    <w:p>
      <w:pPr>
        <w:rPr>
          <w:rFonts w:ascii="Times New Roman" w:hAnsi="Times New Roman" w:cs="Times New Roman"/>
          <w:b w:val="0"/>
          <w:i w:val="0"/>
          <w:u w:val="none"/>
        </w:rPr>
      </w:pPr>
      <w:r>
        <w:rPr>
          <w:rFonts w:ascii="Times New Roman" w:hAnsi="Times New Roman" w:cs="Times New Roman"/>
          <w:b/>
          <w:i w:val="0"/>
          <w:u w:val="none"/>
        </w:rPr>
        <w:t>1.</w:t>
      </w:r>
      <w:r>
        <w:rPr>
          <w:rFonts w:ascii="Times New Roman" w:hAnsi="Times New Roman" w:cs="Times New Roman"/>
          <w:b w:val="0"/>
          <w:i w:val="0"/>
          <w:u w:val="none"/>
        </w:rPr>
        <w:t xml:space="preserve">  </w:t>
      </w:r>
      <w:r>
        <w:rPr>
          <w:rFonts w:ascii="Times New Roman" w:hAnsi="Times New Roman" w:cs="Times New Roman"/>
          <w:b/>
          <w:i w:val="0"/>
          <w:u w:val="none"/>
        </w:rPr>
        <w:t>Predkladateľ zákona:</w:t>
      </w:r>
      <w:r>
        <w:rPr>
          <w:rFonts w:ascii="Times New Roman" w:hAnsi="Times New Roman" w:cs="Times New Roman"/>
          <w:b w:val="0"/>
          <w:i w:val="0"/>
          <w:u w:val="none"/>
        </w:rPr>
        <w:t xml:space="preserve"> vláda  Slovenskej republiky.</w:t>
      </w:r>
    </w:p>
    <w:p>
      <w:pPr>
        <w:rPr>
          <w:rFonts w:ascii="Times New Roman" w:hAnsi="Times New Roman" w:cs="Times New Roman"/>
          <w:b w:val="0"/>
          <w:i w:val="0"/>
          <w:sz w:val="16"/>
          <w:u w:val="none"/>
        </w:rPr>
      </w:pPr>
    </w:p>
    <w:p>
      <w:pPr>
        <w:jc w:val="both"/>
        <w:rPr>
          <w:rFonts w:ascii="Times New Roman" w:hAnsi="Times New Roman" w:cs="Times New Roman"/>
          <w:b w:val="0"/>
          <w:i w:val="0"/>
          <w:u w:val="none"/>
        </w:rPr>
      </w:pPr>
      <w:r>
        <w:rPr>
          <w:rFonts w:ascii="Times New Roman" w:hAnsi="Times New Roman" w:cs="Times New Roman"/>
          <w:b/>
          <w:i w:val="0"/>
          <w:u w:val="none"/>
        </w:rPr>
        <w:t>2. Názov návrhu zákona:</w:t>
      </w:r>
      <w:r>
        <w:rPr>
          <w:rFonts w:ascii="Times New Roman" w:hAnsi="Times New Roman" w:cs="Times New Roman"/>
          <w:b w:val="0"/>
          <w:i w:val="0"/>
          <w:u w:val="none"/>
        </w:rPr>
        <w:t xml:space="preserve"> Zákon, ktorým sa mení a dopĺňa zákon č. 610 /2003 Z. z. o elektronických komunikáciách v znení zákona č. 716/2004 Z. z., zákona č. 69/2005 Z. z., zákona 117/2006 Z. z. a zákona č. 220/2007 Z.z..</w:t>
      </w:r>
    </w:p>
    <w:p>
      <w:pPr>
        <w:ind w:left="283" w:hanging="283"/>
        <w:rPr>
          <w:rFonts w:ascii="Times New Roman" w:hAnsi="Times New Roman" w:cs="Times New Roman"/>
          <w:b w:val="0"/>
          <w:i w:val="0"/>
          <w:sz w:val="16"/>
          <w:u w:val="none"/>
        </w:rPr>
      </w:pPr>
    </w:p>
    <w:p>
      <w:pPr>
        <w:ind w:left="283" w:hanging="283"/>
        <w:jc w:val="both"/>
        <w:rPr>
          <w:rFonts w:ascii="Times New Roman" w:hAnsi="Times New Roman" w:cs="Times New Roman"/>
          <w:b w:val="0"/>
          <w:i w:val="0"/>
          <w:u w:val="none"/>
        </w:rPr>
      </w:pPr>
      <w:r>
        <w:rPr>
          <w:rFonts w:ascii="Times New Roman" w:hAnsi="Times New Roman" w:cs="Times New Roman"/>
          <w:b/>
          <w:i w:val="0"/>
          <w:u w:val="none"/>
        </w:rPr>
        <w:t>3.</w:t>
        <w:tab/>
        <w:t>Problematika návrhu zákona:</w:t>
      </w:r>
    </w:p>
    <w:p>
      <w:pPr>
        <w:ind w:left="283" w:hanging="283"/>
        <w:jc w:val="both"/>
        <w:rPr>
          <w:rFonts w:ascii="Times New Roman" w:hAnsi="Times New Roman" w:cs="Times New Roman"/>
          <w:b/>
          <w:i w:val="0"/>
          <w:u w:val="none"/>
        </w:rPr>
      </w:pPr>
    </w:p>
    <w:p>
      <w:pPr>
        <w:numPr>
          <w:ilvl w:val="0"/>
          <w:numId w:val="1"/>
        </w:numPr>
        <w:tabs>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nie je upravená v primárnom práve Európskych spoločenstiev; je upravená v sekundárnom  práve Európskych spoločenstiev, v Smernici EP a Rady 2006/24/ES z 15. marca 2006 o uchovávaní údajov vytvorených alebo spracovaných v súvislosti s poskytovaním verejne dostupných elektronických komunikačných služieb alebo verejných komunikačných sietí a o zmene a doplnení smernice 2002/58/ES,</w:t>
      </w:r>
    </w:p>
    <w:p>
      <w:pPr>
        <w:numPr>
          <w:ilvl w:val="0"/>
          <w:numId w:val="2"/>
        </w:numPr>
        <w:tabs>
          <w:tab w:val="left" w:pos="540"/>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 xml:space="preserve">nie je upravená v primárnom ani v sekundárnom práve Európskej únie, </w:t>
      </w:r>
    </w:p>
    <w:p>
      <w:pPr>
        <w:numPr>
          <w:ilvl w:val="0"/>
          <w:numId w:val="3"/>
        </w:numPr>
        <w:tabs>
          <w:tab w:val="left" w:pos="720"/>
        </w:tabs>
        <w:ind w:left="720" w:hanging="360"/>
        <w:jc w:val="both"/>
        <w:rPr>
          <w:rFonts w:ascii="Times New Roman" w:hAnsi="Times New Roman" w:cs="Times New Roman"/>
          <w:b/>
          <w:i w:val="0"/>
          <w:u w:val="none"/>
        </w:rPr>
      </w:pPr>
      <w:r>
        <w:rPr>
          <w:rFonts w:ascii="Times New Roman" w:hAnsi="Times New Roman" w:cs="Times New Roman"/>
          <w:b w:val="0"/>
          <w:i w:val="0"/>
          <w:u w:val="none"/>
        </w:rPr>
        <w:t>nie je obsiahnutá v judikatúre Súdneho dvora Európskych spoločenstiev alebo Súdu prvého stupňa Európskych spoločenstiev.</w:t>
      </w:r>
    </w:p>
    <w:p>
      <w:pPr>
        <w:ind w:left="283" w:hanging="283"/>
        <w:jc w:val="both"/>
        <w:rPr>
          <w:rFonts w:ascii="Times New Roman" w:hAnsi="Times New Roman" w:cs="Times New Roman"/>
          <w:b/>
          <w:i w:val="0"/>
          <w:u w:val="none"/>
        </w:rPr>
      </w:pPr>
    </w:p>
    <w:p>
      <w:pPr>
        <w:ind w:left="283" w:hanging="283"/>
        <w:jc w:val="both"/>
        <w:rPr>
          <w:rFonts w:ascii="Times New Roman" w:hAnsi="Times New Roman" w:cs="Times New Roman"/>
          <w:b/>
          <w:i w:val="0"/>
          <w:u w:val="none"/>
        </w:rPr>
      </w:pPr>
      <w:r>
        <w:rPr>
          <w:rFonts w:ascii="Times New Roman" w:hAnsi="Times New Roman" w:cs="Times New Roman"/>
          <w:b/>
          <w:i w:val="0"/>
          <w:u w:val="none"/>
        </w:rPr>
        <w:t>4. Záväzky Slovenskej republiky vo vzťahu k Európskym spoločenstvám a Európskej únii:</w:t>
      </w:r>
    </w:p>
    <w:p>
      <w:pPr>
        <w:ind w:left="283" w:hanging="283"/>
        <w:jc w:val="both"/>
        <w:rPr>
          <w:rFonts w:ascii="Times New Roman" w:hAnsi="Times New Roman" w:cs="Times New Roman"/>
          <w:b/>
          <w:i w:val="0"/>
          <w:u w:val="none"/>
        </w:rPr>
      </w:pPr>
    </w:p>
    <w:p>
      <w:pPr>
        <w:numPr>
          <w:ilvl w:val="0"/>
          <w:numId w:val="4"/>
        </w:numPr>
        <w:tabs>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nevyplývajú žiadne záväzky z  Aktu o podmienkach pristúpenia pripojenom k Zmluve o pristúpení Slovenskej republiky k Európskej únii,</w:t>
      </w:r>
    </w:p>
    <w:p>
      <w:pPr>
        <w:numPr>
          <w:ilvl w:val="0"/>
          <w:numId w:val="5"/>
        </w:numPr>
        <w:tabs>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nevyplývajú záväzky z prechodných období vyplývajúcich z Aktu o podmienkach pristúpenia pripojenom k Zmluve o pristúpení Slovenskej republiky k Európskej únii,</w:t>
      </w:r>
    </w:p>
    <w:p>
      <w:pPr>
        <w:numPr>
          <w:ilvl w:val="0"/>
          <w:numId w:val="6"/>
        </w:numPr>
        <w:tabs>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 xml:space="preserve">lehota na prebratie smernice na dosiahnutie súladu slovenského právneho poriadku so smernicou 2006/24/ES je do 15. septembra 2007. </w:t>
      </w:r>
    </w:p>
    <w:p>
      <w:pPr>
        <w:numPr>
          <w:ilvl w:val="0"/>
          <w:numId w:val="7"/>
        </w:numPr>
        <w:tabs>
          <w:tab w:val="left" w:pos="720"/>
        </w:tabs>
        <w:ind w:left="720" w:hanging="360"/>
        <w:jc w:val="both"/>
        <w:rPr>
          <w:rFonts w:ascii="Times New Roman" w:hAnsi="Times New Roman" w:cs="Times New Roman"/>
          <w:b w:val="0"/>
          <w:i w:val="0"/>
          <w:u w:val="none"/>
        </w:rPr>
      </w:pPr>
      <w:r>
        <w:rPr>
          <w:rFonts w:ascii="Times New Roman" w:hAnsi="Times New Roman" w:cs="Times New Roman"/>
          <w:b w:val="0"/>
          <w:i w:val="0"/>
          <w:u w:val="none"/>
        </w:rPr>
        <w:t>v danej oblasti transpozície nebolo začaté konanie proti Slovenskej republike o porušení Zmluvy o založení Európskych spoločenstiev podľa čl. 226 až 228 Zmluvy o založení Európskych spoločenstiev v platnom znení.</w:t>
      </w:r>
    </w:p>
    <w:p>
      <w:pPr>
        <w:jc w:val="both"/>
        <w:rPr>
          <w:rFonts w:ascii="Times New Roman" w:hAnsi="Times New Roman" w:cs="Times New Roman"/>
          <w:b w:val="0"/>
          <w:i w:val="0"/>
          <w:sz w:val="16"/>
          <w:u w:val="none"/>
        </w:rPr>
      </w:pPr>
    </w:p>
    <w:p>
      <w:pPr>
        <w:ind w:left="283" w:hanging="283"/>
        <w:jc w:val="both"/>
        <w:rPr>
          <w:rFonts w:ascii="Times New Roman" w:hAnsi="Times New Roman" w:cs="Times New Roman"/>
          <w:b/>
          <w:i w:val="0"/>
          <w:u w:val="none"/>
        </w:rPr>
      </w:pPr>
      <w:r>
        <w:rPr>
          <w:rFonts w:ascii="Times New Roman" w:hAnsi="Times New Roman" w:cs="Times New Roman"/>
          <w:b/>
          <w:i w:val="0"/>
          <w:u w:val="none"/>
        </w:rPr>
        <w:t>5.</w:t>
        <w:tab/>
        <w:t xml:space="preserve">Stupeň zlučiteľnosti návrhu zákona s právom Európskej únie a právom Európskych spoločenstiev: </w:t>
      </w:r>
      <w:r>
        <w:rPr>
          <w:rFonts w:ascii="Times New Roman" w:hAnsi="Times New Roman" w:cs="Times New Roman"/>
          <w:b w:val="0"/>
          <w:i w:val="0"/>
          <w:u w:val="none"/>
        </w:rPr>
        <w:t>úplný.</w:t>
      </w:r>
    </w:p>
    <w:p>
      <w:pPr>
        <w:ind w:left="283" w:hanging="283"/>
        <w:rPr>
          <w:rFonts w:ascii="Times New Roman" w:hAnsi="Times New Roman" w:cs="Times New Roman"/>
          <w:b w:val="0"/>
          <w:i w:val="0"/>
          <w:u w:val="none"/>
        </w:rPr>
      </w:pPr>
    </w:p>
    <w:p>
      <w:pPr>
        <w:ind w:left="283" w:hanging="283"/>
        <w:rPr>
          <w:rFonts w:ascii="Times New Roman" w:hAnsi="Times New Roman" w:cs="Times New Roman"/>
          <w:b w:val="0"/>
          <w:i w:val="0"/>
          <w:u w:val="none"/>
        </w:rPr>
      </w:pPr>
      <w:r>
        <w:rPr>
          <w:rFonts w:ascii="Times New Roman" w:hAnsi="Times New Roman" w:cs="Times New Roman"/>
          <w:b/>
          <w:i w:val="0"/>
          <w:u w:val="none"/>
        </w:rPr>
        <w:t>6.</w:t>
        <w:tab/>
        <w:t>Gestor a spolupracujúce rezorty:</w:t>
      </w:r>
      <w:r>
        <w:rPr>
          <w:rFonts w:ascii="Times New Roman" w:hAnsi="Times New Roman" w:cs="Times New Roman"/>
          <w:b w:val="0"/>
          <w:i w:val="0"/>
          <w:u w:val="none"/>
        </w:rPr>
        <w:t xml:space="preserve"> Ministerstvo dopravy, pôšt a telekomunikácií SR .</w:t>
      </w:r>
    </w:p>
    <w:p>
      <w:pPr>
        <w:jc w:val="both"/>
        <w:rPr>
          <w:rFonts w:ascii="Times New Roman" w:hAnsi="Times New Roman" w:cs="Times New Roman"/>
          <w:b/>
          <w:i w:val="0"/>
          <w:u w:val="none"/>
        </w:rPr>
      </w:pPr>
      <w:r>
        <w:rPr>
          <w:rFonts w:ascii="Times New Roman" w:hAnsi="Times New Roman" w:cs="Times New Roman"/>
          <w:b/>
          <w:i w:val="0"/>
          <w:sz w:val="32"/>
          <w:u w:val="single"/>
        </w:rPr>
        <w:br w:type="page"/>
      </w:r>
      <w:r>
        <w:rPr>
          <w:rFonts w:ascii="Times New Roman" w:hAnsi="Times New Roman" w:cs="Times New Roman"/>
          <w:b/>
          <w:i w:val="0"/>
          <w:u w:val="none"/>
        </w:rPr>
        <w:t>Osobitná časť</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Článok I</w:t>
      </w:r>
    </w:p>
    <w:p>
      <w:pPr>
        <w:jc w:val="both"/>
        <w:rPr>
          <w:rFonts w:ascii="Times New Roman" w:hAnsi="Times New Roman" w:cs="Times New Roman"/>
          <w:b/>
          <w:i/>
          <w:u w:val="none"/>
        </w:rPr>
      </w:pPr>
    </w:p>
    <w:p>
      <w:pPr>
        <w:jc w:val="both"/>
        <w:rPr>
          <w:rFonts w:ascii="Times New Roman" w:hAnsi="Times New Roman" w:cs="Times New Roman"/>
          <w:b/>
          <w:i w:val="0"/>
          <w:u w:val="none"/>
        </w:rPr>
      </w:pPr>
      <w:r>
        <w:rPr>
          <w:rFonts w:ascii="Times New Roman" w:hAnsi="Times New Roman" w:cs="Times New Roman"/>
          <w:b/>
          <w:i w:val="0"/>
          <w:u w:val="none"/>
        </w:rPr>
        <w:t xml:space="preserve">K bodu 1 </w:t>
      </w:r>
    </w:p>
    <w:p>
      <w:pPr>
        <w:jc w:val="both"/>
        <w:rPr>
          <w:rFonts w:ascii="Times New Roman" w:hAnsi="Times New Roman" w:cs="Times New Roman"/>
          <w:b w:val="0"/>
          <w:i w:val="0"/>
          <w:u w:val="none"/>
        </w:rPr>
      </w:pPr>
      <w:r>
        <w:rPr>
          <w:rFonts w:ascii="Times New Roman" w:hAnsi="Times New Roman" w:cs="Times New Roman"/>
          <w:b w:val="0"/>
          <w:i w:val="0"/>
          <w:u w:val="none"/>
        </w:rPr>
        <w:t>Doplnenie existujúceho znenia ustanovenia má za cieľ odstrániť nejasnosti týkajúce sa režimu podnikania pri poskytovaní elektronických komunikačných sietí a/alebo služieb.</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2</w:t>
      </w:r>
    </w:p>
    <w:p>
      <w:pPr>
        <w:jc w:val="both"/>
        <w:rPr>
          <w:rFonts w:ascii="Times New Roman" w:hAnsi="Times New Roman" w:cs="Times New Roman"/>
          <w:b w:val="0"/>
          <w:i w:val="0"/>
          <w:u w:val="none"/>
        </w:rPr>
      </w:pPr>
      <w:r>
        <w:rPr>
          <w:rFonts w:ascii="Times New Roman" w:hAnsi="Times New Roman" w:cs="Times New Roman"/>
          <w:b w:val="0"/>
          <w:i w:val="0"/>
          <w:u w:val="none"/>
        </w:rPr>
        <w:t>Definícia pojmu služby s pridanou hodnotou je prevzatá zo Smernice EP a Rady č. 2002/58/ES o spracovaní osobných údajov a ochrane súkromia v sektore elektronických komunikácií (Smernica o súkromí a elektronických komunikáciách) a preto nepatrí do časti zákona o všeobecných pojmoch. Definícia služby s pridanou hodnotou sa navrhuje zaradiť do § 59 (bod 21 tejto novely zákona), kde koncepčne patrí a má slúžiť práve na účely § 59.</w:t>
      </w:r>
    </w:p>
    <w:p>
      <w:pPr>
        <w:jc w:val="both"/>
        <w:rPr>
          <w:rFonts w:ascii="Times New Roman" w:hAnsi="Times New Roman" w:cs="Times New Roman"/>
          <w:b/>
          <w:i/>
          <w:u w:val="none"/>
        </w:rPr>
      </w:pPr>
    </w:p>
    <w:p>
      <w:pPr>
        <w:jc w:val="both"/>
        <w:rPr>
          <w:rFonts w:ascii="Times New Roman" w:hAnsi="Times New Roman" w:cs="Times New Roman"/>
          <w:b/>
          <w:i w:val="0"/>
          <w:u w:val="none"/>
        </w:rPr>
      </w:pPr>
      <w:r>
        <w:rPr>
          <w:rFonts w:ascii="Times New Roman" w:hAnsi="Times New Roman" w:cs="Times New Roman"/>
          <w:b/>
          <w:i w:val="0"/>
          <w:u w:val="none"/>
        </w:rPr>
        <w:t>K bodu 3</w:t>
      </w:r>
    </w:p>
    <w:p>
      <w:pPr>
        <w:jc w:val="both"/>
        <w:rPr>
          <w:rFonts w:ascii="Times New Roman" w:hAnsi="Times New Roman" w:cs="Times New Roman"/>
          <w:b w:val="0"/>
          <w:i w:val="0"/>
          <w:u w:val="none"/>
        </w:rPr>
      </w:pPr>
      <w:r>
        <w:rPr>
          <w:rFonts w:ascii="Times New Roman" w:hAnsi="Times New Roman" w:cs="Times New Roman"/>
          <w:b w:val="0"/>
          <w:i w:val="0"/>
          <w:u w:val="none"/>
        </w:rPr>
        <w:t>Navrhované ustanovenie upravuje text vzhľadom na skutočnosť, že ministerstvo zastupuje Slovenskú republiku len v rezortných organizáciách a nie mimovládnych organizáciách.</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4</w:t>
      </w:r>
    </w:p>
    <w:p>
      <w:pPr>
        <w:jc w:val="both"/>
        <w:rPr>
          <w:rFonts w:ascii="Times New Roman" w:hAnsi="Times New Roman" w:cs="Times New Roman"/>
          <w:b w:val="0"/>
          <w:i w:val="0"/>
          <w:u w:val="none"/>
        </w:rPr>
      </w:pPr>
      <w:r>
        <w:rPr>
          <w:rFonts w:ascii="Times New Roman" w:hAnsi="Times New Roman" w:cs="Times New Roman"/>
          <w:b w:val="0"/>
          <w:i w:val="0"/>
          <w:u w:val="none"/>
        </w:rPr>
        <w:t>Ustanovenie precizuje doterajšie znenie, aby nedochádzalo k rozdielnym výkladom v rámci cenovej regulácie.</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5</w:t>
      </w:r>
    </w:p>
    <w:p>
      <w:pPr>
        <w:jc w:val="both"/>
        <w:rPr>
          <w:rFonts w:ascii="Times New Roman" w:hAnsi="Times New Roman" w:cs="Times New Roman"/>
          <w:b w:val="0"/>
          <w:i w:val="0"/>
          <w:u w:val="none"/>
        </w:rPr>
      </w:pPr>
      <w:r>
        <w:rPr>
          <w:rFonts w:ascii="Times New Roman" w:hAnsi="Times New Roman" w:cs="Times New Roman"/>
          <w:b w:val="0"/>
          <w:i w:val="0"/>
          <w:u w:val="none"/>
        </w:rPr>
        <w:t>Ustanovenie odstraňuje nejasnosti týkajúce sa režimu podnikania pri poskytovaní elektronických komunikačných služieb tým, že rieši okamih vzniku oprávnenia na podnikanie, ktorý je dôležitý z hľadiska plnenia povinností podnikateľom vyplývajúcich z osobitných predpisov (registračná povinnosť daňového subjektu, registrácia v systéme zdravotného poistenia).</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6</w:t>
      </w:r>
    </w:p>
    <w:p>
      <w:pPr>
        <w:jc w:val="both"/>
        <w:rPr>
          <w:rFonts w:ascii="Times New Roman" w:hAnsi="Times New Roman" w:cs="Times New Roman"/>
          <w:b w:val="0"/>
          <w:i w:val="0"/>
          <w:u w:val="none"/>
        </w:rPr>
      </w:pPr>
      <w:r>
        <w:rPr>
          <w:rFonts w:ascii="Times New Roman" w:hAnsi="Times New Roman" w:cs="Times New Roman"/>
          <w:b w:val="0"/>
          <w:i w:val="0"/>
          <w:u w:val="none"/>
        </w:rPr>
        <w:t>Navrhuje sa spresniť ustanovenie, nakoľko osoba oznamujúca úradu svoj zámer ešte nie je podnikom v zmysle zákona o elektronických komunikáciách. Tým je podľa § 4 ods. 8 zákona „každá osoba, ktorá je oprávnená poskytovať sieť, službu alebo sieť a službu“, pričom podľa § 13 ods. 7 zákona „Podnik má právo poskytovať siete, služby alebo siete a služby, ak spĺňa podmienky povolenia a splnil oznamovaciu povinnosť.“ Osoba oznamujúca úradu svoj zámer získava oprávnenie poskytovať siete alebo služby a stáva sa podnikom až po zaevidovaní náležitého oznámenia úradom.</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7</w:t>
      </w:r>
    </w:p>
    <w:p>
      <w:pPr>
        <w:jc w:val="both"/>
        <w:rPr>
          <w:rFonts w:ascii="Times New Roman" w:hAnsi="Times New Roman" w:cs="Times New Roman"/>
          <w:b w:val="0"/>
          <w:i w:val="0"/>
          <w:u w:val="none"/>
        </w:rPr>
      </w:pPr>
      <w:r>
        <w:rPr>
          <w:rFonts w:ascii="Times New Roman" w:hAnsi="Times New Roman" w:cs="Times New Roman"/>
          <w:b w:val="0"/>
          <w:i w:val="0"/>
          <w:u w:val="none"/>
        </w:rPr>
        <w:t xml:space="preserve">Návrh nového ustanovenia precizuje práva úradu v súvislosti s evidenciou podnikov -poskytovateľov sietí a/alebo služieb elektronických komunikácií a následne právom úradu vymazať podnik z evidencie v prípadoch, kedy podniky si neplnia svoju povinnosť podľa § 14 ods.1, t.j. oznámiť, že prestali poskytovať siete/služby. </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8</w:t>
      </w:r>
    </w:p>
    <w:p>
      <w:pPr>
        <w:jc w:val="both"/>
        <w:rPr>
          <w:rFonts w:ascii="Times New Roman" w:hAnsi="Times New Roman" w:cs="Times New Roman"/>
          <w:b w:val="0"/>
          <w:i w:val="0"/>
          <w:u w:val="none"/>
        </w:rPr>
      </w:pPr>
      <w:r>
        <w:rPr>
          <w:rFonts w:ascii="Times New Roman" w:hAnsi="Times New Roman" w:cs="Times New Roman"/>
          <w:b w:val="0"/>
          <w:i w:val="0"/>
          <w:u w:val="none"/>
        </w:rPr>
        <w:t>Ustanovuje sa okamih začatia plynutia dvojročnej lehoty tak, aby účinky uložených špecifických povinností mohli v skutočnosti aj nastať a v rámci nasledujúcej analýzy ich aj posúdiť.</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9</w:t>
      </w:r>
    </w:p>
    <w:p>
      <w:pPr>
        <w:jc w:val="both"/>
        <w:rPr>
          <w:rFonts w:ascii="Times New Roman" w:hAnsi="Times New Roman" w:cs="Times New Roman"/>
          <w:b w:val="0"/>
          <w:i w:val="0"/>
          <w:u w:val="none"/>
        </w:rPr>
      </w:pPr>
      <w:r>
        <w:rPr>
          <w:rFonts w:ascii="Times New Roman" w:hAnsi="Times New Roman" w:cs="Times New Roman"/>
          <w:b w:val="0"/>
          <w:i w:val="0"/>
          <w:u w:val="none"/>
        </w:rPr>
        <w:t>Návrh upresňuje znenie ustanovenia tak, aby bolo nespochybniteľné právo úradu meniť referenčnú ponuku aj na základe povinností špecifikovaných v rozhodnutí úradu vydanom na základe zákona.</w:t>
      </w:r>
    </w:p>
    <w:p>
      <w:pPr>
        <w:jc w:val="both"/>
        <w:rPr>
          <w:rFonts w:ascii="Times New Roman" w:hAnsi="Times New Roman" w:cs="Times New Roman"/>
          <w:b w:val="0"/>
          <w:i w:val="0"/>
          <w:u w:val="none"/>
        </w:rPr>
      </w:pPr>
    </w:p>
    <w:p>
      <w:pPr>
        <w:keepNext/>
        <w:jc w:val="both"/>
        <w:rPr>
          <w:rFonts w:ascii="Times New Roman" w:hAnsi="Times New Roman" w:cs="Times New Roman"/>
          <w:b/>
          <w:i w:val="0"/>
          <w:u w:val="none"/>
        </w:rPr>
      </w:pPr>
      <w:r>
        <w:rPr>
          <w:rFonts w:ascii="Times New Roman" w:hAnsi="Times New Roman" w:cs="Times New Roman"/>
          <w:b/>
          <w:i w:val="0"/>
          <w:u w:val="none"/>
        </w:rPr>
        <w:t>K bodu 10 až 12</w:t>
      </w:r>
    </w:p>
    <w:p>
      <w:pPr>
        <w:spacing w:after="120"/>
        <w:jc w:val="both"/>
        <w:rPr>
          <w:rFonts w:ascii="Times New Roman" w:hAnsi="Times New Roman" w:cs="Times New Roman"/>
          <w:b w:val="0"/>
          <w:i w:val="0"/>
          <w:u w:val="none"/>
        </w:rPr>
      </w:pPr>
      <w:r>
        <w:rPr>
          <w:rFonts w:ascii="Times New Roman" w:hAnsi="Times New Roman" w:cs="Times New Roman"/>
          <w:b w:val="0"/>
          <w:i w:val="0"/>
          <w:u w:val="none"/>
        </w:rPr>
        <w:t>Účinné znenie zákona v § 22 primerane transponuje článok 13 ods. 1 až 4 Smernice o prístupe. Úrad je podľa § 22 ods. 3 oprávnený uložiť podniku úpravu cien za prístup avšak až po dodržaní stanoveného postupu a pravidiel upravených v predchádzajúcich odsekoch uvedeného § 22. Upresnenie znenia sa navrhuje, aby sa predišlo rôznemu výkladu o spôsobe a forme uplatňovania regulácie cien.</w:t>
      </w:r>
    </w:p>
    <w:p>
      <w:pPr>
        <w:spacing w:after="120"/>
        <w:rPr>
          <w:rFonts w:ascii="Times New Roman" w:hAnsi="Times New Roman" w:cs="Times New Roman"/>
          <w:b w:val="0"/>
          <w:i w:val="0"/>
          <w:u w:val="none"/>
        </w:rPr>
      </w:pPr>
      <w:r>
        <w:rPr>
          <w:rFonts w:ascii="Times New Roman" w:hAnsi="Times New Roman" w:cs="Times New Roman"/>
          <w:b w:val="0"/>
          <w:i w:val="0"/>
          <w:u w:val="none"/>
        </w:rPr>
        <w:t>Podobne aj v § 24 a 27 sa pristúpilo k legislatívnemu upresneniu znenia, aby nedochádzalo k rôznemu výkladu a spochybňovaniu uplatneného nástroja cenovej regulácie.</w:t>
      </w:r>
    </w:p>
    <w:p>
      <w:pPr>
        <w:jc w:val="both"/>
        <w:rPr>
          <w:rFonts w:ascii="Times New Roman" w:hAnsi="Times New Roman" w:cs="Times New Roman"/>
          <w:b/>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13</w:t>
      </w:r>
    </w:p>
    <w:p>
      <w:pPr>
        <w:jc w:val="both"/>
        <w:rPr>
          <w:rFonts w:ascii="Times New Roman" w:hAnsi="Times New Roman" w:cs="Times New Roman"/>
          <w:b w:val="0"/>
          <w:i w:val="0"/>
          <w:u w:val="none"/>
        </w:rPr>
      </w:pPr>
      <w:r>
        <w:rPr>
          <w:rFonts w:ascii="Times New Roman" w:hAnsi="Times New Roman" w:cs="Times New Roman"/>
          <w:b w:val="0"/>
          <w:i w:val="0"/>
          <w:u w:val="none"/>
        </w:rPr>
        <w:t>Na základe skúseností z praxe sa navrhuje upresniť formu predloženia uzatvorenej zmluvy o prepojení sietí medzi podnikmi úradu. Zároveň sa zakotvuje povinnosť zverejňovať uzatvorené zmluvy o prístupe, keďže prepojenie je len jeden z druhov prístupu (§ 4 ods. 9). Je nevyhnutné pre reguláciu ako aj kontrolu plnenia povinností, aby úrad mal prehľad o cenách a technických podmienkach nielen prepojenia, ale aj prístupu, či už sú to zmluvy o prístupe k účastníckemu vedeniu, pevným sieťam a mobilným sieťam, k službám roamingu, systémom podmieneného prístupu na služby digitálnej televízie a k službám virtuálnych sietí.</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14</w:t>
      </w:r>
    </w:p>
    <w:p>
      <w:pPr>
        <w:jc w:val="both"/>
        <w:rPr>
          <w:rFonts w:ascii="TimesNewRomanPSMT" w:hAnsi="TimesNewRomanPSMT" w:cs="Times New Roman"/>
          <w:b w:val="0"/>
          <w:i w:val="0"/>
          <w:sz w:val="28"/>
          <w:u w:val="none"/>
        </w:rPr>
      </w:pPr>
      <w:r>
        <w:rPr>
          <w:rFonts w:ascii="Times New Roman" w:hAnsi="Times New Roman" w:cs="Times New Roman"/>
          <w:b w:val="0"/>
          <w:i w:val="0"/>
          <w:u w:val="none"/>
        </w:rPr>
        <w:t>Ide o spresnenie ustanovenia, ktorým sa umožní úradu prideľovať nepoužívané čísla okamžite po strate platnosti predchádzajúceho rozhodnutia o pridelení tohto čísla (bez ochrannej lehoty šiestich mesiacov, ktorá sa vzťahuje len na používané čísla pred stratou platnosti rozhodnutia o pridelení tohto čísla).</w:t>
      </w:r>
    </w:p>
    <w:p>
      <w:pPr>
        <w:jc w:val="both"/>
        <w:rPr>
          <w:rFonts w:ascii="Times New Roman" w:hAnsi="Times New Roman" w:cs="Times New Roman"/>
          <w:b/>
          <w:i/>
          <w:u w:val="none"/>
        </w:rPr>
      </w:pPr>
    </w:p>
    <w:p>
      <w:pPr>
        <w:jc w:val="both"/>
        <w:rPr>
          <w:rFonts w:ascii="Times New Roman" w:hAnsi="Times New Roman" w:cs="Times New Roman"/>
          <w:b/>
          <w:i w:val="0"/>
          <w:u w:val="none"/>
        </w:rPr>
      </w:pPr>
      <w:r>
        <w:rPr>
          <w:rFonts w:ascii="Times New Roman" w:hAnsi="Times New Roman" w:cs="Times New Roman"/>
          <w:b/>
          <w:i w:val="0"/>
          <w:u w:val="none"/>
        </w:rPr>
        <w:t>K bodu 15</w:t>
      </w:r>
    </w:p>
    <w:p>
      <w:pPr>
        <w:jc w:val="both"/>
        <w:rPr>
          <w:rFonts w:ascii="Times New Roman" w:hAnsi="Times New Roman" w:cs="Times New Roman"/>
          <w:b w:val="0"/>
          <w:i w:val="0"/>
          <w:u w:val="none"/>
        </w:rPr>
      </w:pPr>
      <w:r>
        <w:rPr>
          <w:rFonts w:ascii="Times New Roman" w:hAnsi="Times New Roman" w:cs="Times New Roman"/>
          <w:b w:val="0"/>
          <w:i w:val="0"/>
          <w:u w:val="none"/>
        </w:rPr>
        <w:t>Ide o doplnenie textu, ktorý zo zákona omylom vypadol pri jeho poslednej novelizácii. Pri prideľovaní frekvencií v praxi je veľmi často potrebné z dôvodu nerušenej prevádzky rádiových zariadení koordinovať frekvencie s administráciami susedných štátov. Tieto koordinácie sa uskutočňujú na základe bilaterálnych alebo multilaterálnych dohôd, ktoré vo svojich procedúrach vyžadujú časový priestor pre vybavenie koordinačných požiadaviek nad rámec stanovenej lehoty šiestich týždňov.</w:t>
      </w:r>
    </w:p>
    <w:p>
      <w:pPr>
        <w:jc w:val="both"/>
        <w:rPr>
          <w:rFonts w:ascii="Times New Roman" w:hAnsi="Times New Roman" w:cs="Times New Roman"/>
          <w:b/>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16 a 17</w:t>
      </w:r>
    </w:p>
    <w:p>
      <w:pPr>
        <w:jc w:val="both"/>
        <w:rPr>
          <w:rFonts w:ascii="Times New Roman" w:hAnsi="Times New Roman" w:cs="Times New Roman"/>
          <w:b w:val="0"/>
          <w:i w:val="0"/>
          <w:u w:val="none"/>
        </w:rPr>
      </w:pPr>
      <w:r>
        <w:rPr>
          <w:rFonts w:ascii="Times New Roman" w:hAnsi="Times New Roman" w:cs="Times New Roman"/>
          <w:b w:val="0"/>
          <w:i w:val="0"/>
          <w:u w:val="none"/>
        </w:rPr>
        <w:t>Na základe skúseností z praxe sa navrhuje upresniť text, ktorým sa precizuje postup pri výberom konaní na pridelenie frekvencií, aby nebol možný dvojaký výklad. Každá žiadosť o pridelenie frekvencií do výberového konania je žiadosťou v správnom konaní a aj vylúčení účastníci výberového konania sa považujú za neúspešných účastníkov, rovnako ako tí, ktorí neboli vylúčení, ale sa umiestnili na miestach, na ktorých už nie je možné frekvencie prideliť. V praxi môže nastať prípad, kedy úrad začne konanie vo veci pridelenia frekvencií s ďalším účastníkom výberového konania podľa pôvodného poradia stanoveného komisiou (ak úspešný účastník výberového konania vezme svoju žiadosť späť pred vydaním rozhodnutia o pridelení frekvencií alebo sa pridelenia frekvencií vzdá alebo úrad rozhodnutie o pridelení frekvencií zruší pretože nebola uhradená jednorazová úhrada za pridelenie frekvencií v lehote splatnosti). Na základe okolností uvedených v zákone môže sa z neúspešného účastníka stať úspešný účastník výberového konania.</w:t>
      </w:r>
    </w:p>
    <w:p>
      <w:pPr>
        <w:jc w:val="both"/>
        <w:rPr>
          <w:rFonts w:ascii="Times New Roman" w:hAnsi="Times New Roman" w:cs="Times New Roman"/>
          <w:b w:val="0"/>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18</w:t>
      </w:r>
    </w:p>
    <w:p>
      <w:pPr>
        <w:jc w:val="both"/>
        <w:rPr>
          <w:rFonts w:ascii="Times New Roman" w:hAnsi="Times New Roman" w:cs="Times New Roman"/>
          <w:b w:val="0"/>
          <w:i w:val="0"/>
          <w:u w:val="none"/>
        </w:rPr>
      </w:pPr>
      <w:r>
        <w:rPr>
          <w:rFonts w:ascii="Times New Roman" w:hAnsi="Times New Roman" w:cs="Times New Roman"/>
          <w:b w:val="0"/>
          <w:i w:val="0"/>
          <w:u w:val="none"/>
        </w:rPr>
        <w:t>Ide o upresnenie podmienok pre vydanie individuálneho povolenia na používanie frekvencií v nadväznosti na oprávnenie podniku previesť svoje práva inému podniku podľa § 22 a §23 zákona. (Oprávnenie previesť svoje práva na používanie frekvencií na iný podnik bola do zákona doplnená pri jeho poslednej novelizácii).</w:t>
      </w:r>
    </w:p>
    <w:p>
      <w:pPr>
        <w:jc w:val="both"/>
        <w:rPr>
          <w:rFonts w:ascii="Times New Roman" w:hAnsi="Times New Roman" w:cs="Times New Roman"/>
          <w:b/>
          <w:i/>
          <w:u w:val="none"/>
        </w:rPr>
      </w:pPr>
    </w:p>
    <w:p>
      <w:pPr>
        <w:jc w:val="both"/>
        <w:rPr>
          <w:rFonts w:ascii="Times New Roman" w:hAnsi="Times New Roman" w:cs="Times New Roman"/>
          <w:b/>
          <w:i w:val="0"/>
          <w:u w:val="none"/>
        </w:rPr>
      </w:pPr>
      <w:r>
        <w:rPr>
          <w:rFonts w:ascii="Times New Roman" w:hAnsi="Times New Roman" w:cs="Times New Roman"/>
          <w:b/>
          <w:i w:val="0"/>
          <w:u w:val="none"/>
        </w:rPr>
        <w:t>K bodu 19 až 22</w:t>
      </w:r>
    </w:p>
    <w:p>
      <w:pPr>
        <w:jc w:val="both"/>
        <w:rPr>
          <w:rFonts w:ascii="Times New Roman" w:hAnsi="Times New Roman" w:cs="Times New Roman"/>
          <w:b w:val="0"/>
          <w:i w:val="0"/>
          <w:u w:val="none"/>
        </w:rPr>
      </w:pPr>
      <w:r>
        <w:rPr>
          <w:rFonts w:ascii="Times New Roman" w:hAnsi="Times New Roman" w:cs="Times New Roman"/>
          <w:b w:val="0"/>
          <w:i w:val="0"/>
          <w:u w:val="none"/>
        </w:rPr>
        <w:t>Návrhy na doplnenie textu precizujú súčasné znenie zákona na základe skúsenosti z praxe.</w:t>
      </w:r>
    </w:p>
    <w:p>
      <w:pPr>
        <w:jc w:val="both"/>
        <w:rPr>
          <w:rFonts w:ascii="Times New Roman" w:hAnsi="Times New Roman" w:cs="Times New Roman"/>
          <w:b/>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23</w:t>
      </w:r>
    </w:p>
    <w:p>
      <w:pPr>
        <w:jc w:val="both"/>
        <w:rPr>
          <w:rFonts w:ascii="Times New Roman" w:hAnsi="Times New Roman" w:cs="Times New Roman"/>
          <w:b w:val="0"/>
          <w:i w:val="0"/>
          <w:u w:val="none"/>
        </w:rPr>
      </w:pPr>
      <w:r>
        <w:rPr>
          <w:rFonts w:ascii="Times New Roman" w:hAnsi="Times New Roman" w:cs="Times New Roman"/>
          <w:b w:val="0"/>
          <w:i w:val="0"/>
          <w:u w:val="none"/>
        </w:rPr>
        <w:t>Navrhované ustanovenie explicitne upravuje povinnosť získavať osobné údaje pri poskytovaní služieb a viesť ich evidenciu. Takáto prax je už zaužívaná medzi existujúcimi podnikmi a je podložená najmä nevyhnutnosťou jednoznačne identifikovať svojho účastníka z hľadiska zmluvného vzťahu založeného na zmluve o pripojení, ako aj potrebou jednoznačne identifikovať účastníka v rámci poskytovania zákonnej súčinnosti podľa §55 ods. 6 písm. b) a novo včleneného §59a (data retention). Ak by sa ponechalo pôvodné znenie, ktoré explicitne neustanovuje povinnosť získavať identifikačné údaje, môže dôjsť k opätovnej distribúcií služieb bez striktného dodržiavania povinnosti viesť registráciu všetkých a kompletných údajov o zákazníkovi, pretože súčasné znenie zákona možno vykladať aj tak, že registrácia by bola ponechaná na dobrovoľnosť registrácie z pohľadu účastníka a na povinnosť podniku viesť evidenciu iba tých údajov, ktoré sú mu dostupné, t.j. iba tie, ktoré účastník dobrovoľne poskytne pri registrácii.</w:t>
      </w:r>
    </w:p>
    <w:p>
      <w:pPr>
        <w:jc w:val="both"/>
        <w:rPr>
          <w:rFonts w:ascii="Times New Roman" w:hAnsi="Times New Roman" w:cs="Times New Roman"/>
          <w:b/>
          <w:i w:val="0"/>
          <w:u w:val="none"/>
        </w:rPr>
      </w:pPr>
    </w:p>
    <w:p>
      <w:pPr>
        <w:jc w:val="both"/>
        <w:rPr>
          <w:rFonts w:ascii="Times New Roman" w:hAnsi="Times New Roman" w:cs="Times New Roman"/>
          <w:b/>
          <w:i w:val="0"/>
          <w:u w:val="none"/>
        </w:rPr>
      </w:pPr>
      <w:r>
        <w:rPr>
          <w:rFonts w:ascii="Times New Roman" w:hAnsi="Times New Roman" w:cs="Times New Roman"/>
          <w:b/>
          <w:i w:val="0"/>
          <w:u w:val="none"/>
        </w:rPr>
        <w:t>K bodu 24</w:t>
      </w:r>
    </w:p>
    <w:p>
      <w:pPr>
        <w:jc w:val="both"/>
        <w:rPr>
          <w:rFonts w:ascii="Times New Roman" w:hAnsi="Times New Roman" w:cs="Times New Roman"/>
          <w:b w:val="0"/>
          <w:i w:val="0"/>
          <w:color w:val="000000"/>
          <w:u w:val="none"/>
        </w:rPr>
      </w:pPr>
      <w:r>
        <w:rPr>
          <w:rFonts w:ascii="Times New Roman" w:hAnsi="Times New Roman" w:cs="Times New Roman"/>
          <w:b w:val="0"/>
          <w:i w:val="0"/>
          <w:u w:val="none"/>
        </w:rPr>
        <w:t xml:space="preserve">Na základe skúseností z praxe sa navrhuje </w:t>
      </w:r>
      <w:r>
        <w:rPr>
          <w:rFonts w:ascii="Times New Roman" w:hAnsi="Times New Roman" w:cs="Times New Roman"/>
          <w:b w:val="0"/>
          <w:i w:val="0"/>
          <w:color w:val="000000"/>
          <w:u w:val="none"/>
        </w:rPr>
        <w:t>do zákona doplniť prekluzívnu lehotu, v rámci ktorej môže účastník právoplatne odstúpiť od zmluvy o pripojení. V súčasnosti platná právna úprava neupravuje lehotu, v rámci ktorej môže účastník uplatniť svoje právo na odstúpenie od zmluvy o pripojení. Uvedená skutočnosť spôsobuje u oboch zmluvných strán, významne však na strane podniku, právnu neistotu, nakoľko nie je vylúčené, že účastník bude aj po vykonanej podstatnej zmene zmluvných podmienok službu naďalej využívať, čím de facto túto zmenu konkludentne akceptuje, a až neskôr odstúpi od zmluvy o pripojení s odôvodnením, že podnik mu neoznámil podstatnú zmenu zmluvných podmienok.</w:t>
      </w:r>
    </w:p>
    <w:p>
      <w:pPr>
        <w:jc w:val="both"/>
        <w:rPr>
          <w:rFonts w:ascii="Times New Roman" w:hAnsi="Times New Roman" w:cs="Times New Roman"/>
          <w:b/>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25</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Ustanovenie upresňuje text takým spôsobom, aby bol jasný postup úradu v prípade, ak pristúpi k regulácii cien prenositeľnosti čísel.</w:t>
      </w:r>
    </w:p>
    <w:p>
      <w:pPr>
        <w:jc w:val="both"/>
        <w:rPr>
          <w:rFonts w:ascii="Times New Roman" w:hAnsi="Times New Roman" w:cs="Times New Roman"/>
          <w:b/>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26</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Navrhuje sa stanoviť „hranice“ poskytovania povinnosti poskytovania univerzálnej služby a zosúladiť znenie zákona s článkom 4 ods. 1 Smernice Európskeho parlamentu a Rady č. 2002/22/ES o univerzálnej službe a právach týkajúcich sa elektronických komunikačných sietí a služieb (Smernica univerzálnej služby), ktorý ustanovuje, že „Členské štáty musia zabezpečiť, aby bolo vyhovené všetkým primeraným požiadavkám („reasonable requests”) na pripojenie na pevnom mieste k verejnej telefónnej sieti a na prístup k verejne dostupným telefónnym službám na pevnom mieste aspoň jedným podnikom.“</w:t>
      </w:r>
    </w:p>
    <w:p>
      <w:pPr>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i w:val="0"/>
          <w:color w:val="auto"/>
          <w:u w:val="none"/>
        </w:rPr>
        <w:t>K bodu 27</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Navrhovaná zmena v §53 ods. 8, upresňuje transpozíciu článku 25 Smernice o univerzálnej službe v zákone.</w:t>
      </w:r>
    </w:p>
    <w:p>
      <w:pPr>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i w:val="0"/>
          <w:color w:val="auto"/>
          <w:u w:val="none"/>
        </w:rPr>
        <w:t>K bodu 28</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 xml:space="preserve">Navrhovaná zmena v §53 ods. 2, upresňuje transpozíciu článku 12 ods. 2 Smernica o univerzálnej službe v zákone. </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29</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Navrhované doplnenie §53 ods.3 obnovuje chýbajúcu právomoc úradu rozhodnúť o výške kompenzácie straty poskytovateľovi univerzálnej služby, ktorá z textu zákona vypadla pri poslednej novele zákona č. 117/2006 Z.z..</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30</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Ide o spresnenie postupu úradu pri určovaní podielov jednotlivých podnikov na kompenzovaní čistých nákladov podniku poskytujúcemu univerzálnu službu.</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31</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V súvislosti s transpozíciou dotknutej smernice sa navrhuje precizovať jednotlivé časti predmetu telekomunikačného tajomstva. Samotný rozsah predmetu telekomunikačného tajomstva v porovnaní s platným právnym stavom ostáva totožný.</w:t>
      </w:r>
    </w:p>
    <w:p>
      <w:pPr>
        <w:jc w:val="both"/>
        <w:rPr>
          <w:rFonts w:ascii="Times New Roman" w:hAnsi="Times New Roman" w:cs="Times New Roman"/>
          <w:b/>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32</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Navrhuje sa definovať pojem iný orgán štátu za účelom zjednodušenia terminológie a sprehľadnenia používania tohto pojmu v zákone.</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33</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Zjednodušenie ustanovenia vzhľadom na zavedenie definície „iného orgánu štátu“ v predchádzajúcom bode.</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34</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 xml:space="preserve">Obsah navrhovaného doplnenia ust. § 55 ods. 7 vychádza z potrieb aplikačnej praxe a súčasne je dôležitým nástrojom ochrany ústavného zriadenia, bezpečnosti štátu a vnútorného poriadku. Navrhovaný on-line prístup k evidencii všetkých účastníkov siete má za cieľ zvýšiť ochranu súkromia občanov, nakoľko prístup k aktuálnej evidencii telefónnych čísiel a účastníkom, ktorí ich používajú, eliminuje riziko zásahu do súkromia, práv a právom chránených záujmov občana, ktorý nie je objektom spravodajského alebo policajného záujmu. Na sprístupnenie evidencie všetkých účastníkov siete, vrátane tých, ktorí požiadali o utajenie telefónneho čísla, budú mať dotknuté štátne orgány právny nárok priamo zo zákona. On-line prístupom oprávnené štátne orgánu nebudú môcť v tejto evidencii vykonávať žiadne zmeny, ani ju kopírovať. Poskytovanie tejto evidencie najmenej raz mesačne aj v elektronickej podobe sa navrhuje z dôvodu potreby mať túto evidenciu zálohovanú pre prípad poruchy on-line prístupu. Takáto právna úprava nie je vo vnútroštátnom práve členských štátov EÚ ničím novým. Obdobnú právnu úpravu on-line prístupu policajných a spravodajských zložiek štátu má napríklad Nemecko a Maďarsko. </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35</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Navrhuje sa doplniť nový odsek 8 § 55 zákona, ktorý v zákone podrobnejšie vymedzí povinnosti mlčanlivosti a proces jej zbavenia.</w:t>
      </w:r>
    </w:p>
    <w:p>
      <w:pPr>
        <w:jc w:val="both"/>
        <w:rPr>
          <w:rFonts w:ascii="Times New Roman" w:hAnsi="Times New Roman" w:cs="Times New Roman"/>
          <w:b w:val="0"/>
          <w:i w:val="0"/>
          <w:color w:val="auto"/>
          <w:u w:val="none"/>
        </w:rPr>
      </w:pPr>
    </w:p>
    <w:p>
      <w:pPr>
        <w:keepNext/>
        <w:jc w:val="both"/>
        <w:rPr>
          <w:rFonts w:ascii="Times New Roman" w:hAnsi="Times New Roman" w:cs="Times New Roman"/>
          <w:b/>
          <w:i w:val="0"/>
          <w:color w:val="auto"/>
          <w:u w:val="none"/>
        </w:rPr>
      </w:pPr>
      <w:r>
        <w:rPr>
          <w:rFonts w:ascii="Times New Roman" w:hAnsi="Times New Roman" w:cs="Times New Roman"/>
          <w:b/>
          <w:i w:val="0"/>
          <w:color w:val="auto"/>
          <w:u w:val="none"/>
        </w:rPr>
        <w:t>K bodu 36 a 37</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Ustanovenie precizuje existujúce znenie a dopĺňa ho vzhľadom na nové povinnosti v oblasti uchovávania údajov, ktoré sú obsiahnuté v novo navrhovanom § 59a.</w:t>
      </w:r>
    </w:p>
    <w:p>
      <w:pPr>
        <w:jc w:val="both"/>
        <w:rPr>
          <w:rFonts w:ascii="Times New Roman" w:hAnsi="Times New Roman" w:cs="Times New Roman"/>
          <w:b w:val="0"/>
          <w:i w:val="0"/>
          <w:color w:val="auto"/>
          <w:u w:val="none"/>
        </w:rPr>
      </w:pPr>
    </w:p>
    <w:p>
      <w:pPr>
        <w:rPr>
          <w:rFonts w:ascii="Times New Roman" w:hAnsi="Times New Roman" w:cs="Times New Roman"/>
          <w:b/>
          <w:i w:val="0"/>
          <w:color w:val="auto"/>
          <w:u w:val="none"/>
        </w:rPr>
      </w:pPr>
      <w:r>
        <w:rPr>
          <w:rFonts w:ascii="Times New Roman" w:hAnsi="Times New Roman" w:cs="Times New Roman"/>
          <w:b/>
          <w:i w:val="0"/>
          <w:color w:val="auto"/>
          <w:u w:val="none"/>
        </w:rPr>
        <w:t>K bodu 38</w:t>
      </w:r>
    </w:p>
    <w:p>
      <w:pPr>
        <w:spacing w:after="120"/>
        <w:rPr>
          <w:rFonts w:ascii="Times New Roman" w:hAnsi="Times New Roman" w:cs="Times New Roman"/>
          <w:b w:val="0"/>
          <w:i w:val="0"/>
          <w:color w:val="auto"/>
          <w:u w:val="none"/>
        </w:rPr>
      </w:pPr>
      <w:r>
        <w:rPr>
          <w:rFonts w:ascii="Times New Roman" w:hAnsi="Times New Roman" w:cs="Times New Roman"/>
          <w:b w:val="0"/>
          <w:i w:val="0"/>
          <w:color w:val="auto"/>
          <w:u w:val="none"/>
        </w:rPr>
        <w:t>Navrhuje sa ustanoviť pre oprávnené štátne orgány oprávnenie na spracúvanie a uchovávanie osobných údajov z dôvodu pretrvávajúcich problémov v praxi. V aplikačnej praxi vznikajú problémy s obštrukciami podnikov, ktorý sa opierajú o nejednoznačný výklad ust. § 55 ods. 1 a podľa ich názoru nejednoznačný vzťah všeobecnej právnej úpravy ochrany osobných údajov a ust. § 55. Oprávnenie na spracúvanie osobných údajov účastníkov je pre oprávnené štátne orgány užšie než je tomu u podnikov.</w:t>
      </w:r>
    </w:p>
    <w:p>
      <w:pPr>
        <w:keepNext/>
        <w:rPr>
          <w:rFonts w:ascii="Times New Roman" w:hAnsi="Times New Roman" w:cs="Times New Roman"/>
          <w:b/>
          <w:i w:val="0"/>
          <w:color w:val="auto"/>
          <w:u w:val="none"/>
        </w:rPr>
      </w:pPr>
      <w:r>
        <w:rPr>
          <w:rFonts w:ascii="Times New Roman" w:hAnsi="Times New Roman" w:cs="Times New Roman"/>
          <w:b/>
          <w:i w:val="0"/>
          <w:color w:val="auto"/>
          <w:u w:val="none"/>
        </w:rPr>
        <w:t>K bodu 39</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Ustanovenie umožňuje podnikom podobne ako pri odpočúvaní a zaznamenávaní prevádzky v sieťach zaradiť medzi daňové výdavky a vykonať odpisovanie hmotného investičného majetku, aj náklady vzniknuté pri splnení povinnosti uchovávania údajov v rozsahu a po dobu ako ustanovuje § 59a.</w:t>
      </w:r>
    </w:p>
    <w:p>
      <w:pPr>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i w:val="0"/>
          <w:color w:val="auto"/>
          <w:u w:val="none"/>
        </w:rPr>
        <w:t>K bodu 40</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Návrh vyplýva z praktických skúseností, kedy paradoxne pri tak jasnom účele, akým je platenie úhrad za služby elektronických komunikácií, vznikajú pochybnosti, či je na tento účel možné spracúvať osobné údaje.</w:t>
      </w:r>
    </w:p>
    <w:p>
      <w:pPr>
        <w:keepNext/>
        <w:spacing w:before="240" w:after="60"/>
        <w:rPr>
          <w:rFonts w:ascii="Times New Roman" w:hAnsi="Times New Roman" w:cs="Times New Roman"/>
          <w:b/>
          <w:i w:val="0"/>
          <w:color w:val="auto"/>
          <w:u w:val="none"/>
        </w:rPr>
      </w:pPr>
      <w:r>
        <w:rPr>
          <w:rFonts w:ascii="Times New Roman" w:hAnsi="Times New Roman" w:cs="Times New Roman"/>
          <w:b/>
          <w:i w:val="0"/>
          <w:color w:val="auto"/>
          <w:u w:val="none"/>
        </w:rPr>
        <w:t>K bodu 41</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Ide o uvedenie odkazu v zákone na nové ustanovenia o uchovávaní údajov v novele a ich poskytovaní oprávneným orgánom.</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42</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 xml:space="preserve">Návrh súvisí s bodom 3 tejto novely zákona; vypustenie definície pojmu služby s pridanou hodnotou z § 5 zákona a zaradenie do § 59. </w:t>
      </w:r>
    </w:p>
    <w:p>
      <w:pPr>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i w:val="0"/>
          <w:color w:val="auto"/>
          <w:u w:val="none"/>
        </w:rPr>
        <w:t>K bodu 43 a 44</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Navrhuje sa upraviť znenie ustanovenia § 59 ods. 4 a 5 (po úpravách ide o odseky 5 a 6) zákona za účelom úplného a správneho transponovania článku 6 ods. 5 Smernice o súkromí a elektronických komunikáciách.</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45</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Navrhované ustanovenia úplne transponujú Smernicu EP a Rady 2006/24/ES o uchovávaní údajov vytvorených alebo spracovaných v súvislosti s poskytovaním verejne dostupných elektronických komunikačných služieb alebo verejných komunikačných sietí a o zmene a doplnení smernice 2002/58/ES, do slovenského právneho poriadku. Ustanovenie zakotvuje rozsah uchovávaných údajov aj dĺžku uchovávania.</w:t>
      </w:r>
    </w:p>
    <w:p>
      <w:pPr>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i w:val="0"/>
          <w:color w:val="auto"/>
          <w:u w:val="none"/>
        </w:rPr>
        <w:t>K bodu 46</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Návrh sleduje, aby úprava podľa § 59 ods. 4 mohla plniť svoj účel, a preto sa medzi oprávnené osoby výslovne zaraďuje aj poverená osoba na spracovanie údajov.</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47 až 58</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 xml:space="preserve">Navrhuje sa zvýšenie hornej hranice výšky pokuty, pretože doteraz nebola hrozba sankcie dostatočne motivujúca na dodržiavanie povinností zo strany podnikov. Zároveň sa navrhuje  doplnenie skutkovej podstaty správneho deliktu týkajúceho sa povinnosti podnikov, súvisiacej s povinným uchovávaním údajov a doplnenie skutkovej podstaty správnych deliktov súvisiacich s navrhovanými zmenami ustanovení v tejto novele zákona. Všetky sankcie striktne naďalej korešpondujú s povinnosťami, ktoré ukladá zákon, v jednom ide o presunutie skutkovej podstaty správneho deliktu do oblasti sankcie s vyššou hornou hranicou. </w:t>
      </w:r>
    </w:p>
    <w:p>
      <w:pPr>
        <w:jc w:val="both"/>
        <w:rPr>
          <w:rFonts w:ascii="Times New Roman" w:hAnsi="Times New Roman" w:cs="Times New Roman"/>
          <w:b/>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59</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Ide o doplnenie chýbajúcej legislatívno-technickej úpravy, ktorá spôsobovala spory pri výklade iných právnych predpisov dotýkajúcich sa sektoru elektronických komunikácií.</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60</w:t>
      </w: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Zoznam preberaných smerníc v prílohe č.1 zákona sa dopĺňa o Smernicu EP a Rady 2006/24/ES.</w:t>
      </w:r>
    </w:p>
    <w:p>
      <w:pPr>
        <w:jc w:val="both"/>
        <w:rPr>
          <w:rFonts w:ascii="Times New Roman" w:hAnsi="Times New Roman" w:cs="Times New Roman"/>
          <w:b w:val="0"/>
          <w:i w:val="0"/>
          <w:color w:val="auto"/>
          <w:u w:val="none"/>
        </w:rPr>
      </w:pPr>
    </w:p>
    <w:p>
      <w:pPr>
        <w:jc w:val="both"/>
        <w:rPr>
          <w:rFonts w:ascii="Times New Roman" w:hAnsi="Times New Roman" w:cs="Times New Roman"/>
          <w:b/>
          <w:i w:val="0"/>
          <w:color w:val="auto"/>
          <w:u w:val="none"/>
        </w:rPr>
      </w:pPr>
      <w:r>
        <w:rPr>
          <w:rFonts w:ascii="Times New Roman" w:hAnsi="Times New Roman" w:cs="Times New Roman"/>
          <w:b/>
          <w:i w:val="0"/>
          <w:color w:val="auto"/>
          <w:u w:val="none"/>
        </w:rPr>
        <w:t>K bodu 61</w:t>
      </w:r>
    </w:p>
    <w:p>
      <w:pPr>
        <w:spacing w:after="120"/>
        <w:jc w:val="both"/>
        <w:rPr>
          <w:rFonts w:ascii="Times New Roman" w:hAnsi="Times New Roman" w:cs="Times New Roman"/>
          <w:b w:val="0"/>
          <w:i w:val="0"/>
          <w:color w:val="auto"/>
          <w:u w:val="none"/>
        </w:rPr>
      </w:pPr>
      <w:r>
        <w:rPr>
          <w:rFonts w:ascii="Times New Roman" w:hAnsi="Times New Roman" w:cs="Times New Roman"/>
          <w:b w:val="0"/>
          <w:i w:val="0"/>
          <w:color w:val="auto"/>
          <w:u w:val="none"/>
        </w:rPr>
        <w:t>Podrobnú kategorizáciu povinne uchovávaných údajov sa navrhuje dať do novej prílohy č. 4 k zákonu.</w:t>
      </w:r>
    </w:p>
    <w:p>
      <w:pPr>
        <w:spacing w:after="120"/>
        <w:jc w:val="both"/>
        <w:rPr>
          <w:rFonts w:ascii="Times New Roman" w:hAnsi="Times New Roman" w:cs="Times New Roman"/>
          <w:b w:val="0"/>
          <w:i w:val="0"/>
          <w:color w:val="auto"/>
          <w:u w:val="none"/>
        </w:rPr>
      </w:pPr>
    </w:p>
    <w:p>
      <w:pPr>
        <w:spacing w:after="120"/>
        <w:jc w:val="both"/>
        <w:rPr>
          <w:rFonts w:ascii="Times New Roman" w:hAnsi="Times New Roman" w:cs="Times New Roman"/>
          <w:b w:val="0"/>
          <w:i w:val="0"/>
          <w:color w:val="auto"/>
          <w:u w:val="none"/>
        </w:rPr>
      </w:pPr>
    </w:p>
    <w:p>
      <w:pPr>
        <w:spacing w:after="120"/>
        <w:jc w:val="both"/>
        <w:rPr>
          <w:rFonts w:ascii="Times New Roman" w:hAnsi="Times New Roman" w:cs="Times New Roman"/>
          <w:b/>
          <w:i w:val="0"/>
          <w:color w:val="auto"/>
          <w:u w:val="none"/>
        </w:rPr>
      </w:pPr>
      <w:r>
        <w:rPr>
          <w:rFonts w:ascii="Times New Roman" w:hAnsi="Times New Roman" w:cs="Times New Roman"/>
          <w:b/>
          <w:i w:val="0"/>
          <w:color w:val="auto"/>
          <w:u w:val="none"/>
        </w:rPr>
        <w:t>Článok II</w:t>
      </w:r>
    </w:p>
    <w:p>
      <w:pPr>
        <w:spacing w:after="120"/>
        <w:jc w:val="both"/>
        <w:rPr>
          <w:rFonts w:ascii="Times New Roman" w:hAnsi="Times New Roman" w:cs="Times New Roman"/>
          <w:b w:val="0"/>
          <w:i w:val="0"/>
          <w:color w:val="auto"/>
          <w:u w:val="none"/>
        </w:rPr>
      </w:pPr>
      <w:r>
        <w:rPr>
          <w:rFonts w:ascii="Times New Roman" w:hAnsi="Times New Roman" w:cs="Times New Roman"/>
          <w:b w:val="0"/>
          <w:i w:val="0"/>
          <w:color w:val="auto"/>
          <w:u w:val="none"/>
        </w:rPr>
        <w:t>Nadobudnutie účinnosti tejto novely zákona o elektronických komunikáciách sa navrhuje dňom 1. januára 2008.</w:t>
      </w:r>
    </w:p>
    <w:p>
      <w:pPr>
        <w:spacing w:after="120"/>
        <w:jc w:val="both"/>
        <w:rPr>
          <w:rFonts w:ascii="Times New Roman" w:hAnsi="Times New Roman" w:cs="Times New Roman"/>
          <w:b w:val="0"/>
          <w:i w:val="0"/>
          <w:color w:val="auto"/>
          <w:u w:val="none"/>
        </w:rPr>
      </w:pPr>
    </w:p>
    <w:p>
      <w:pPr>
        <w:jc w:val="both"/>
        <w:rPr>
          <w:rFonts w:ascii="Times New Roman" w:hAnsi="Times New Roman" w:cs="Times New Roman"/>
          <w:b w:val="0"/>
          <w:i w:val="0"/>
          <w:color w:val="auto"/>
          <w:u w:val="none"/>
        </w:rPr>
      </w:pPr>
      <w:r>
        <w:rPr>
          <w:rFonts w:ascii="Times New Roman" w:hAnsi="Times New Roman" w:cs="Times New Roman"/>
          <w:b w:val="0"/>
          <w:i w:val="0"/>
          <w:color w:val="auto"/>
          <w:u w:val="none"/>
        </w:rPr>
        <w:t xml:space="preserve">Bratislava     5. septembra 2007 </w:t>
      </w:r>
    </w:p>
    <w:p>
      <w:pPr>
        <w:spacing w:after="120"/>
        <w:jc w:val="both"/>
        <w:rPr>
          <w:rFonts w:ascii="Times New Roman" w:hAnsi="Times New Roman" w:cs="Times New Roman"/>
          <w:b w:val="0"/>
          <w:i w:val="0"/>
          <w:color w:val="auto"/>
          <w:u w:val="none"/>
        </w:rPr>
      </w:pPr>
    </w:p>
    <w:p>
      <w:pPr>
        <w:spacing w:after="120"/>
        <w:jc w:val="both"/>
        <w:rPr>
          <w:rFonts w:ascii="Times New Roman" w:hAnsi="Times New Roman" w:cs="Times New Roman"/>
          <w:b w:val="0"/>
          <w:i w:val="0"/>
          <w:color w:val="auto"/>
          <w:u w:val="none"/>
        </w:rPr>
      </w:pPr>
    </w:p>
    <w:p>
      <w:pPr>
        <w:spacing w:after="120"/>
        <w:jc w:val="both"/>
        <w:rPr>
          <w:rFonts w:ascii="Times New Roman" w:hAnsi="Times New Roman" w:cs="Times New Roman"/>
          <w:b w:val="0"/>
          <w:i w:val="0"/>
          <w:color w:val="auto"/>
          <w:u w:val="none"/>
        </w:rPr>
      </w:pPr>
    </w:p>
    <w:p>
      <w:pPr>
        <w:spacing w:after="120"/>
        <w:jc w:val="both"/>
        <w:rPr>
          <w:rFonts w:ascii="Times New Roman" w:hAnsi="Times New Roman" w:cs="Times New Roman"/>
          <w:b w:val="0"/>
          <w:i w:val="0"/>
          <w:color w:val="auto"/>
          <w:u w:val="none"/>
        </w:rPr>
      </w:pPr>
    </w:p>
    <w:p>
      <w:pPr>
        <w:keepNext/>
        <w:jc w:val="center"/>
        <w:rPr>
          <w:rFonts w:ascii="Times New Roman" w:hAnsi="Times New Roman" w:cs="Times New Roman"/>
          <w:b w:val="0"/>
          <w:i w:val="0"/>
          <w:color w:val="auto"/>
          <w:u w:val="none"/>
        </w:rPr>
      </w:pPr>
      <w:r>
        <w:rPr>
          <w:rFonts w:ascii="Times New Roman" w:hAnsi="Times New Roman" w:cs="Times New Roman"/>
          <w:b w:val="0"/>
          <w:i w:val="0"/>
          <w:color w:val="auto"/>
          <w:u w:val="none"/>
        </w:rPr>
        <w:t>Robert Fico v. r.</w:t>
      </w:r>
    </w:p>
    <w:p>
      <w:pPr>
        <w:jc w:val="center"/>
        <w:rPr>
          <w:rFonts w:ascii="Times New Roman" w:hAnsi="Times New Roman" w:cs="Times New Roman"/>
          <w:b w:val="0"/>
          <w:i w:val="0"/>
          <w:color w:val="auto"/>
          <w:u w:val="none"/>
        </w:rPr>
      </w:pPr>
      <w:r>
        <w:rPr>
          <w:rFonts w:ascii="Times New Roman" w:hAnsi="Times New Roman" w:cs="Times New Roman"/>
          <w:b w:val="0"/>
          <w:i w:val="0"/>
          <w:color w:val="auto"/>
          <w:u w:val="none"/>
        </w:rPr>
        <w:t>predseda vlády Slovenskej republiky</w:t>
      </w:r>
    </w:p>
    <w:p>
      <w:pPr>
        <w:rPr>
          <w:rFonts w:ascii="Times New Roman" w:hAnsi="Times New Roman" w:cs="Times New Roman"/>
          <w:b w:val="0"/>
          <w:i w:val="0"/>
          <w:color w:val="auto"/>
          <w:sz w:val="28"/>
          <w:u w:val="none"/>
        </w:rPr>
      </w:pPr>
    </w:p>
    <w:p>
      <w:pPr>
        <w:rPr>
          <w:rFonts w:ascii="Times New Roman" w:hAnsi="Times New Roman" w:cs="Times New Roman"/>
          <w:b w:val="0"/>
          <w:i w:val="0"/>
          <w:color w:val="auto"/>
          <w:sz w:val="28"/>
          <w:u w:val="none"/>
        </w:rPr>
      </w:pPr>
    </w:p>
    <w:p>
      <w:pPr>
        <w:rPr>
          <w:rFonts w:ascii="Times New Roman" w:hAnsi="Times New Roman" w:cs="Times New Roman"/>
          <w:b w:val="0"/>
          <w:i w:val="0"/>
          <w:color w:val="auto"/>
          <w:sz w:val="28"/>
          <w:u w:val="none"/>
        </w:rPr>
      </w:pPr>
    </w:p>
    <w:p>
      <w:pPr>
        <w:rPr>
          <w:rFonts w:ascii="Times New Roman" w:hAnsi="Times New Roman" w:cs="Times New Roman"/>
          <w:b w:val="0"/>
          <w:i w:val="0"/>
          <w:color w:val="auto"/>
          <w:sz w:val="28"/>
          <w:u w:val="none"/>
        </w:rPr>
      </w:pPr>
    </w:p>
    <w:p>
      <w:pPr>
        <w:rPr>
          <w:rFonts w:ascii="Times New Roman" w:hAnsi="Times New Roman" w:cs="Times New Roman"/>
          <w:b w:val="0"/>
          <w:i w:val="0"/>
          <w:color w:val="auto"/>
          <w:sz w:val="28"/>
          <w:u w:val="none"/>
        </w:rPr>
      </w:pPr>
    </w:p>
    <w:p>
      <w:pPr>
        <w:rPr>
          <w:rFonts w:ascii="Times New Roman" w:hAnsi="Times New Roman" w:cs="Times New Roman"/>
          <w:b w:val="0"/>
          <w:i w:val="0"/>
          <w:color w:val="auto"/>
          <w:sz w:val="28"/>
          <w:u w:val="none"/>
        </w:rPr>
      </w:pPr>
    </w:p>
    <w:p>
      <w:pPr>
        <w:jc w:val="center"/>
        <w:rPr>
          <w:rFonts w:ascii="Times New Roman" w:hAnsi="Times New Roman" w:cs="Times New Roman"/>
          <w:b w:val="0"/>
          <w:i w:val="0"/>
          <w:color w:val="auto"/>
          <w:u w:val="none"/>
        </w:rPr>
      </w:pPr>
      <w:r>
        <w:rPr>
          <w:rFonts w:ascii="Times New Roman" w:hAnsi="Times New Roman" w:cs="Times New Roman"/>
          <w:b w:val="0"/>
          <w:i w:val="0"/>
          <w:color w:val="auto"/>
          <w:u w:val="none"/>
        </w:rPr>
        <w:t>Ľubomír Vážny v. r.</w:t>
      </w:r>
    </w:p>
    <w:p>
      <w:pPr>
        <w:jc w:val="center"/>
        <w:rPr>
          <w:rFonts w:ascii="Times New Roman" w:hAnsi="Times New Roman" w:cs="Times New Roman"/>
          <w:b w:val="0"/>
          <w:i w:val="0"/>
          <w:color w:val="auto"/>
          <w:u w:val="none"/>
        </w:rPr>
      </w:pPr>
      <w:r>
        <w:rPr>
          <w:rFonts w:ascii="Times New Roman" w:hAnsi="Times New Roman" w:cs="Times New Roman"/>
          <w:b w:val="0"/>
          <w:i w:val="0"/>
          <w:color w:val="auto"/>
          <w:u w:val="none"/>
        </w:rPr>
        <w:t>minister dopravy, pôšt a telekomunikácií</w:t>
      </w:r>
    </w:p>
    <w:p>
      <w:pPr>
        <w:jc w:val="center"/>
        <w:rPr>
          <w:rFonts w:ascii="Times New Roman" w:hAnsi="Times New Roman" w:cs="Times New Roman"/>
          <w:b w:val="0"/>
          <w:i w:val="0"/>
          <w:color w:val="auto"/>
          <w:u w:val="none"/>
        </w:rPr>
      </w:pPr>
      <w:r>
        <w:rPr>
          <w:rFonts w:ascii="Times New Roman" w:hAnsi="Times New Roman" w:cs="Times New Roman"/>
          <w:b w:val="0"/>
          <w:i w:val="0"/>
          <w:color w:val="auto"/>
          <w:u w:val="none"/>
        </w:rPr>
        <w:t>Slovenskej republiky</w:t>
      </w:r>
    </w:p>
    <w:sectPr>
      <w:pgMar w:header="708" w:footer="708"/>
      <w:cols w:space="708"/>
      <w:bidi w:val="0"/>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default"/>
    <w:sig w:usb0="00000000" w:usb1="00000000" w:usb2="00000000" w:usb3="00000000" w:csb0="00000001" w:csb1="00000000"/>
  </w:font>
  <w:font w:name="TimesNewRomanPSMT">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5"/>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1">
    <w:nsid w:val="00000002"/>
    <w:multiLevelType w:val="multilevel"/>
    <w:tmpl w:val="00000002"/>
    <w:lvl w:ilvl="0">
      <w:start w:val="6"/>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2">
    <w:nsid w:val="00000003"/>
    <w:multiLevelType w:val="multilevel"/>
    <w:tmpl w:val="00000003"/>
    <w:lvl w:ilvl="0">
      <w:start w:val="9"/>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3">
    <w:nsid w:val="00000004"/>
    <w:multiLevelType w:val="multilevel"/>
    <w:tmpl w:val="00000004"/>
    <w:lvl w:ilvl="0">
      <w:start w:val="1"/>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4">
    <w:nsid w:val="00000005"/>
    <w:multiLevelType w:val="multilevel"/>
    <w:tmpl w:val="00000005"/>
    <w:lvl w:ilvl="0">
      <w:start w:val="2"/>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5">
    <w:nsid w:val="00000006"/>
    <w:multiLevelType w:val="multilevel"/>
    <w:tmpl w:val="00000006"/>
    <w:lvl w:ilvl="0">
      <w:start w:val="3"/>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abstractNum w:abstractNumId="6">
    <w:nsid w:val="00000007"/>
    <w:multiLevelType w:val="multilevel"/>
    <w:tmpl w:val="00000007"/>
    <w:lvl w:ilvl="0">
      <w:start w:val="8"/>
      <w:numFmt w:val="lowerLetter"/>
      <w:lvlText w:val=")"/>
      <w:lvlJc w:val="left"/>
      <w:pPr>
        <w:ind w:left="0"/>
      </w:pPr>
      <w:rPr>
        <w:rFonts w:ascii="Times New Roman" w:hAnsi="Times New Roman"/>
        <w:rtl w:val="0"/>
      </w:rPr>
    </w:lvl>
    <w:lvl w:ilvl="1">
      <w:start w:val="1"/>
      <w:numFmt w:val="decimal"/>
      <w:lvlJc w:val="left"/>
      <w:pPr>
        <w:ind w:left="0"/>
      </w:pPr>
    </w:lvl>
    <w:lvl w:ilvl="2">
      <w:start w:val="1"/>
      <w:numFmt w:val="decimal"/>
      <w:lvlJc w:val="left"/>
      <w:pPr>
        <w:ind w:left="0"/>
      </w:pPr>
    </w:lvl>
    <w:lvl w:ilvl="3">
      <w:start w:val="1"/>
      <w:numFmt w:val="decimal"/>
      <w:lvlJc w:val="left"/>
      <w:pPr>
        <w:ind w:left="0"/>
      </w:pPr>
    </w:lvl>
    <w:lvl w:ilvl="4">
      <w:start w:val="1"/>
      <w:numFmt w:val="decimal"/>
      <w:lvlJc w:val="left"/>
      <w:pPr>
        <w:ind w:left="0"/>
      </w:pPr>
    </w:lvl>
    <w:lvl w:ilvl="5">
      <w:start w:val="1"/>
      <w:numFmt w:val="decimal"/>
      <w:lvlJc w:val="left"/>
      <w:pPr>
        <w:ind w:left="0"/>
      </w:pPr>
    </w:lvl>
    <w:lvl w:ilvl="6">
      <w:start w:val="1"/>
      <w:numFmt w:val="decimal"/>
      <w:lvlJc w:val="left"/>
      <w:pPr>
        <w:ind w:left="0"/>
      </w:pPr>
    </w:lvl>
    <w:lvl w:ilvl="7">
      <w:start w:val="1"/>
      <w:numFmt w:val="decimal"/>
      <w:lvlJc w:val="left"/>
      <w:pPr>
        <w:ind w:left="0"/>
      </w:pPr>
    </w:lvl>
    <w:lvl w:ilvl="8">
      <w:start w:val="1"/>
      <w:numFmt w:val="decimal"/>
      <w:lvlJc w:val="left"/>
      <w:pPr>
        <w:ind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708"/>
  <w:doNotShadeFormData/>
  <w:characterSpacingControl w:val="doNotCompres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widowControl w:val="0"/>
      <w:autoSpaceDE w:val="0"/>
      <w:autoSpaceDN w:val="0"/>
      <w:bidi w:val="0"/>
      <w:adjustRightInd w:val="0"/>
      <w:ind w:left="0" w:right="0"/>
      <w:jc w:val="left"/>
      <w:textAlignment w:val="auto"/>
    </w:pPr>
    <w:rPr>
      <w:sz w:val="24"/>
      <w:szCs w:val="24"/>
      <w:rtl w:val="0"/>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