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1CCF" w:rsidP="00190802">
      <w:pPr>
        <w:spacing w:line="360" w:lineRule="exact"/>
        <w:jc w:val="center"/>
        <w:rPr>
          <w:rFonts w:ascii="Arial" w:hAnsi="Arial" w:cs="Arial"/>
        </w:rPr>
      </w:pPr>
      <w:r w:rsidR="009B4A63">
        <w:rPr>
          <w:rFonts w:ascii="Arial" w:hAnsi="Arial" w:cs="Arial"/>
        </w:rPr>
        <w:t>NÁRODNÁ RADA SLOVENSKEJ REPUBLIKY</w:t>
      </w:r>
    </w:p>
    <w:p w:rsidR="00CA1CCF" w:rsidP="00190802">
      <w:pPr>
        <w:spacing w:line="360" w:lineRule="exact"/>
        <w:jc w:val="center"/>
        <w:rPr>
          <w:rFonts w:ascii="Arial" w:hAnsi="Arial" w:cs="Arial"/>
        </w:rPr>
      </w:pPr>
      <w:r>
        <w:rPr>
          <w:rFonts w:ascii="Arial" w:hAnsi="Arial" w:cs="Arial"/>
        </w:rPr>
        <w:t>III. volebné obdobie</w:t>
      </w:r>
    </w:p>
    <w:p w:rsidR="00CA1CCF" w:rsidP="00190802">
      <w:pPr>
        <w:spacing w:line="360" w:lineRule="exact"/>
        <w:jc w:val="center"/>
        <w:rPr>
          <w:rFonts w:ascii="Arial" w:hAnsi="Arial" w:cs="Arial"/>
        </w:rPr>
      </w:pPr>
    </w:p>
    <w:p w:rsidR="007B3D4D" w:rsidP="00190802">
      <w:pPr>
        <w:spacing w:line="360" w:lineRule="exact"/>
        <w:jc w:val="center"/>
        <w:rPr>
          <w:rFonts w:ascii="Arial" w:hAnsi="Arial" w:cs="Arial"/>
        </w:rPr>
      </w:pPr>
    </w:p>
    <w:p w:rsidR="009B4A63" w:rsidRPr="004B5D48" w:rsidP="00190802">
      <w:pPr>
        <w:spacing w:line="360" w:lineRule="exact"/>
        <w:jc w:val="center"/>
        <w:rPr>
          <w:rFonts w:ascii="Arial" w:hAnsi="Arial" w:cs="Arial"/>
          <w:b/>
          <w:sz w:val="36"/>
          <w:szCs w:val="36"/>
        </w:rPr>
      </w:pPr>
      <w:r w:rsidR="004034AB">
        <w:rPr>
          <w:rFonts w:ascii="Arial" w:hAnsi="Arial" w:cs="Arial"/>
        </w:rPr>
        <w:t xml:space="preserve"> </w:t>
      </w:r>
      <w:r w:rsidRPr="004B5D48" w:rsidR="007B3D4D">
        <w:rPr>
          <w:rFonts w:ascii="Arial" w:hAnsi="Arial" w:cs="Arial"/>
          <w:b/>
          <w:sz w:val="36"/>
          <w:szCs w:val="36"/>
        </w:rPr>
        <w:t>44</w:t>
      </w:r>
    </w:p>
    <w:p w:rsidR="007B3D4D" w:rsidP="00190802">
      <w:pPr>
        <w:spacing w:line="360" w:lineRule="exact"/>
        <w:jc w:val="center"/>
        <w:rPr>
          <w:rFonts w:ascii="Arial" w:hAnsi="Arial" w:cs="Arial"/>
          <w:b/>
          <w:sz w:val="28"/>
          <w:szCs w:val="28"/>
        </w:rPr>
      </w:pPr>
    </w:p>
    <w:p w:rsidR="007B3D4D" w:rsidRPr="007B3D4D" w:rsidP="00190802">
      <w:pPr>
        <w:spacing w:line="360" w:lineRule="exact"/>
        <w:jc w:val="center"/>
        <w:rPr>
          <w:rFonts w:ascii="Arial" w:hAnsi="Arial" w:cs="Arial"/>
          <w:b/>
          <w:sz w:val="28"/>
          <w:szCs w:val="28"/>
        </w:rPr>
      </w:pPr>
    </w:p>
    <w:p w:rsidR="000211B6" w:rsidRPr="00ED58AF" w:rsidP="00190802">
      <w:pPr>
        <w:spacing w:line="360" w:lineRule="exact"/>
        <w:jc w:val="center"/>
        <w:rPr>
          <w:rFonts w:ascii="Arial" w:hAnsi="Arial" w:cs="Arial"/>
        </w:rPr>
      </w:pPr>
      <w:r w:rsidR="00CA1CCF">
        <w:rPr>
          <w:rFonts w:ascii="Arial" w:hAnsi="Arial" w:cs="Arial"/>
        </w:rPr>
        <w:t>Vládny n</w:t>
      </w:r>
      <w:r w:rsidRPr="00ED58AF" w:rsidR="00626618">
        <w:rPr>
          <w:rFonts w:ascii="Arial" w:hAnsi="Arial" w:cs="Arial"/>
        </w:rPr>
        <w:t>ávrh</w:t>
      </w:r>
    </w:p>
    <w:p w:rsidR="00BF4AC2" w:rsidRPr="00ED58AF" w:rsidP="00190802">
      <w:pPr>
        <w:spacing w:line="360" w:lineRule="exact"/>
        <w:jc w:val="center"/>
        <w:rPr>
          <w:rFonts w:ascii="Arial" w:hAnsi="Arial" w:cs="Arial"/>
        </w:rPr>
      </w:pPr>
    </w:p>
    <w:p w:rsidR="00626618" w:rsidRPr="00ED58AF" w:rsidP="00190802">
      <w:pPr>
        <w:spacing w:line="360" w:lineRule="exact"/>
        <w:jc w:val="center"/>
        <w:rPr>
          <w:rFonts w:ascii="Arial" w:hAnsi="Arial" w:cs="Arial"/>
        </w:rPr>
      </w:pPr>
      <w:r w:rsidRPr="00ED58AF">
        <w:rPr>
          <w:rFonts w:ascii="Arial" w:hAnsi="Arial" w:cs="Arial"/>
        </w:rPr>
        <w:t>Zákon</w:t>
      </w:r>
    </w:p>
    <w:p w:rsidR="00626618" w:rsidRPr="00ED58AF" w:rsidP="00190802">
      <w:pPr>
        <w:spacing w:line="360" w:lineRule="exact"/>
        <w:jc w:val="center"/>
        <w:rPr>
          <w:rFonts w:ascii="Arial" w:hAnsi="Arial" w:cs="Arial"/>
        </w:rPr>
      </w:pPr>
      <w:r w:rsidRPr="00ED58AF">
        <w:rPr>
          <w:rFonts w:ascii="Arial" w:hAnsi="Arial" w:cs="Arial"/>
        </w:rPr>
        <w:t>z ........</w:t>
      </w:r>
      <w:r w:rsidR="007B3D4D">
        <w:rPr>
          <w:rFonts w:ascii="Arial" w:hAnsi="Arial" w:cs="Arial"/>
        </w:rPr>
        <w:t>...</w:t>
      </w:r>
      <w:r w:rsidRPr="00ED58AF">
        <w:rPr>
          <w:rFonts w:ascii="Arial" w:hAnsi="Arial" w:cs="Arial"/>
        </w:rPr>
        <w:t>.. 2002</w:t>
      </w:r>
    </w:p>
    <w:p w:rsidR="00BF4AC2" w:rsidRPr="00ED58AF" w:rsidP="00190802">
      <w:pPr>
        <w:spacing w:line="360" w:lineRule="exact"/>
        <w:jc w:val="center"/>
        <w:rPr>
          <w:rFonts w:ascii="Arial" w:hAnsi="Arial" w:cs="Arial"/>
        </w:rPr>
      </w:pPr>
    </w:p>
    <w:p w:rsidR="00626618" w:rsidRPr="007B3D4D" w:rsidP="00190802">
      <w:pPr>
        <w:spacing w:line="360" w:lineRule="exact"/>
        <w:jc w:val="center"/>
        <w:rPr>
          <w:rFonts w:ascii="Arial" w:hAnsi="Arial" w:cs="Arial"/>
          <w:b/>
        </w:rPr>
      </w:pPr>
      <w:r w:rsidRPr="007B3D4D">
        <w:rPr>
          <w:rFonts w:ascii="Arial" w:hAnsi="Arial" w:cs="Arial"/>
          <w:b/>
        </w:rPr>
        <w:t>o platových pomeroch sudcov v roku 2003 a o dočasnom obmedzení účinnosti niektorých ustanovení zákona č. 385/200</w:t>
      </w:r>
      <w:r w:rsidRPr="007B3D4D" w:rsidR="00865A95">
        <w:rPr>
          <w:rFonts w:ascii="Arial" w:hAnsi="Arial" w:cs="Arial"/>
          <w:b/>
        </w:rPr>
        <w:t>0</w:t>
      </w:r>
      <w:r w:rsidRPr="007B3D4D">
        <w:rPr>
          <w:rFonts w:ascii="Arial" w:hAnsi="Arial" w:cs="Arial"/>
          <w:b/>
        </w:rPr>
        <w:t xml:space="preserve"> Z. z. o sudcoch a prísediacich a o zmene a doplnení niektorých zákonov v znení zákona č. 185/2002 Z. z. </w:t>
      </w:r>
    </w:p>
    <w:p w:rsidR="00626618" w:rsidP="00190802">
      <w:pPr>
        <w:spacing w:line="360" w:lineRule="exact"/>
        <w:jc w:val="center"/>
        <w:rPr>
          <w:rFonts w:ascii="Arial" w:hAnsi="Arial" w:cs="Arial"/>
        </w:rPr>
      </w:pPr>
    </w:p>
    <w:p w:rsidR="007B3D4D" w:rsidRPr="00ED58AF" w:rsidP="00190802">
      <w:pPr>
        <w:spacing w:line="360" w:lineRule="exact"/>
        <w:jc w:val="center"/>
        <w:rPr>
          <w:rFonts w:ascii="Arial" w:hAnsi="Arial" w:cs="Arial"/>
        </w:rPr>
      </w:pPr>
    </w:p>
    <w:p w:rsidR="00626618" w:rsidRPr="00ED58AF" w:rsidP="00190802">
      <w:pPr>
        <w:pStyle w:val="Title"/>
        <w:spacing w:line="360" w:lineRule="exact"/>
        <w:jc w:val="left"/>
        <w:rPr>
          <w:rFonts w:ascii="Arial" w:hAnsi="Arial" w:cs="Arial"/>
          <w:b w:val="0"/>
          <w:sz w:val="24"/>
          <w:szCs w:val="24"/>
        </w:rPr>
      </w:pPr>
      <w:r w:rsidRPr="00ED58AF">
        <w:rPr>
          <w:rFonts w:ascii="Arial" w:hAnsi="Arial" w:cs="Arial"/>
          <w:b w:val="0"/>
          <w:sz w:val="24"/>
          <w:szCs w:val="24"/>
        </w:rPr>
        <w:t xml:space="preserve">Národná rada Slovenskej republiky sa uzniesla na tomto zákone: </w:t>
      </w:r>
    </w:p>
    <w:p w:rsidR="00626618" w:rsidRPr="00ED58AF" w:rsidP="00190802">
      <w:pPr>
        <w:pStyle w:val="Title"/>
        <w:spacing w:line="360" w:lineRule="exact"/>
        <w:jc w:val="left"/>
        <w:rPr>
          <w:rFonts w:ascii="Arial" w:hAnsi="Arial" w:cs="Arial"/>
          <w:b w:val="0"/>
          <w:sz w:val="24"/>
          <w:szCs w:val="24"/>
        </w:rPr>
      </w:pPr>
    </w:p>
    <w:p w:rsidR="00626618" w:rsidRPr="00ED58AF" w:rsidP="00190802">
      <w:pPr>
        <w:pStyle w:val="Title"/>
        <w:spacing w:line="360" w:lineRule="exact"/>
        <w:rPr>
          <w:rFonts w:ascii="Arial" w:hAnsi="Arial" w:cs="Arial"/>
          <w:b w:val="0"/>
          <w:sz w:val="24"/>
          <w:szCs w:val="24"/>
        </w:rPr>
      </w:pPr>
      <w:r w:rsidRPr="00ED58AF">
        <w:rPr>
          <w:rFonts w:ascii="Arial" w:hAnsi="Arial" w:cs="Arial"/>
          <w:b w:val="0"/>
          <w:sz w:val="24"/>
          <w:szCs w:val="24"/>
        </w:rPr>
        <w:t>§ 1</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xml:space="preserve">Platové pomery sudcov </w:t>
      </w:r>
    </w:p>
    <w:p w:rsidR="00190802" w:rsidRPr="00ED58AF" w:rsidP="00190802">
      <w:pPr>
        <w:spacing w:after="240" w:line="360" w:lineRule="exact"/>
        <w:rPr>
          <w:rFonts w:ascii="Arial" w:hAnsi="Arial" w:cs="Arial"/>
          <w:color w:val="000000"/>
        </w:rPr>
      </w:pPr>
      <w:r w:rsidRPr="00ED58AF">
        <w:rPr>
          <w:rFonts w:ascii="Arial" w:hAnsi="Arial" w:cs="Arial"/>
          <w:color w:val="000000"/>
        </w:rPr>
        <w:tab/>
        <w:t>Sudcom patrí</w:t>
        <w:br/>
        <w:t>a) základný plat vo výške zodpovedajúcej ich zaradeniu do platovej skupiny a platového stupňa, ak zákon neustanovuje inak,</w:t>
        <w:br/>
        <w:t>b) príplatky podľa tohto zákona.</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2</w:t>
      </w:r>
    </w:p>
    <w:p w:rsidR="00190802" w:rsidRPr="00ED58AF" w:rsidP="00190802">
      <w:pPr>
        <w:spacing w:after="240" w:line="360" w:lineRule="exact"/>
        <w:rPr>
          <w:rFonts w:ascii="Arial" w:hAnsi="Arial" w:cs="Arial"/>
          <w:color w:val="000000"/>
        </w:rPr>
      </w:pPr>
      <w:r w:rsidRPr="00ED58AF">
        <w:rPr>
          <w:rFonts w:ascii="Arial" w:hAnsi="Arial" w:cs="Arial"/>
          <w:color w:val="000000"/>
        </w:rPr>
        <w:tab/>
        <w:t>Predseda Najvyššieho súdu Slovenskej republiky má počas výkonu svojej funkcie právo bezplatne používať služobné motorové vozidlo a právo na zriadenie a bezplatné používanie úč</w:t>
      </w:r>
      <w:r w:rsidRPr="00ED58AF">
        <w:rPr>
          <w:rFonts w:ascii="Arial" w:hAnsi="Arial" w:cs="Arial"/>
          <w:color w:val="000000"/>
        </w:rPr>
        <w:t>astníckej telefónnej stanice.</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3</w:t>
        <w:br/>
        <w:t xml:space="preserve">Platové skupiny a platové stupne </w:t>
      </w:r>
    </w:p>
    <w:p w:rsidR="00190802" w:rsidRPr="00ED58AF" w:rsidP="00190802">
      <w:pPr>
        <w:spacing w:after="240" w:line="360" w:lineRule="exact"/>
        <w:rPr>
          <w:rFonts w:ascii="Arial" w:hAnsi="Arial" w:cs="Arial"/>
          <w:color w:val="000000"/>
        </w:rPr>
      </w:pPr>
      <w:r w:rsidRPr="00ED58AF">
        <w:rPr>
          <w:rFonts w:ascii="Arial" w:hAnsi="Arial" w:cs="Arial"/>
          <w:color w:val="000000"/>
        </w:rPr>
        <w:tab/>
        <w:t>(1) Sudcovia sa zaraďujú do troch platových skupín a do jedenástich platových stupňov podľa dĺžky započítateľnej praxe.</w:t>
        <w:br/>
        <w:tab/>
        <w:t>(2) Sudcovia okresných súdov sa zaraďujú do platovej skupiny I, sudcovia krajských súdov do platovej skupiny II a sudcovia Najvyššieho súdu Slovenskej republiky do platovej skupiny III.</w:t>
        <w:br/>
        <w:tab/>
        <w:t>(3) Sudcovia vojenských obvodových súdov sa zaraďujú do platovej skupiny I, sudcovia vyšších vojenských súdov do platovej skupiny II.</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w:t>
      </w:r>
      <w:r w:rsidRPr="00ED58AF">
        <w:rPr>
          <w:rFonts w:ascii="Arial" w:hAnsi="Arial" w:cs="Arial"/>
          <w:bCs/>
          <w:color w:val="303030"/>
        </w:rPr>
        <w:t xml:space="preserve"> 4</w:t>
        <w:br/>
        <w:t xml:space="preserve">Základný plat </w:t>
      </w:r>
    </w:p>
    <w:p w:rsidR="00190802" w:rsidRPr="00ED58AF" w:rsidP="00190802">
      <w:pPr>
        <w:spacing w:after="240" w:line="360" w:lineRule="exact"/>
        <w:rPr>
          <w:rFonts w:ascii="Arial" w:hAnsi="Arial" w:cs="Arial"/>
          <w:color w:val="000000"/>
        </w:rPr>
      </w:pPr>
      <w:r w:rsidRPr="00ED58AF">
        <w:rPr>
          <w:rFonts w:ascii="Arial" w:hAnsi="Arial" w:cs="Arial"/>
          <w:color w:val="000000"/>
        </w:rPr>
        <w:tab/>
        <w:t>(1) Sudcom v jednotlivých platových stupňoch a platových skupinách patrí základný plat, ktorý sa určuje z priemerného platu sudcu nasledovne:</w:t>
      </w:r>
    </w:p>
    <w:tbl>
      <w:tblPr>
        <w:tblW w:w="3550" w:type="pct"/>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Pr>
      <w:tblGrid>
        <w:gridCol w:w="372"/>
        <w:gridCol w:w="2438"/>
        <w:gridCol w:w="1107"/>
        <w:gridCol w:w="1297"/>
        <w:gridCol w:w="1312"/>
      </w:tblGrid>
      <w:tr>
        <w:tblPrEx>
          <w:tblW w:w="3550" w:type="pct"/>
          <w:tblCellSpacing w:w="15" w:type="dxa"/>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top w:w="15" w:type="dxa"/>
            <w:left w:w="15" w:type="dxa"/>
            <w:bottom w:w="15" w:type="dxa"/>
            <w:right w:w="15" w:type="dxa"/>
          </w:tblCellMar>
        </w:tblPrEx>
        <w:trPr>
          <w:trHeight w:hRule="auto" w:val="0"/>
          <w:tblCellSpacing w:w="15" w:type="dxa"/>
        </w:trPr>
        <w:tc>
          <w:tcPr>
            <w:tcW w:w="2150" w:type="pct"/>
            <w:gridSpan w:val="2"/>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 </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color w:val="000060"/>
              </w:rPr>
              <w:t>I.</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color w:val="000060"/>
              </w:rPr>
              <w:t>II.</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color w:val="000060"/>
              </w:rPr>
              <w:t>III.</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 xml:space="preserve">do ukončenia 4 roku praxe </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70%</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75%</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80%</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2</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od začiatku 5. roku praxe</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75%</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80%</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85</w:t>
            </w:r>
            <w:r w:rsidRPr="00ED58AF">
              <w:rPr>
                <w:rFonts w:ascii="Arial" w:hAnsi="Arial" w:cs="Arial"/>
                <w:bCs/>
                <w:color w:val="000060"/>
              </w:rPr>
              <w:t>%</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3</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od začiatku 7. roku praxe</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80 %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85 %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90 %</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4</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od začiatku 9. roku praxe</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85 %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90 %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95 %</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5</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od začiatku 12. roku praxe</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90 %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 xml:space="preserve">95 %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100 %</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6</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od začiatku 15. roku praxe</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95 %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100 %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105 %</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7</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od začiatku 18. roku praxe</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100 %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 xml:space="preserve">105 %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110 %</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8</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od začiatku 21. roku</w:t>
            </w:r>
            <w:r w:rsidRPr="00ED58AF">
              <w:rPr>
                <w:rFonts w:ascii="Arial" w:hAnsi="Arial" w:cs="Arial"/>
                <w:color w:val="000060"/>
              </w:rPr>
              <w:t xml:space="preserve"> praxe</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105 %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110 %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115 %</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9</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od začiatku 24. roku praxe</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110 %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115 %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120 %</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10</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 xml:space="preserve">od začiatku 27.roku praxe </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115 %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 xml:space="preserve">120 %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125 %</w:t>
            </w:r>
          </w:p>
        </w:tc>
      </w:tr>
      <w:tr>
        <w:tblPrEx>
          <w:tblW w:w="3550" w:type="pct"/>
          <w:tblCellSpacing w:w="15" w:type="dxa"/>
          <w:tblCellMar>
            <w:top w:w="15" w:type="dxa"/>
            <w:left w:w="15" w:type="dxa"/>
            <w:bottom w:w="15" w:type="dxa"/>
            <w:right w:w="15" w:type="dxa"/>
          </w:tblCellMar>
        </w:tblPrEx>
        <w:trPr>
          <w:trHeight w:hRule="auto" w:val="0"/>
          <w:tblCellSpacing w:w="15" w:type="dxa"/>
        </w:trPr>
        <w:tc>
          <w:tcPr>
            <w:tcW w:w="2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11</w:t>
            </w:r>
          </w:p>
        </w:tc>
        <w:tc>
          <w:tcPr>
            <w:tcW w:w="19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rPr>
                <w:rFonts w:ascii="Arial" w:hAnsi="Arial" w:cs="Arial"/>
                <w:color w:val="000060"/>
              </w:rPr>
            </w:pPr>
            <w:r w:rsidRPr="00ED58AF">
              <w:rPr>
                <w:rFonts w:ascii="Arial" w:hAnsi="Arial" w:cs="Arial"/>
                <w:color w:val="000060"/>
              </w:rPr>
              <w:t xml:space="preserve">od začiatku 30. roku praxe </w:t>
            </w:r>
          </w:p>
        </w:tc>
        <w:tc>
          <w:tcPr>
            <w:tcW w:w="85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120 %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 xml:space="preserve">125 % </w:t>
            </w:r>
          </w:p>
        </w:tc>
        <w:tc>
          <w:tcPr>
            <w:tcW w:w="1000" w:type="pct"/>
            <w:tcBorders>
              <w:top w:val="outset" w:sz="6" w:space="0" w:color="auto"/>
              <w:left w:val="outset" w:sz="6" w:space="0" w:color="auto"/>
              <w:bottom w:val="outset" w:sz="6" w:space="0" w:color="auto"/>
              <w:right w:val="outset" w:sz="6" w:space="0" w:color="auto"/>
              <w:tl2br w:val="nil"/>
              <w:tr2bl w:val="nil"/>
            </w:tcBorders>
            <w:textDirection w:val="lrTb"/>
            <w:vAlign w:val="center"/>
          </w:tcPr>
          <w:p w:rsidR="00190802" w:rsidRPr="00ED58AF" w:rsidP="00190802">
            <w:pPr>
              <w:spacing w:line="360" w:lineRule="exact"/>
              <w:jc w:val="center"/>
              <w:rPr>
                <w:rFonts w:ascii="Arial" w:hAnsi="Arial" w:cs="Arial"/>
                <w:color w:val="000060"/>
              </w:rPr>
            </w:pPr>
            <w:r w:rsidRPr="00ED58AF">
              <w:rPr>
                <w:rFonts w:ascii="Arial" w:hAnsi="Arial" w:cs="Arial"/>
                <w:bCs/>
                <w:color w:val="000060"/>
              </w:rPr>
              <w:t>130 %</w:t>
            </w:r>
          </w:p>
        </w:tc>
      </w:tr>
    </w:tbl>
    <w:p w:rsidR="00190802" w:rsidRPr="00ED58AF" w:rsidP="00190802">
      <w:pPr>
        <w:spacing w:after="240" w:line="360" w:lineRule="exact"/>
        <w:rPr>
          <w:rFonts w:ascii="Arial" w:hAnsi="Arial" w:cs="Arial"/>
          <w:color w:val="000000"/>
        </w:rPr>
      </w:pPr>
      <w:r w:rsidRPr="00ED58AF">
        <w:rPr>
          <w:rFonts w:ascii="Arial" w:hAnsi="Arial" w:cs="Arial"/>
          <w:color w:val="000000"/>
        </w:rPr>
        <w:t>(2) Priemerným platom sudcu podľa osobitného predpisu</w:t>
      </w:r>
      <w:r>
        <w:rPr>
          <w:rStyle w:val="FootnoteReference"/>
          <w:rFonts w:ascii="Arial" w:hAnsi="Arial" w:cs="Arial"/>
          <w:color w:val="000000"/>
          <w:rtl w:val="0"/>
        </w:rPr>
        <w:footnoteReference w:id="0"/>
      </w:r>
      <w:r w:rsidRPr="00ED58AF">
        <w:rPr>
          <w:rFonts w:ascii="Arial" w:hAnsi="Arial" w:cs="Arial"/>
          <w:color w:val="000000"/>
        </w:rPr>
        <w:t>) sa rozumie plat v 6. plat</w:t>
      </w:r>
      <w:r w:rsidRPr="00ED58AF">
        <w:rPr>
          <w:rFonts w:ascii="Arial" w:hAnsi="Arial" w:cs="Arial"/>
          <w:color w:val="000000"/>
        </w:rPr>
        <w:t>ovom stupni a v II. platovej skupine.</w:t>
        <w:br/>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5</w:t>
        <w:br/>
        <w:t xml:space="preserve">Funkčný príplatok </w:t>
      </w:r>
    </w:p>
    <w:p w:rsidR="00190802" w:rsidRPr="00ED58AF" w:rsidP="00190802">
      <w:pPr>
        <w:spacing w:after="240" w:line="360" w:lineRule="exact"/>
        <w:rPr>
          <w:rFonts w:ascii="Arial" w:hAnsi="Arial" w:cs="Arial"/>
          <w:color w:val="000000"/>
        </w:rPr>
      </w:pPr>
      <w:r w:rsidRPr="00ED58AF">
        <w:rPr>
          <w:rFonts w:ascii="Arial" w:hAnsi="Arial" w:cs="Arial"/>
          <w:color w:val="000000"/>
        </w:rPr>
        <w:tab/>
        <w:t>(1) Funkčný príplatok patrí:</w:t>
        <w:br/>
        <w:t>a) predsedovi okresného súdu s počtom do 10 senátov vo výške 1 600 Sk mesačne, s počtom senátov 11 až 25 vo výške 2 000 Sk mesačne, s počtom nad 25 senátov vo výške 2 400 Sk mesačne,</w:t>
        <w:br/>
        <w:t>b) podpredsedovi okresného súdu s počtom do 10 senátov vo výške 800 Sk mesačne, s počtom 11 až 25 senátov vo výške 1 200 Sk mesačne, s počtom nad 25 senátov vo výške 1 500 Sk mesačne,</w:t>
        <w:br/>
        <w:t>c) predsedovi krajského súdu vo výške 3 200 Sk mesačne,</w:t>
        <w:br/>
        <w:t>d) podpredsedovi krajského súdu vo výške 1 800 Sk mesačne,</w:t>
        <w:br/>
        <w:t>e) predsedovi senátu krajského súdu vo výške 1 000 Sk mesačne,</w:t>
        <w:br/>
        <w:t>f) sudcovi krajského súdu, ktorý rozhoduje ako samosudca, vo výške 500 Sk mesačne,</w:t>
        <w:br/>
        <w:t>g) predsedovi kolégia Najvyššieho súdu Slovenskej republiky vo výške 2 200 Sk mesačne,</w:t>
        <w:br/>
        <w:t>h) predsedovi senátu Najvyššieho súdu Slovenskej republiky vo výške 2 000 Sk mesačne.</w:t>
        <w:br/>
        <w:tab/>
        <w:t>(2) Predsedovi a podpredsedovi vojenského obvodového súdu patrí funkčný príplatok ako predsedovi a podpredsedovi okresného súdu. Predsedovi, podpredsedovi a predsedovi senátu vyššieho vojenského súdu patrí funkčný príplatok ako predsedovi, podpredsedovi a predsedovi senátu krajského súdu. Sudcovi vyššieho vojenského súdu, ktorý rozhoduje ako samosudca, patrí funkčný príplatok ako sudcovi krajského súdu.</w:t>
        <w:br/>
        <w:tab/>
        <w:t>(3) V prípade súbehu funkcií patrí sudcovi ten funkčný príplatok, ktorý je pre neho výhodnejší.</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6</w:t>
        <w:br/>
        <w:t xml:space="preserve">Príplatok za výkon funkcie na určených súdoch </w:t>
      </w:r>
    </w:p>
    <w:p w:rsidR="00190802" w:rsidRPr="00ED58AF" w:rsidP="00190802">
      <w:pPr>
        <w:spacing w:after="240" w:line="360" w:lineRule="exact"/>
        <w:rPr>
          <w:rFonts w:ascii="Arial" w:hAnsi="Arial" w:cs="Arial"/>
          <w:color w:val="000000"/>
        </w:rPr>
      </w:pPr>
      <w:r w:rsidRPr="00ED58AF">
        <w:rPr>
          <w:rFonts w:ascii="Arial" w:hAnsi="Arial" w:cs="Arial"/>
          <w:color w:val="000000"/>
        </w:rPr>
        <w:tab/>
        <w:t>(1) Ministerstvo spravodlivosti Slovenskej republiky (ďalej len "ministerstvo") môže všeobecne záväzným právnym predpisom určiť okresné a krajské súdy, na ktorých pre výrazne sťažené podmienky výkonu funkcie patrí sudcom príplatok za výkon funkcie na určených súdoch vo výške 500 až 800 Sk mesačne.</w:t>
        <w:br/>
        <w:tab/>
        <w:t>(2) Sudcom vojenských súdov patrí za výkon služobných povinností pri zabezpečovaní pripravenosti a mobilizačnej pohotovosti príplatok v sume 800 Sk mesačne.</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7</w:t>
        <w:br/>
        <w:t>Príplatok za výchovu</w:t>
      </w:r>
      <w:r w:rsidR="00DB6D49">
        <w:rPr>
          <w:rFonts w:ascii="Arial" w:hAnsi="Arial" w:cs="Arial"/>
          <w:bCs/>
          <w:color w:val="303030"/>
        </w:rPr>
        <w:t xml:space="preserve"> justičných</w:t>
      </w:r>
      <w:r w:rsidRPr="00ED58AF">
        <w:rPr>
          <w:rFonts w:ascii="Arial" w:hAnsi="Arial" w:cs="Arial"/>
          <w:bCs/>
          <w:color w:val="303030"/>
        </w:rPr>
        <w:t xml:space="preserve"> čakateľov </w:t>
      </w:r>
    </w:p>
    <w:p w:rsidR="00190802" w:rsidRPr="00ED58AF" w:rsidP="00DB6D49">
      <w:pPr>
        <w:spacing w:after="240" w:line="360" w:lineRule="exact"/>
        <w:jc w:val="both"/>
        <w:rPr>
          <w:rFonts w:ascii="Arial" w:hAnsi="Arial" w:cs="Arial"/>
          <w:color w:val="000000"/>
        </w:rPr>
      </w:pPr>
      <w:r w:rsidRPr="00ED58AF">
        <w:rPr>
          <w:rFonts w:ascii="Arial" w:hAnsi="Arial" w:cs="Arial"/>
          <w:color w:val="000000"/>
        </w:rPr>
        <w:tab/>
        <w:t xml:space="preserve">Sudcom, ktorí sú poverení výchovou </w:t>
      </w:r>
      <w:r w:rsidR="00DB6D49">
        <w:rPr>
          <w:rFonts w:ascii="Arial" w:hAnsi="Arial" w:cs="Arial"/>
          <w:color w:val="000000"/>
        </w:rPr>
        <w:t xml:space="preserve">justičných </w:t>
      </w:r>
      <w:r w:rsidRPr="00ED58AF">
        <w:rPr>
          <w:rFonts w:ascii="Arial" w:hAnsi="Arial" w:cs="Arial"/>
          <w:color w:val="000000"/>
        </w:rPr>
        <w:t>čakateľov, patrí počas výkonu funkcie školiteľa</w:t>
      </w:r>
      <w:r w:rsidRPr="00ED58AF">
        <w:rPr>
          <w:rFonts w:ascii="Arial" w:hAnsi="Arial" w:cs="Arial"/>
          <w:color w:val="000000"/>
        </w:rPr>
        <w:t xml:space="preserve"> príplatok za výchovu </w:t>
      </w:r>
      <w:r w:rsidR="00DB6D49">
        <w:rPr>
          <w:rFonts w:ascii="Arial" w:hAnsi="Arial" w:cs="Arial"/>
          <w:color w:val="000000"/>
        </w:rPr>
        <w:t xml:space="preserve">justičných </w:t>
      </w:r>
      <w:r w:rsidRPr="00ED58AF">
        <w:rPr>
          <w:rFonts w:ascii="Arial" w:hAnsi="Arial" w:cs="Arial"/>
          <w:color w:val="000000"/>
        </w:rPr>
        <w:t xml:space="preserve">čakateľov vo výške 500 Sk mesačne; ak sú poverení výchovou viac ako jedného </w:t>
      </w:r>
      <w:r w:rsidR="00DB6D49">
        <w:rPr>
          <w:rFonts w:ascii="Arial" w:hAnsi="Arial" w:cs="Arial"/>
          <w:color w:val="000000"/>
        </w:rPr>
        <w:t xml:space="preserve">justičného </w:t>
      </w:r>
      <w:r w:rsidRPr="00ED58AF">
        <w:rPr>
          <w:rFonts w:ascii="Arial" w:hAnsi="Arial" w:cs="Arial"/>
          <w:color w:val="000000"/>
        </w:rPr>
        <w:t>čakateľa, patrí im príplatok vo výške 800 Sk mesačne.</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8</w:t>
        <w:br/>
        <w:t xml:space="preserve">Započítateľná prax </w:t>
      </w:r>
    </w:p>
    <w:p w:rsidR="00190802" w:rsidRPr="00ED58AF" w:rsidP="00190802">
      <w:pPr>
        <w:spacing w:after="240" w:line="360" w:lineRule="exact"/>
        <w:rPr>
          <w:rFonts w:ascii="Arial" w:hAnsi="Arial" w:cs="Arial"/>
          <w:color w:val="000000"/>
        </w:rPr>
      </w:pPr>
      <w:r w:rsidRPr="00ED58AF">
        <w:rPr>
          <w:rFonts w:ascii="Arial" w:hAnsi="Arial" w:cs="Arial"/>
          <w:color w:val="000000"/>
        </w:rPr>
        <w:tab/>
        <w:t>(1) Do doby praxe rozh</w:t>
      </w:r>
      <w:r w:rsidR="00404C07">
        <w:rPr>
          <w:rFonts w:ascii="Arial" w:hAnsi="Arial" w:cs="Arial"/>
          <w:color w:val="000000"/>
        </w:rPr>
        <w:t>odu</w:t>
      </w:r>
      <w:r w:rsidR="007B3D4D">
        <w:rPr>
          <w:rFonts w:ascii="Arial" w:hAnsi="Arial" w:cs="Arial"/>
          <w:color w:val="000000"/>
        </w:rPr>
        <w:t>júcej</w:t>
      </w:r>
      <w:r w:rsidR="00404C07">
        <w:rPr>
          <w:rFonts w:ascii="Arial" w:hAnsi="Arial" w:cs="Arial"/>
          <w:color w:val="000000"/>
        </w:rPr>
        <w:t xml:space="preserve"> </w:t>
      </w:r>
      <w:r w:rsidRPr="00ED58AF">
        <w:rPr>
          <w:rFonts w:ascii="Arial" w:hAnsi="Arial" w:cs="Arial"/>
          <w:color w:val="000000"/>
        </w:rPr>
        <w:t>pre zaradenie do príslušné</w:t>
      </w:r>
      <w:r w:rsidRPr="00ED58AF">
        <w:rPr>
          <w:rFonts w:ascii="Arial" w:hAnsi="Arial" w:cs="Arial"/>
          <w:color w:val="000000"/>
        </w:rPr>
        <w:t>ho platového stupňa (započítateľná prax) sa započítava:</w:t>
        <w:br/>
        <w:t>a) doba prípravnej služby čakateľa,</w:t>
        <w:br/>
        <w:t>b) doba výkonu funkcie sudcu,</w:t>
        <w:br/>
        <w:t>c) sudcom preukázaná doba inej právnickej praxe po získaní vysokoškolského právnického vzdelania vo funkcii alebo povolaní, pre ktoré je toto vzdelanie predpísané.</w:t>
        <w:br/>
        <w:tab/>
        <w:t>(2) Do doby započítateľnej praxe podľa odseku 1 písm. b) a c) sa započítava tiež doba</w:t>
        <w:br/>
        <w:t>a) výkonu vojenskej základnej (náhradnej) služby v rozsahu ustanovenom osobitným predpisom platným v čase jej výkonu alebo výkonu civilnej služby v rozsahu najviac 18 mesiacov,</w:t>
        <w:br/>
        <w:t>b) starostlivosti o dieťa, zodpovedajúca dĺžke materskej dovolenky a ďalšej materskej dovolenky ustanovenej osobitným predpisom v čase jej čerpania, osobnej celodennej starostlivosti o dieťa ťažko zdravotne postihnuté ustanovenej osobitným predpisom, najviac však šesť rokov zo súhrnu týchto dôb,</w:t>
        <w:br/>
        <w:t>c) pracovného voľna bez náhrady mzdy, ktoré nepresahuje dobu troch mesiacov v kalendárnom roku,</w:t>
        <w:br/>
        <w:t>d) počas ktorej sudca nemohol vykonávať sudcovskú funkciu z dôvodov uvedených v osobitnom zákone.</w:t>
      </w:r>
      <w:r>
        <w:rPr>
          <w:rStyle w:val="FootnoteReference"/>
          <w:rFonts w:ascii="Arial" w:hAnsi="Arial" w:cs="Arial"/>
          <w:color w:val="000000"/>
          <w:rtl w:val="0"/>
        </w:rPr>
        <w:footnoteReference w:id="1"/>
      </w:r>
      <w:r w:rsidRPr="00ED58AF">
        <w:rPr>
          <w:rFonts w:ascii="Arial" w:hAnsi="Arial" w:cs="Arial"/>
          <w:color w:val="000000"/>
        </w:rPr>
        <w:t>)</w:t>
        <w:br/>
      </w:r>
      <w:r w:rsidR="00F818BA">
        <w:rPr>
          <w:rFonts w:ascii="Arial" w:hAnsi="Arial" w:cs="Arial"/>
          <w:color w:val="000000"/>
        </w:rPr>
        <w:tab/>
      </w:r>
      <w:r w:rsidRPr="00ED58AF">
        <w:rPr>
          <w:rFonts w:ascii="Arial" w:hAnsi="Arial" w:cs="Arial"/>
          <w:color w:val="000000"/>
        </w:rPr>
        <w:t>(3) Z dôvodov hodných osobitného zreteľa môže minister spravodlivosti Slovenskej republiky rozhodnúť o započítaní inej doby do započítateľnej praxe.</w:t>
        <w:br/>
      </w:r>
      <w:r w:rsidR="00F818BA">
        <w:rPr>
          <w:rFonts w:ascii="Arial" w:hAnsi="Arial" w:cs="Arial"/>
          <w:color w:val="000000"/>
        </w:rPr>
        <w:tab/>
      </w:r>
      <w:r w:rsidRPr="00ED58AF">
        <w:rPr>
          <w:rFonts w:ascii="Arial" w:hAnsi="Arial" w:cs="Arial"/>
          <w:color w:val="000000"/>
        </w:rPr>
        <w:t>(4) Sudca môže byť zaradený z prvého do druhého platového stupňa, len ak skutočne vykonával funkciu podľa odseku 1 písm. b) najmenej počas dvoch rokov, do ktorých sa nezapočítavajú doby uvedené v odseku 2 písm. a) až d).</w:t>
        <w:br/>
      </w:r>
    </w:p>
    <w:p w:rsidR="00DB6D49" w:rsidP="00190802">
      <w:pPr>
        <w:spacing w:before="100" w:beforeAutospacing="1" w:after="100" w:afterAutospacing="1" w:line="360" w:lineRule="exact"/>
        <w:jc w:val="center"/>
        <w:outlineLvl w:val="4"/>
        <w:rPr>
          <w:rFonts w:ascii="Arial" w:hAnsi="Arial" w:cs="Arial"/>
          <w:bCs/>
          <w:color w:val="303030"/>
        </w:rPr>
      </w:pPr>
      <w:r w:rsidRPr="00ED58AF" w:rsidR="00190802">
        <w:rPr>
          <w:rFonts w:ascii="Arial" w:hAnsi="Arial" w:cs="Arial"/>
          <w:bCs/>
          <w:color w:val="303030"/>
        </w:rPr>
        <w:t>§ 9</w:t>
      </w:r>
    </w:p>
    <w:p w:rsidR="00DB6D49" w:rsidRPr="00ED58AF" w:rsidP="00DB6D49">
      <w:pPr>
        <w:spacing w:before="100" w:beforeAutospacing="1" w:after="100" w:afterAutospacing="1" w:line="220" w:lineRule="exact"/>
        <w:jc w:val="center"/>
        <w:outlineLvl w:val="4"/>
        <w:rPr>
          <w:rFonts w:ascii="Arial" w:hAnsi="Arial" w:cs="Arial"/>
          <w:bCs/>
          <w:color w:val="303030"/>
        </w:rPr>
      </w:pPr>
      <w:r>
        <w:rPr>
          <w:rFonts w:ascii="Arial" w:hAnsi="Arial" w:cs="Arial"/>
          <w:bCs/>
          <w:color w:val="303030"/>
        </w:rPr>
        <w:t>Dočasné pridelenie</w:t>
      </w:r>
    </w:p>
    <w:p w:rsidR="00190802" w:rsidRPr="00ED58AF" w:rsidP="00190802">
      <w:pPr>
        <w:spacing w:after="240" w:line="360" w:lineRule="exact"/>
        <w:rPr>
          <w:rFonts w:ascii="Arial" w:hAnsi="Arial" w:cs="Arial"/>
          <w:color w:val="000000"/>
        </w:rPr>
      </w:pPr>
      <w:r w:rsidRPr="00ED58AF">
        <w:rPr>
          <w:rFonts w:ascii="Arial" w:hAnsi="Arial" w:cs="Arial"/>
          <w:color w:val="000000"/>
        </w:rPr>
        <w:tab/>
        <w:t xml:space="preserve">(1) Sudcom počas dočasného pridelenia </w:t>
      </w:r>
      <w:r>
        <w:rPr>
          <w:rStyle w:val="FootnoteReference"/>
          <w:rFonts w:ascii="Arial" w:hAnsi="Arial" w:cs="Arial"/>
          <w:color w:val="000000"/>
          <w:rtl w:val="0"/>
        </w:rPr>
        <w:footnoteReference w:id="2"/>
      </w:r>
      <w:r w:rsidRPr="00ED58AF">
        <w:rPr>
          <w:rFonts w:ascii="Arial" w:hAnsi="Arial" w:cs="Arial"/>
          <w:color w:val="000000"/>
        </w:rPr>
        <w:t>) patrí plat podľa doterajšieho zaradenia.</w:t>
        <w:br/>
        <w:tab/>
        <w:t>(2) Ak bol sudca dočasne pridelený za účelom zastupovania neprítomné</w:t>
      </w:r>
      <w:r w:rsidR="00CA1CCF">
        <w:rPr>
          <w:rFonts w:ascii="Arial" w:hAnsi="Arial" w:cs="Arial"/>
          <w:color w:val="000000"/>
        </w:rPr>
        <w:t>ho</w:t>
      </w:r>
      <w:r w:rsidRPr="00ED58AF">
        <w:rPr>
          <w:rFonts w:ascii="Arial" w:hAnsi="Arial" w:cs="Arial"/>
          <w:color w:val="000000"/>
        </w:rPr>
        <w:t xml:space="preserve"> sudcu vykonávajúceho vyššiu funkciu, patrí mu príplatok za zastupovanie (§ 11).</w:t>
        <w:br/>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1</w:t>
      </w:r>
      <w:r w:rsidR="003A1A0A">
        <w:rPr>
          <w:rFonts w:ascii="Arial" w:hAnsi="Arial" w:cs="Arial"/>
          <w:bCs/>
          <w:color w:val="303030"/>
        </w:rPr>
        <w:t>0</w:t>
      </w:r>
      <w:r w:rsidRPr="00ED58AF">
        <w:rPr>
          <w:rFonts w:ascii="Arial" w:hAnsi="Arial" w:cs="Arial"/>
          <w:bCs/>
          <w:color w:val="303030"/>
        </w:rPr>
        <w:br/>
        <w:t xml:space="preserve">Príplatok za zastupovanie </w:t>
      </w:r>
    </w:p>
    <w:p w:rsidR="00190802" w:rsidRPr="00ED58AF" w:rsidP="00190802">
      <w:pPr>
        <w:spacing w:after="240" w:line="360" w:lineRule="exact"/>
        <w:rPr>
          <w:rFonts w:ascii="Arial" w:hAnsi="Arial" w:cs="Arial"/>
          <w:color w:val="000000"/>
        </w:rPr>
      </w:pPr>
      <w:r w:rsidRPr="00ED58AF">
        <w:rPr>
          <w:rFonts w:ascii="Arial" w:hAnsi="Arial" w:cs="Arial"/>
          <w:color w:val="000000"/>
        </w:rPr>
        <w:tab/>
        <w:t>(1) Ak zastupuje sudca na príkaz predsedu súdu neprítomného sudcu vykonávajúceho vyššiu funkciu v plnom rozsahu jeho činnosti dlhšie ako štyri týždne, patrí mu od začiatku zastupovania funkčný príplatok (§ 5) zastupovaného.</w:t>
        <w:br/>
        <w:tab/>
        <w:t>(2) Ak zastupuje sudca za podmienok uvedených v odseku 1 predsedu alebo podpredsedu Najvyššieho súdu Slovenskej republiky, patrí mu od začiatku zastupovania príplatok vo výške 15% doterajšieho platu, najviac však plat podpredsedu tohto súdu.</w:t>
        <w:br/>
        <w:tab/>
        <w:t xml:space="preserve">(3) Príplatok za zastupovanie nepatrí, ak je zastupovanie súčasťou pracovných povinností sudcu. </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1</w:t>
      </w:r>
      <w:r w:rsidR="003A1A0A">
        <w:rPr>
          <w:rFonts w:ascii="Arial" w:hAnsi="Arial" w:cs="Arial"/>
          <w:bCs/>
          <w:color w:val="303030"/>
        </w:rPr>
        <w:t>1</w:t>
      </w:r>
      <w:r w:rsidRPr="00ED58AF">
        <w:rPr>
          <w:rFonts w:ascii="Arial" w:hAnsi="Arial" w:cs="Arial"/>
          <w:bCs/>
          <w:color w:val="303030"/>
        </w:rPr>
        <w:br/>
        <w:t xml:space="preserve">Odmeny </w:t>
      </w:r>
    </w:p>
    <w:p w:rsidR="00190802" w:rsidRPr="00ED58AF" w:rsidP="00190802">
      <w:pPr>
        <w:spacing w:after="240" w:line="360" w:lineRule="exact"/>
        <w:rPr>
          <w:rFonts w:ascii="Arial" w:hAnsi="Arial" w:cs="Arial"/>
          <w:color w:val="000000"/>
        </w:rPr>
      </w:pPr>
      <w:r w:rsidRPr="00ED58AF">
        <w:rPr>
          <w:rFonts w:ascii="Arial" w:hAnsi="Arial" w:cs="Arial"/>
          <w:color w:val="000000"/>
        </w:rPr>
        <w:t>Sudcom možno poskytovať odmeny</w:t>
        <w:br/>
        <w:t>a) za úspešné splnenie mimoriadnych úloh, ktoré nie sú spojené s ich rozhodovacou činnosťou,</w:t>
        <w:br/>
        <w:t>b) za ocenenie pracovných zásluh pri dosiahnutí 50 rokov veku a pri prvom skončení zamestnania po nadobudnutí nároku na starobný alebo invalidný dôchodok,</w:t>
        <w:br/>
        <w:t>c) v iných zreteľahodných prípadoch na základe rozhodnutia ministra spravodlivosti.</w:t>
      </w:r>
    </w:p>
    <w:p w:rsidR="003A1A0A" w:rsidP="00190802">
      <w:pPr>
        <w:spacing w:before="100" w:beforeAutospacing="1" w:after="100" w:afterAutospacing="1" w:line="360" w:lineRule="exact"/>
        <w:jc w:val="center"/>
        <w:outlineLvl w:val="4"/>
        <w:rPr>
          <w:rFonts w:ascii="Arial" w:hAnsi="Arial" w:cs="Arial"/>
          <w:bCs/>
          <w:color w:val="303030"/>
        </w:rPr>
      </w:pPr>
      <w:r w:rsidRPr="00ED58AF" w:rsidR="00190802">
        <w:rPr>
          <w:rFonts w:ascii="Arial" w:hAnsi="Arial" w:cs="Arial"/>
          <w:bCs/>
          <w:color w:val="303030"/>
        </w:rPr>
        <w:t xml:space="preserve">§ </w:t>
      </w:r>
      <w:r>
        <w:rPr>
          <w:rFonts w:ascii="Arial" w:hAnsi="Arial" w:cs="Arial"/>
          <w:bCs/>
          <w:color w:val="303030"/>
        </w:rPr>
        <w:t>12</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xml:space="preserve">Príplatok za prácu nadčas a vo sviatok </w:t>
      </w:r>
    </w:p>
    <w:p w:rsidR="00190802" w:rsidRPr="00ED58AF" w:rsidP="00190802">
      <w:pPr>
        <w:spacing w:after="240" w:line="360" w:lineRule="exact"/>
        <w:rPr>
          <w:rFonts w:ascii="Arial" w:hAnsi="Arial" w:cs="Arial"/>
          <w:color w:val="000000"/>
        </w:rPr>
      </w:pPr>
      <w:r w:rsidR="000C67B0">
        <w:rPr>
          <w:rFonts w:ascii="Arial" w:hAnsi="Arial" w:cs="Arial"/>
          <w:color w:val="000000"/>
        </w:rPr>
        <w:tab/>
      </w:r>
      <w:r w:rsidRPr="00ED58AF">
        <w:rPr>
          <w:rFonts w:ascii="Arial" w:hAnsi="Arial" w:cs="Arial"/>
          <w:color w:val="000000"/>
        </w:rPr>
        <w:t>(1) Za prácu nadčas v noci a v dňoch nepretržitého odpočinku v týždni a za prácu v sviatok patria sudcom príplatky podľa osobitného zákona.</w:t>
      </w:r>
      <w:r>
        <w:rPr>
          <w:rStyle w:val="FootnoteReference"/>
          <w:rFonts w:ascii="Arial" w:hAnsi="Arial" w:cs="Arial"/>
          <w:color w:val="000000"/>
          <w:rtl w:val="0"/>
        </w:rPr>
        <w:footnoteReference w:id="3"/>
      </w:r>
      <w:r w:rsidRPr="00ED58AF">
        <w:rPr>
          <w:rFonts w:ascii="Arial" w:hAnsi="Arial" w:cs="Arial"/>
          <w:color w:val="000000"/>
        </w:rPr>
        <w:t>)</w:t>
        <w:br/>
      </w:r>
      <w:r w:rsidR="000C67B0">
        <w:rPr>
          <w:rFonts w:ascii="Arial" w:hAnsi="Arial" w:cs="Arial"/>
          <w:color w:val="000000"/>
        </w:rPr>
        <w:tab/>
      </w:r>
      <w:r w:rsidRPr="00ED58AF">
        <w:rPr>
          <w:rFonts w:ascii="Arial" w:hAnsi="Arial" w:cs="Arial"/>
          <w:color w:val="000000"/>
        </w:rPr>
        <w:t>(2) Ustanovenie odseku 1 sa nevzťahuje na sudco</w:t>
      </w:r>
      <w:r w:rsidR="00DB6D49">
        <w:rPr>
          <w:rFonts w:ascii="Arial" w:hAnsi="Arial" w:cs="Arial"/>
          <w:color w:val="000000"/>
        </w:rPr>
        <w:t>v a čakateľov vojenských súdov.</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1</w:t>
      </w:r>
      <w:r w:rsidR="003A1A0A">
        <w:rPr>
          <w:rFonts w:ascii="Arial" w:hAnsi="Arial" w:cs="Arial"/>
          <w:bCs/>
          <w:color w:val="303030"/>
        </w:rPr>
        <w:t>3</w:t>
      </w:r>
      <w:r w:rsidRPr="00ED58AF">
        <w:rPr>
          <w:rFonts w:ascii="Arial" w:hAnsi="Arial" w:cs="Arial"/>
          <w:bCs/>
          <w:color w:val="303030"/>
        </w:rPr>
        <w:br/>
        <w:t xml:space="preserve">Odmena za pracovnú pohotovosť </w:t>
      </w:r>
    </w:p>
    <w:p w:rsidR="00190802" w:rsidRPr="00ED58AF" w:rsidP="00190802">
      <w:pPr>
        <w:spacing w:after="240" w:line="360" w:lineRule="exact"/>
        <w:rPr>
          <w:rFonts w:ascii="Arial" w:hAnsi="Arial" w:cs="Arial"/>
          <w:color w:val="000000"/>
        </w:rPr>
      </w:pPr>
      <w:r w:rsidR="00297D92">
        <w:rPr>
          <w:rFonts w:ascii="Arial" w:hAnsi="Arial" w:cs="Arial"/>
          <w:color w:val="000000"/>
        </w:rPr>
        <w:tab/>
      </w:r>
      <w:r w:rsidRPr="00ED58AF">
        <w:rPr>
          <w:rFonts w:ascii="Arial" w:hAnsi="Arial" w:cs="Arial"/>
          <w:color w:val="000000"/>
        </w:rPr>
        <w:t>Za každú hodinu pracovnej pohotovosti patrí sudcom odmena podľa osobitného predpisu.</w:t>
      </w:r>
      <w:r>
        <w:rPr>
          <w:rStyle w:val="FootnoteReference"/>
          <w:rFonts w:ascii="Arial" w:hAnsi="Arial" w:cs="Arial"/>
          <w:color w:val="000000"/>
          <w:rtl w:val="0"/>
        </w:rPr>
        <w:footnoteReference w:id="4"/>
      </w:r>
      <w:r w:rsidR="00DB6D49">
        <w:rPr>
          <w:rFonts w:ascii="Arial" w:hAnsi="Arial" w:cs="Arial"/>
          <w:color w:val="000000"/>
        </w:rPr>
        <w:t>)</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1</w:t>
      </w:r>
      <w:r w:rsidR="003A1A0A">
        <w:rPr>
          <w:rFonts w:ascii="Arial" w:hAnsi="Arial" w:cs="Arial"/>
          <w:bCs/>
          <w:color w:val="303030"/>
        </w:rPr>
        <w:t>4</w:t>
      </w:r>
    </w:p>
    <w:p w:rsidR="00190802" w:rsidP="00881298">
      <w:pPr>
        <w:spacing w:after="240" w:line="360" w:lineRule="exact"/>
        <w:jc w:val="both"/>
        <w:rPr>
          <w:rFonts w:ascii="Arial" w:hAnsi="Arial" w:cs="Arial"/>
          <w:color w:val="000000"/>
        </w:rPr>
      </w:pPr>
      <w:r w:rsidRPr="00ED58AF">
        <w:rPr>
          <w:rFonts w:ascii="Arial" w:hAnsi="Arial" w:cs="Arial"/>
          <w:color w:val="000000"/>
        </w:rPr>
        <w:tab/>
        <w:t>(1) Ak bol sudca zbavený funkcie z dôvodu, že jeho zdravotný stav mu nedovoľuje riadne vykonávať sudcovské povinnosti, patrí mu počas troch mesiacov od zániku jeho funkcie vyrovnanie vo výške doterajšieho platu, prípadne vo výške rozdielu medzi doterajším sudcovským platom a zárobkom, ktorý dosahuje na novom pracovnom mieste. Vyrovnanie mu nepatrí, ak má nárok na starobný dôchodok, alebo na invalidný dôchodok. Suma vyrovnania sa zníži o sumu rovnajúcu sa čiastočnému invalidnému dôchodku, ktorý bol sudcovi priznaný.</w:t>
        <w:br/>
        <w:tab/>
        <w:t xml:space="preserve">(2) Ak bol sudca na svoju žiadosť zbavený funkcie alebo uvoľnený z funkcie, v ktorej mu patril funkčný </w:t>
      </w:r>
      <w:r w:rsidRPr="000C67B0">
        <w:rPr>
          <w:rFonts w:ascii="Arial" w:hAnsi="Arial" w:cs="Arial"/>
          <w:color w:val="000000"/>
        </w:rPr>
        <w:t>príplatok (§ 5), alebo v ktorej mu patril plat podľa § 2,</w:t>
      </w:r>
      <w:r w:rsidRPr="00ED58AF">
        <w:rPr>
          <w:rFonts w:ascii="Arial" w:hAnsi="Arial" w:cs="Arial"/>
          <w:color w:val="000000"/>
        </w:rPr>
        <w:t xml:space="preserve"> patrí mu počas troch mesiacov vyrovnanie vo výške rozdielu medzi doterajším a novým platom. </w:t>
      </w:r>
    </w:p>
    <w:p w:rsidR="006D7F19" w:rsidRPr="00ED58AF" w:rsidP="006D7F19">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1</w:t>
      </w:r>
      <w:r w:rsidR="003A1A0A">
        <w:rPr>
          <w:rFonts w:ascii="Arial" w:hAnsi="Arial" w:cs="Arial"/>
          <w:bCs/>
          <w:color w:val="303030"/>
        </w:rPr>
        <w:t>5</w:t>
      </w:r>
    </w:p>
    <w:p w:rsidR="006D7F19" w:rsidRPr="00BF4AC2" w:rsidP="006D7F19">
      <w:pPr>
        <w:spacing w:line="360" w:lineRule="exact"/>
        <w:jc w:val="center"/>
        <w:rPr>
          <w:rFonts w:ascii="Arial" w:hAnsi="Arial" w:cs="Arial"/>
          <w:color w:val="000000"/>
        </w:rPr>
      </w:pPr>
      <w:r>
        <w:rPr>
          <w:rFonts w:ascii="Arial" w:hAnsi="Arial" w:cs="Arial"/>
          <w:color w:val="000000"/>
        </w:rPr>
        <w:t>Ďalší plat</w:t>
      </w:r>
    </w:p>
    <w:p w:rsidR="006D7F19" w:rsidRPr="00BF4AC2" w:rsidP="006D7F19">
      <w:pPr>
        <w:spacing w:line="360" w:lineRule="exact"/>
        <w:jc w:val="center"/>
        <w:rPr>
          <w:rFonts w:ascii="Arial" w:hAnsi="Arial" w:cs="Arial"/>
          <w:color w:val="000000"/>
        </w:rPr>
      </w:pPr>
    </w:p>
    <w:p w:rsidR="006D7F19" w:rsidP="006D7F19">
      <w:pPr>
        <w:spacing w:line="360" w:lineRule="exact"/>
        <w:rPr>
          <w:rFonts w:ascii="Arial" w:hAnsi="Arial" w:cs="Arial"/>
          <w:color w:val="000000"/>
        </w:rPr>
      </w:pPr>
      <w:r w:rsidRPr="00BF4AC2">
        <w:rPr>
          <w:rFonts w:ascii="Arial" w:hAnsi="Arial" w:cs="Arial"/>
          <w:color w:val="000000"/>
        </w:rPr>
        <w:t xml:space="preserve"> </w:t>
      </w:r>
      <w:r>
        <w:rPr>
          <w:rFonts w:ascii="Arial" w:hAnsi="Arial" w:cs="Arial"/>
          <w:color w:val="000000"/>
        </w:rPr>
        <w:tab/>
      </w:r>
      <w:r w:rsidRPr="00BF4AC2">
        <w:rPr>
          <w:rFonts w:ascii="Arial" w:hAnsi="Arial" w:cs="Arial"/>
          <w:color w:val="000000"/>
        </w:rPr>
        <w:t>(1) Sudcovi patrí v kalendárnom roku 2003 ďalší plat vo výške funkčného platu patriaceho za mesiac november, ak v príslušnom polroku do 30. novembra</w:t>
        <w:br/>
        <w:t>a) vykonával funkciu sudcu aspoň 75 pracovných dní,</w:t>
        <w:br/>
        <w:t>b) osobitný vzťah sudcu k štátu trvá,</w:t>
        <w:br/>
        <w:t xml:space="preserve">c) nebolo mu uložené disciplinárne opatrenie za závažné disciplinárne previnenie alebo sa nevedie proti nemu disciplinárne konanie. </w:t>
        <w:br/>
      </w:r>
      <w:r>
        <w:rPr>
          <w:rFonts w:ascii="Arial" w:hAnsi="Arial" w:cs="Arial"/>
          <w:color w:val="000000"/>
        </w:rPr>
        <w:tab/>
      </w:r>
      <w:r w:rsidRPr="00BF4AC2">
        <w:rPr>
          <w:rFonts w:ascii="Arial" w:hAnsi="Arial" w:cs="Arial"/>
          <w:color w:val="000000"/>
        </w:rPr>
        <w:t xml:space="preserve">(2) Plat podľa odseku 1 je splatný vo výplatnom termíne určenom na výplatu platu za mesiac november. Ak podmienku uvedenú v odseku 1 písm. a) splní až k 31. decembru, plat podľa odseku 1 je splatný vo výplatnom termíne za mesiac december. </w:t>
        <w:br/>
      </w:r>
      <w:r>
        <w:rPr>
          <w:rFonts w:ascii="Arial" w:hAnsi="Arial" w:cs="Arial"/>
          <w:color w:val="000000"/>
        </w:rPr>
        <w:tab/>
      </w:r>
      <w:r w:rsidRPr="00BF4AC2">
        <w:rPr>
          <w:rFonts w:ascii="Arial" w:hAnsi="Arial" w:cs="Arial"/>
          <w:color w:val="000000"/>
        </w:rPr>
        <w:t>(3) Výkonom funkcie sudcu na účely poskytnutia ďalšieho platu podľa odseku 1 písm. a) je aj čas</w:t>
        <w:br/>
        <w:t>a) čerpania dovolenky,</w:t>
        <w:br/>
        <w:t>b) plateného pracovného voľna,</w:t>
        <w:br/>
        <w:t>c) neprítomnosti pre úraz, ku ktorému došlo pri výkone funkcie alebo v súvislosti s výkonom funkcie,</w:t>
        <w:br/>
        <w:t>d) dočasného pridelenia,</w:t>
        <w:br/>
        <w:t>e) prehlbovania kvalifikácie, čerpania študijného voľna pri zvyšovaní kvalifikácie.</w:t>
      </w:r>
    </w:p>
    <w:p w:rsidR="00297D92" w:rsidP="00190802">
      <w:pPr>
        <w:spacing w:after="240" w:line="360" w:lineRule="exact"/>
        <w:rPr>
          <w:rFonts w:ascii="Arial" w:hAnsi="Arial" w:cs="Arial"/>
          <w:color w:val="000000"/>
        </w:rPr>
      </w:pP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xml:space="preserve">Spoločné, prechodné a záverečné ustanovenia </w:t>
        <w:br/>
        <w:t>§ 1</w:t>
      </w:r>
      <w:r w:rsidR="003A1A0A">
        <w:rPr>
          <w:rFonts w:ascii="Arial" w:hAnsi="Arial" w:cs="Arial"/>
          <w:bCs/>
          <w:color w:val="303030"/>
        </w:rPr>
        <w:t>6</w:t>
      </w:r>
    </w:p>
    <w:p w:rsidR="00190802" w:rsidRPr="00ED58AF" w:rsidP="00190802">
      <w:pPr>
        <w:spacing w:after="240" w:line="360" w:lineRule="exact"/>
        <w:rPr>
          <w:rFonts w:ascii="Arial" w:hAnsi="Arial" w:cs="Arial"/>
          <w:color w:val="000000"/>
        </w:rPr>
      </w:pPr>
      <w:r w:rsidR="000C67B0">
        <w:rPr>
          <w:rFonts w:ascii="Arial" w:hAnsi="Arial" w:cs="Arial"/>
          <w:color w:val="000000"/>
        </w:rPr>
        <w:tab/>
      </w:r>
      <w:r w:rsidRPr="00ED58AF">
        <w:rPr>
          <w:rFonts w:ascii="Arial" w:hAnsi="Arial" w:cs="Arial"/>
          <w:color w:val="000000"/>
        </w:rPr>
        <w:t>(1) Základný plat vo vyššom platovom stupni patrí sudcovi od prvého dňa mesiaca nasledujúceho po dni, v ktorom dosiahol určenú započítateľnú prax; ak je týmto dňom prvý deň v mesiaci, už od tohto dňa.</w:t>
        <w:br/>
      </w:r>
      <w:r w:rsidR="000C67B0">
        <w:rPr>
          <w:rFonts w:ascii="Arial" w:hAnsi="Arial" w:cs="Arial"/>
          <w:color w:val="000000"/>
        </w:rPr>
        <w:tab/>
      </w:r>
      <w:r w:rsidRPr="00ED58AF">
        <w:rPr>
          <w:rFonts w:ascii="Arial" w:hAnsi="Arial" w:cs="Arial"/>
          <w:color w:val="000000"/>
        </w:rPr>
        <w:t xml:space="preserve">(2) </w:t>
      </w:r>
      <w:r w:rsidRPr="000C67B0">
        <w:rPr>
          <w:rFonts w:ascii="Arial" w:hAnsi="Arial" w:cs="Arial"/>
          <w:color w:val="000000"/>
        </w:rPr>
        <w:t>Príplatok podľa § 5 patrí sudcovi odo dňa menovania do príslušnej funkcie.</w:t>
        <w:br/>
      </w:r>
      <w:r w:rsidRPr="000C67B0" w:rsidR="000C67B0">
        <w:rPr>
          <w:rFonts w:ascii="Arial" w:hAnsi="Arial" w:cs="Arial"/>
          <w:color w:val="000000"/>
        </w:rPr>
        <w:tab/>
      </w:r>
      <w:r w:rsidRPr="000C67B0">
        <w:rPr>
          <w:rFonts w:ascii="Arial" w:hAnsi="Arial" w:cs="Arial"/>
          <w:color w:val="000000"/>
        </w:rPr>
        <w:t>(3) Príplatky podľa § 6 a 7 patria</w:t>
      </w:r>
      <w:r w:rsidRPr="00ED58AF">
        <w:rPr>
          <w:rFonts w:ascii="Arial" w:hAnsi="Arial" w:cs="Arial"/>
          <w:color w:val="000000"/>
        </w:rPr>
        <w:t xml:space="preserve"> sudcovi od prvého dňa mesiaca nasledujúceho po dni, v ktorom vznikol na ne nárok. </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1</w:t>
      </w:r>
      <w:r w:rsidR="003A1A0A">
        <w:rPr>
          <w:rFonts w:ascii="Arial" w:hAnsi="Arial" w:cs="Arial"/>
          <w:bCs/>
          <w:color w:val="303030"/>
        </w:rPr>
        <w:t>7</w:t>
      </w:r>
    </w:p>
    <w:p w:rsidR="00190802" w:rsidP="00190802">
      <w:pPr>
        <w:spacing w:after="240" w:line="360" w:lineRule="exact"/>
        <w:rPr>
          <w:rFonts w:ascii="Arial" w:hAnsi="Arial" w:cs="Arial"/>
          <w:color w:val="000000"/>
        </w:rPr>
      </w:pPr>
      <w:r w:rsidR="00297D92">
        <w:rPr>
          <w:rFonts w:ascii="Arial" w:hAnsi="Arial" w:cs="Arial"/>
          <w:color w:val="000000"/>
        </w:rPr>
        <w:tab/>
      </w:r>
      <w:r w:rsidRPr="00ED58AF">
        <w:rPr>
          <w:rFonts w:ascii="Arial" w:hAnsi="Arial" w:cs="Arial"/>
          <w:color w:val="000000"/>
        </w:rPr>
        <w:t xml:space="preserve">Do započítateľnej praxe sa započítavajú ku dňu účinnosti tohto zákona všetky doby započítané podľa doterajších predpisov. </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xml:space="preserve">§ </w:t>
      </w:r>
      <w:r w:rsidR="006D7F19">
        <w:rPr>
          <w:rFonts w:ascii="Arial" w:hAnsi="Arial" w:cs="Arial"/>
          <w:bCs/>
          <w:color w:val="303030"/>
        </w:rPr>
        <w:t>1</w:t>
      </w:r>
      <w:r w:rsidR="003A1A0A">
        <w:rPr>
          <w:rFonts w:ascii="Arial" w:hAnsi="Arial" w:cs="Arial"/>
          <w:bCs/>
          <w:color w:val="303030"/>
        </w:rPr>
        <w:t>8</w:t>
      </w:r>
    </w:p>
    <w:p w:rsidR="00190802" w:rsidRPr="00ED58AF" w:rsidP="00C8249F">
      <w:pPr>
        <w:spacing w:after="240" w:line="360" w:lineRule="exact"/>
        <w:jc w:val="both"/>
        <w:rPr>
          <w:rFonts w:ascii="Arial" w:hAnsi="Arial" w:cs="Arial"/>
          <w:color w:val="000000"/>
        </w:rPr>
      </w:pPr>
      <w:r w:rsidR="00297D92">
        <w:rPr>
          <w:rFonts w:ascii="Arial" w:hAnsi="Arial" w:cs="Arial"/>
          <w:color w:val="000000"/>
        </w:rPr>
        <w:tab/>
      </w:r>
      <w:r w:rsidRPr="00ED58AF">
        <w:rPr>
          <w:rFonts w:ascii="Arial" w:hAnsi="Arial" w:cs="Arial"/>
          <w:color w:val="000000"/>
        </w:rPr>
        <w:t xml:space="preserve">Znížiť základný plat sudcovi možno na základe právoplatného rozhodnutia </w:t>
      </w:r>
      <w:r w:rsidR="00C8249F">
        <w:rPr>
          <w:rFonts w:ascii="Arial" w:hAnsi="Arial" w:cs="Arial"/>
          <w:color w:val="000000"/>
        </w:rPr>
        <w:t xml:space="preserve"> disciplinárneho súdu</w:t>
      </w:r>
      <w:r w:rsidRPr="00ED58AF">
        <w:rPr>
          <w:rFonts w:ascii="Arial" w:hAnsi="Arial" w:cs="Arial"/>
          <w:color w:val="000000"/>
        </w:rPr>
        <w:t xml:space="preserve">. </w:t>
      </w:r>
    </w:p>
    <w:p w:rsidR="00190802" w:rsidRPr="00ED58AF" w:rsidP="00190802">
      <w:pPr>
        <w:spacing w:before="100" w:beforeAutospacing="1" w:after="100" w:afterAutospacing="1" w:line="360" w:lineRule="exact"/>
        <w:jc w:val="center"/>
        <w:outlineLvl w:val="4"/>
        <w:rPr>
          <w:rFonts w:ascii="Arial" w:hAnsi="Arial" w:cs="Arial"/>
          <w:bCs/>
          <w:color w:val="303030"/>
        </w:rPr>
      </w:pPr>
      <w:r w:rsidRPr="00ED58AF">
        <w:rPr>
          <w:rFonts w:ascii="Arial" w:hAnsi="Arial" w:cs="Arial"/>
          <w:bCs/>
          <w:color w:val="303030"/>
        </w:rPr>
        <w:t xml:space="preserve">§ </w:t>
      </w:r>
      <w:r w:rsidR="003A1A0A">
        <w:rPr>
          <w:rFonts w:ascii="Arial" w:hAnsi="Arial" w:cs="Arial"/>
          <w:bCs/>
          <w:color w:val="303030"/>
        </w:rPr>
        <w:t>19</w:t>
      </w:r>
    </w:p>
    <w:p w:rsidR="00C8249F" w:rsidP="00C8249F">
      <w:pPr>
        <w:spacing w:line="360" w:lineRule="exact"/>
        <w:jc w:val="both"/>
        <w:rPr>
          <w:rFonts w:ascii="Arial" w:hAnsi="Arial" w:cs="Arial"/>
          <w:color w:val="000000"/>
        </w:rPr>
      </w:pPr>
      <w:r w:rsidR="00ED58AF">
        <w:rPr>
          <w:rFonts w:ascii="Arial" w:hAnsi="Arial" w:cs="Arial"/>
          <w:color w:val="000000"/>
        </w:rPr>
        <w:tab/>
      </w:r>
      <w:r>
        <w:rPr>
          <w:rFonts w:ascii="Arial" w:hAnsi="Arial" w:cs="Arial"/>
          <w:color w:val="000000"/>
        </w:rPr>
        <w:t xml:space="preserve">Zákon o štátnom rozpočte na rok 2003 určí výšku a termín účinnosti valorizácie základného platu sudcu v kalendárnom roku 2003. </w:t>
      </w:r>
    </w:p>
    <w:p w:rsidR="00C8249F" w:rsidP="00190802">
      <w:pPr>
        <w:spacing w:line="360" w:lineRule="exact"/>
        <w:jc w:val="center"/>
        <w:rPr>
          <w:rFonts w:ascii="Arial" w:hAnsi="Arial" w:cs="Arial"/>
          <w:color w:val="000000"/>
        </w:rPr>
      </w:pPr>
    </w:p>
    <w:p w:rsidR="00861583" w:rsidRPr="00ED58AF" w:rsidP="00190802">
      <w:pPr>
        <w:spacing w:line="360" w:lineRule="exact"/>
        <w:jc w:val="center"/>
        <w:rPr>
          <w:rFonts w:ascii="Arial" w:hAnsi="Arial" w:cs="Arial"/>
          <w:color w:val="000000"/>
        </w:rPr>
      </w:pPr>
      <w:r w:rsidRPr="00ED58AF">
        <w:rPr>
          <w:rFonts w:ascii="Arial" w:hAnsi="Arial" w:cs="Arial"/>
          <w:color w:val="000000"/>
        </w:rPr>
        <w:t xml:space="preserve">§ </w:t>
      </w:r>
      <w:r w:rsidR="00297D92">
        <w:rPr>
          <w:rFonts w:ascii="Arial" w:hAnsi="Arial" w:cs="Arial"/>
          <w:color w:val="000000"/>
        </w:rPr>
        <w:t>2</w:t>
      </w:r>
      <w:r w:rsidR="003A1A0A">
        <w:rPr>
          <w:rFonts w:ascii="Arial" w:hAnsi="Arial" w:cs="Arial"/>
          <w:color w:val="000000"/>
        </w:rPr>
        <w:t>0</w:t>
      </w:r>
    </w:p>
    <w:p w:rsidR="00BF4AC2" w:rsidRPr="00ED58AF" w:rsidP="00190802">
      <w:pPr>
        <w:spacing w:line="360" w:lineRule="exact"/>
        <w:jc w:val="both"/>
        <w:rPr>
          <w:rFonts w:ascii="Arial" w:hAnsi="Arial" w:cs="Arial"/>
        </w:rPr>
      </w:pPr>
      <w:r w:rsidRPr="00ED58AF">
        <w:rPr>
          <w:rFonts w:ascii="Arial" w:hAnsi="Arial" w:cs="Arial"/>
        </w:rPr>
        <w:tab/>
      </w:r>
    </w:p>
    <w:p w:rsidR="00047068" w:rsidRPr="00F818BA" w:rsidP="00C8249F">
      <w:pPr>
        <w:tabs>
          <w:tab w:val="left" w:pos="851"/>
        </w:tabs>
        <w:spacing w:line="360" w:lineRule="exact"/>
        <w:ind w:right="-2"/>
        <w:jc w:val="both"/>
        <w:rPr>
          <w:rFonts w:ascii="Arial" w:hAnsi="Arial" w:cs="Arial"/>
          <w:u w:val="single"/>
        </w:rPr>
      </w:pPr>
      <w:r w:rsidRPr="00ED58AF" w:rsidR="00BF4AC2">
        <w:rPr>
          <w:rFonts w:ascii="Arial" w:hAnsi="Arial" w:cs="Arial"/>
        </w:rPr>
        <w:tab/>
      </w:r>
      <w:r w:rsidRPr="00297D92" w:rsidR="00ED58AF">
        <w:rPr>
          <w:rFonts w:ascii="Arial" w:hAnsi="Arial" w:cs="Arial"/>
          <w:color w:val="000000"/>
        </w:rPr>
        <w:t xml:space="preserve">Funkčným platom sa </w:t>
      </w:r>
      <w:r w:rsidR="00C8249F">
        <w:rPr>
          <w:rFonts w:ascii="Arial" w:hAnsi="Arial" w:cs="Arial"/>
          <w:color w:val="000000"/>
        </w:rPr>
        <w:t xml:space="preserve">od 1. januára 2003 </w:t>
      </w:r>
      <w:r w:rsidRPr="00297D92" w:rsidR="00ED58AF">
        <w:rPr>
          <w:rFonts w:ascii="Arial" w:hAnsi="Arial" w:cs="Arial"/>
          <w:color w:val="000000"/>
        </w:rPr>
        <w:t xml:space="preserve">do </w:t>
      </w:r>
      <w:r w:rsidR="00C8249F">
        <w:rPr>
          <w:rFonts w:ascii="Arial" w:hAnsi="Arial" w:cs="Arial"/>
          <w:color w:val="000000"/>
        </w:rPr>
        <w:t>3</w:t>
      </w:r>
      <w:r w:rsidR="006D7F19">
        <w:rPr>
          <w:rFonts w:ascii="Arial" w:hAnsi="Arial" w:cs="Arial"/>
          <w:color w:val="000000"/>
        </w:rPr>
        <w:t>0</w:t>
      </w:r>
      <w:r w:rsidR="00C8249F">
        <w:rPr>
          <w:rFonts w:ascii="Arial" w:hAnsi="Arial" w:cs="Arial"/>
          <w:color w:val="000000"/>
        </w:rPr>
        <w:t xml:space="preserve">. </w:t>
      </w:r>
      <w:r w:rsidR="006D7F19">
        <w:rPr>
          <w:rFonts w:ascii="Arial" w:hAnsi="Arial" w:cs="Arial"/>
          <w:color w:val="000000"/>
        </w:rPr>
        <w:t>júna</w:t>
      </w:r>
      <w:r w:rsidRPr="00297D92" w:rsidR="00ED58AF">
        <w:rPr>
          <w:rFonts w:ascii="Arial" w:hAnsi="Arial" w:cs="Arial"/>
          <w:color w:val="000000"/>
        </w:rPr>
        <w:t xml:space="preserve"> 200</w:t>
      </w:r>
      <w:r w:rsidR="00C8249F">
        <w:rPr>
          <w:rFonts w:ascii="Arial" w:hAnsi="Arial" w:cs="Arial"/>
          <w:color w:val="000000"/>
        </w:rPr>
        <w:t>3</w:t>
      </w:r>
      <w:r w:rsidRPr="00297D92" w:rsidR="00ED58AF">
        <w:rPr>
          <w:rFonts w:ascii="Arial" w:hAnsi="Arial" w:cs="Arial"/>
          <w:color w:val="000000"/>
        </w:rPr>
        <w:t xml:space="preserve"> na účely § 22 ods. 5, § 24 ods. 8, § 36 ods. 2, § 37 ods. 5, § 47 ods. 3, § 48, § 58 ods. 5, § 63 ods. 4, § 64, § 84</w:t>
      </w:r>
      <w:r w:rsidR="00F91C3D">
        <w:rPr>
          <w:rFonts w:ascii="Arial" w:hAnsi="Arial" w:cs="Arial"/>
          <w:color w:val="000000"/>
        </w:rPr>
        <w:t xml:space="preserve"> a 85</w:t>
      </w:r>
      <w:r w:rsidRPr="00297D92" w:rsidR="00ED58AF">
        <w:rPr>
          <w:rFonts w:ascii="Arial" w:hAnsi="Arial" w:cs="Arial"/>
          <w:color w:val="000000"/>
        </w:rPr>
        <w:t xml:space="preserve">, § 86 ods. 1 a 2, § 93 ods. 1, § 94, § 96, § 105 ods. 2, § 110 a § 117 ods. 1 písm. b) </w:t>
      </w:r>
      <w:r w:rsidR="00F818BA">
        <w:rPr>
          <w:rFonts w:ascii="Arial" w:hAnsi="Arial" w:cs="Arial"/>
          <w:color w:val="000000"/>
        </w:rPr>
        <w:t xml:space="preserve"> </w:t>
      </w:r>
      <w:r w:rsidRPr="00F818BA" w:rsidR="00F818BA">
        <w:rPr>
          <w:rFonts w:ascii="Arial" w:hAnsi="Arial" w:cs="Arial"/>
          <w:color w:val="000000"/>
        </w:rPr>
        <w:t>zákona č.</w:t>
      </w:r>
      <w:r w:rsidR="00F818BA">
        <w:rPr>
          <w:rFonts w:ascii="Arial" w:hAnsi="Arial" w:cs="Arial"/>
          <w:color w:val="000000"/>
        </w:rPr>
        <w:t xml:space="preserve"> </w:t>
      </w:r>
      <w:r w:rsidRPr="00BF4AC2" w:rsidR="00F818BA">
        <w:rPr>
          <w:rFonts w:ascii="Arial" w:hAnsi="Arial" w:cs="Arial"/>
          <w:color w:val="000000"/>
        </w:rPr>
        <w:t>385/2000 Z. z. o sudcoch a prísedia</w:t>
      </w:r>
      <w:r w:rsidR="00511165">
        <w:rPr>
          <w:rFonts w:ascii="Arial" w:hAnsi="Arial" w:cs="Arial"/>
          <w:color w:val="000000"/>
        </w:rPr>
        <w:t>ci</w:t>
      </w:r>
      <w:r w:rsidRPr="00BF4AC2" w:rsidR="00F818BA">
        <w:rPr>
          <w:rFonts w:ascii="Arial" w:hAnsi="Arial" w:cs="Arial"/>
          <w:color w:val="000000"/>
        </w:rPr>
        <w:t>ch a o zmene a doplnení niektorých zákonov v znení zákona č. 185/2002 Z.  z.</w:t>
      </w:r>
      <w:r w:rsidRPr="00BF4AC2" w:rsidR="00F818BA">
        <w:rPr>
          <w:rFonts w:ascii="Arial" w:hAnsi="Arial" w:cs="Arial"/>
        </w:rPr>
        <w:t xml:space="preserve">, </w:t>
      </w:r>
      <w:r w:rsidRPr="00297D92" w:rsidR="00ED58AF">
        <w:rPr>
          <w:rFonts w:ascii="Arial" w:hAnsi="Arial" w:cs="Arial"/>
          <w:color w:val="000000"/>
        </w:rPr>
        <w:t xml:space="preserve">rozumie plat určený podľa </w:t>
      </w:r>
      <w:r w:rsidRPr="000C67B0" w:rsidR="00F818BA">
        <w:rPr>
          <w:rFonts w:ascii="Arial" w:hAnsi="Arial" w:cs="Arial"/>
          <w:color w:val="000000"/>
        </w:rPr>
        <w:t>tohto zákona</w:t>
      </w:r>
      <w:r w:rsidRPr="000C67B0" w:rsidR="00ED58AF">
        <w:rPr>
          <w:rFonts w:ascii="Arial" w:hAnsi="Arial" w:cs="Arial"/>
          <w:color w:val="000000"/>
        </w:rPr>
        <w:t>.</w:t>
      </w:r>
    </w:p>
    <w:p w:rsidR="006D7F19" w:rsidP="00190802">
      <w:pPr>
        <w:spacing w:line="360" w:lineRule="exact"/>
        <w:jc w:val="center"/>
        <w:rPr>
          <w:rFonts w:ascii="Arial" w:hAnsi="Arial" w:cs="Arial"/>
          <w:color w:val="000000"/>
        </w:rPr>
      </w:pPr>
    </w:p>
    <w:p w:rsidR="00047068" w:rsidP="00190802">
      <w:pPr>
        <w:spacing w:line="360" w:lineRule="exact"/>
        <w:jc w:val="center"/>
        <w:rPr>
          <w:rFonts w:ascii="Arial" w:hAnsi="Arial" w:cs="Arial"/>
          <w:color w:val="000000"/>
        </w:rPr>
      </w:pPr>
      <w:r w:rsidRPr="00ED58AF">
        <w:rPr>
          <w:rFonts w:ascii="Arial" w:hAnsi="Arial" w:cs="Arial"/>
          <w:color w:val="000000"/>
        </w:rPr>
        <w:t xml:space="preserve">§ </w:t>
      </w:r>
      <w:r w:rsidR="003A1A0A">
        <w:rPr>
          <w:rFonts w:ascii="Arial" w:hAnsi="Arial" w:cs="Arial"/>
          <w:color w:val="000000"/>
        </w:rPr>
        <w:t>21</w:t>
      </w:r>
    </w:p>
    <w:p w:rsidR="00C8249F" w:rsidRPr="00ED58AF" w:rsidP="00190802">
      <w:pPr>
        <w:spacing w:line="360" w:lineRule="exact"/>
        <w:jc w:val="center"/>
        <w:rPr>
          <w:rFonts w:ascii="Arial" w:hAnsi="Arial" w:cs="Arial"/>
          <w:color w:val="000000"/>
        </w:rPr>
      </w:pPr>
    </w:p>
    <w:p w:rsidR="00861583" w:rsidRPr="00ED58AF" w:rsidP="00190802">
      <w:pPr>
        <w:spacing w:line="360" w:lineRule="exact"/>
        <w:jc w:val="both"/>
        <w:rPr>
          <w:rFonts w:ascii="Arial" w:hAnsi="Arial" w:cs="Arial"/>
          <w:color w:val="000000"/>
        </w:rPr>
      </w:pPr>
      <w:r w:rsidRPr="00ED58AF" w:rsidR="00BF4AC2">
        <w:rPr>
          <w:rFonts w:ascii="Arial" w:hAnsi="Arial" w:cs="Arial"/>
          <w:color w:val="000000"/>
        </w:rPr>
        <w:tab/>
      </w:r>
      <w:r w:rsidRPr="00ED58AF">
        <w:rPr>
          <w:rFonts w:ascii="Arial" w:hAnsi="Arial" w:cs="Arial"/>
          <w:color w:val="000000"/>
        </w:rPr>
        <w:t xml:space="preserve">Ustanovenia </w:t>
      </w:r>
      <w:r w:rsidRPr="00ED58AF" w:rsidR="00BF4AC2">
        <w:rPr>
          <w:rFonts w:ascii="Arial" w:hAnsi="Arial" w:cs="Arial"/>
          <w:color w:val="000000"/>
        </w:rPr>
        <w:t xml:space="preserve">§ 1 až  </w:t>
      </w:r>
      <w:r w:rsidR="003A1A0A">
        <w:rPr>
          <w:rFonts w:ascii="Arial" w:hAnsi="Arial" w:cs="Arial"/>
          <w:color w:val="000000"/>
        </w:rPr>
        <w:t xml:space="preserve">14, </w:t>
      </w:r>
      <w:r w:rsidRPr="00ED58AF" w:rsidR="00BF4AC2">
        <w:rPr>
          <w:rFonts w:ascii="Arial" w:hAnsi="Arial" w:cs="Arial"/>
          <w:color w:val="000000"/>
        </w:rPr>
        <w:t>§</w:t>
      </w:r>
      <w:r w:rsidR="003A1A0A">
        <w:rPr>
          <w:rFonts w:ascii="Arial" w:hAnsi="Arial" w:cs="Arial"/>
          <w:color w:val="000000"/>
        </w:rPr>
        <w:t xml:space="preserve"> 16 až</w:t>
      </w:r>
      <w:r w:rsidRPr="00ED58AF" w:rsidR="00BF4AC2">
        <w:rPr>
          <w:rFonts w:ascii="Arial" w:hAnsi="Arial" w:cs="Arial"/>
          <w:color w:val="000000"/>
        </w:rPr>
        <w:t xml:space="preserve"> </w:t>
      </w:r>
      <w:r w:rsidR="00DA78AE">
        <w:rPr>
          <w:rFonts w:ascii="Arial" w:hAnsi="Arial" w:cs="Arial"/>
          <w:color w:val="000000"/>
        </w:rPr>
        <w:t xml:space="preserve">18 a § </w:t>
      </w:r>
      <w:r w:rsidR="00F818BA">
        <w:rPr>
          <w:rFonts w:ascii="Arial" w:hAnsi="Arial" w:cs="Arial"/>
          <w:color w:val="000000"/>
        </w:rPr>
        <w:t>20</w:t>
      </w:r>
      <w:r w:rsidRPr="00ED58AF" w:rsidR="00BF4AC2">
        <w:rPr>
          <w:rFonts w:ascii="Arial" w:hAnsi="Arial" w:cs="Arial"/>
          <w:color w:val="000000"/>
        </w:rPr>
        <w:t xml:space="preserve"> </w:t>
      </w:r>
      <w:r w:rsidRPr="00ED58AF">
        <w:rPr>
          <w:rFonts w:ascii="Arial" w:hAnsi="Arial" w:cs="Arial"/>
          <w:color w:val="000000"/>
        </w:rPr>
        <w:t>strácajú účinnosť 3</w:t>
      </w:r>
      <w:r w:rsidR="006D7F19">
        <w:rPr>
          <w:rFonts w:ascii="Arial" w:hAnsi="Arial" w:cs="Arial"/>
          <w:color w:val="000000"/>
        </w:rPr>
        <w:t>0</w:t>
      </w:r>
      <w:r w:rsidRPr="00ED58AF">
        <w:rPr>
          <w:rFonts w:ascii="Arial" w:hAnsi="Arial" w:cs="Arial"/>
          <w:color w:val="000000"/>
        </w:rPr>
        <w:t xml:space="preserve">. </w:t>
      </w:r>
      <w:r w:rsidR="006D7F19">
        <w:rPr>
          <w:rFonts w:ascii="Arial" w:hAnsi="Arial" w:cs="Arial"/>
          <w:color w:val="000000"/>
        </w:rPr>
        <w:t>júna</w:t>
      </w:r>
      <w:r w:rsidRPr="00ED58AF">
        <w:rPr>
          <w:rFonts w:ascii="Arial" w:hAnsi="Arial" w:cs="Arial"/>
          <w:color w:val="000000"/>
        </w:rPr>
        <w:t xml:space="preserve"> 2003</w:t>
      </w:r>
      <w:r w:rsidRPr="00ED58AF" w:rsidR="00BF4AC2">
        <w:rPr>
          <w:rFonts w:ascii="Arial" w:hAnsi="Arial" w:cs="Arial"/>
          <w:color w:val="000000"/>
        </w:rPr>
        <w:t>.</w:t>
      </w:r>
    </w:p>
    <w:p w:rsidR="00C8249F" w:rsidP="00190802">
      <w:pPr>
        <w:spacing w:line="360" w:lineRule="exact"/>
        <w:jc w:val="both"/>
        <w:rPr>
          <w:rFonts w:ascii="Arial" w:hAnsi="Arial" w:cs="Arial"/>
          <w:color w:val="000000"/>
        </w:rPr>
      </w:pPr>
    </w:p>
    <w:p w:rsidR="00861583" w:rsidP="00190802">
      <w:pPr>
        <w:spacing w:line="360" w:lineRule="exact"/>
        <w:jc w:val="center"/>
        <w:rPr>
          <w:rFonts w:ascii="Arial" w:hAnsi="Arial" w:cs="Arial"/>
          <w:color w:val="000000"/>
        </w:rPr>
      </w:pPr>
      <w:r w:rsidRPr="00ED58AF">
        <w:rPr>
          <w:rFonts w:ascii="Arial" w:hAnsi="Arial" w:cs="Arial"/>
          <w:color w:val="000000"/>
        </w:rPr>
        <w:t xml:space="preserve">§ </w:t>
      </w:r>
      <w:r w:rsidR="00F818BA">
        <w:rPr>
          <w:rFonts w:ascii="Arial" w:hAnsi="Arial" w:cs="Arial"/>
          <w:color w:val="000000"/>
        </w:rPr>
        <w:t>22</w:t>
      </w:r>
    </w:p>
    <w:p w:rsidR="00861583" w:rsidRPr="00511165" w:rsidP="006D7F19">
      <w:pPr>
        <w:spacing w:line="360" w:lineRule="exact"/>
        <w:rPr>
          <w:rFonts w:ascii="Arial" w:hAnsi="Arial" w:cs="Arial"/>
          <w:color w:val="000000"/>
        </w:rPr>
      </w:pPr>
      <w:r w:rsidRPr="00BF4AC2" w:rsidR="006D7F19">
        <w:rPr>
          <w:rFonts w:ascii="Arial" w:hAnsi="Arial" w:cs="Arial"/>
          <w:color w:val="000000"/>
        </w:rPr>
        <w:br/>
      </w:r>
      <w:r w:rsidRPr="00ED58AF" w:rsidR="00BF4AC2">
        <w:rPr>
          <w:rFonts w:ascii="Arial" w:hAnsi="Arial" w:cs="Arial"/>
          <w:color w:val="000000"/>
        </w:rPr>
        <w:tab/>
        <w:t>U</w:t>
      </w:r>
      <w:r w:rsidRPr="00ED58AF">
        <w:rPr>
          <w:rFonts w:ascii="Arial" w:hAnsi="Arial" w:cs="Arial"/>
          <w:color w:val="000000"/>
        </w:rPr>
        <w:t xml:space="preserve">stanovenia § </w:t>
      </w:r>
      <w:r w:rsidRPr="00ED58AF" w:rsidR="00BF4AC2">
        <w:rPr>
          <w:rFonts w:ascii="Arial" w:hAnsi="Arial" w:cs="Arial"/>
        </w:rPr>
        <w:t xml:space="preserve"> 65 až </w:t>
      </w:r>
      <w:r w:rsidR="006D7F19">
        <w:rPr>
          <w:rFonts w:ascii="Arial" w:hAnsi="Arial" w:cs="Arial"/>
        </w:rPr>
        <w:t xml:space="preserve">76, § 78 až </w:t>
      </w:r>
      <w:r w:rsidRPr="00ED58AF" w:rsidR="00BF4AC2">
        <w:rPr>
          <w:rFonts w:ascii="Arial" w:hAnsi="Arial" w:cs="Arial"/>
        </w:rPr>
        <w:t>80</w:t>
      </w:r>
      <w:r w:rsidR="00F818BA">
        <w:rPr>
          <w:rFonts w:ascii="Arial" w:hAnsi="Arial" w:cs="Arial"/>
        </w:rPr>
        <w:t>, 81 ods. 1 prvej vety</w:t>
      </w:r>
      <w:r w:rsidR="000C67B0">
        <w:rPr>
          <w:rFonts w:ascii="Arial" w:hAnsi="Arial" w:cs="Arial"/>
        </w:rPr>
        <w:t>,</w:t>
      </w:r>
      <w:r w:rsidR="00F818BA">
        <w:rPr>
          <w:rFonts w:ascii="Arial" w:hAnsi="Arial" w:cs="Arial"/>
        </w:rPr>
        <w:t xml:space="preserve"> § 82 až </w:t>
      </w:r>
      <w:r w:rsidR="00C53E33">
        <w:rPr>
          <w:rFonts w:ascii="Arial" w:hAnsi="Arial" w:cs="Arial"/>
        </w:rPr>
        <w:t xml:space="preserve">84, § 86 až </w:t>
      </w:r>
      <w:r w:rsidR="00F818BA">
        <w:rPr>
          <w:rFonts w:ascii="Arial" w:hAnsi="Arial" w:cs="Arial"/>
        </w:rPr>
        <w:t xml:space="preserve">91 </w:t>
      </w:r>
      <w:r w:rsidRPr="00ED58AF" w:rsidR="00BF4AC2">
        <w:rPr>
          <w:rFonts w:ascii="Arial" w:hAnsi="Arial" w:cs="Arial"/>
        </w:rPr>
        <w:t xml:space="preserve"> </w:t>
      </w:r>
      <w:r w:rsidRPr="00ED58AF" w:rsidR="00BF4AC2">
        <w:rPr>
          <w:rFonts w:ascii="Arial" w:hAnsi="Arial" w:cs="Arial"/>
          <w:color w:val="000000"/>
        </w:rPr>
        <w:t>zákona</w:t>
      </w:r>
      <w:r w:rsidR="000C67B0">
        <w:rPr>
          <w:rFonts w:ascii="Arial" w:hAnsi="Arial" w:cs="Arial"/>
          <w:color w:val="000000"/>
        </w:rPr>
        <w:t xml:space="preserve"> </w:t>
      </w:r>
      <w:r w:rsidRPr="00F818BA" w:rsidR="000C67B0">
        <w:rPr>
          <w:rFonts w:ascii="Arial" w:hAnsi="Arial" w:cs="Arial"/>
          <w:color w:val="000000"/>
        </w:rPr>
        <w:t>č.</w:t>
      </w:r>
      <w:r w:rsidR="000C67B0">
        <w:rPr>
          <w:rFonts w:ascii="Arial" w:hAnsi="Arial" w:cs="Arial"/>
          <w:color w:val="000000"/>
        </w:rPr>
        <w:t xml:space="preserve"> </w:t>
      </w:r>
      <w:r w:rsidRPr="00BF4AC2" w:rsidR="000C67B0">
        <w:rPr>
          <w:rFonts w:ascii="Arial" w:hAnsi="Arial" w:cs="Arial"/>
          <w:color w:val="000000"/>
        </w:rPr>
        <w:t>385/2000 Z. z. o sudcoch a prísedia</w:t>
      </w:r>
      <w:r w:rsidR="00511165">
        <w:rPr>
          <w:rFonts w:ascii="Arial" w:hAnsi="Arial" w:cs="Arial"/>
          <w:color w:val="000000"/>
        </w:rPr>
        <w:t>ci</w:t>
      </w:r>
      <w:r w:rsidRPr="00BF4AC2" w:rsidR="000C67B0">
        <w:rPr>
          <w:rFonts w:ascii="Arial" w:hAnsi="Arial" w:cs="Arial"/>
          <w:color w:val="000000"/>
        </w:rPr>
        <w:t>ch a o zmene a doplnení niektorých zákonov</w:t>
      </w:r>
      <w:r w:rsidRPr="00F41171" w:rsidR="00F41171">
        <w:rPr>
          <w:rFonts w:ascii="Arial" w:hAnsi="Arial" w:cs="Arial"/>
          <w:color w:val="000000"/>
        </w:rPr>
        <w:t xml:space="preserve"> </w:t>
      </w:r>
      <w:r w:rsidR="00F41171">
        <w:rPr>
          <w:rFonts w:ascii="Arial" w:hAnsi="Arial" w:cs="Arial"/>
          <w:color w:val="000000"/>
        </w:rPr>
        <w:t xml:space="preserve">sa </w:t>
      </w:r>
      <w:r w:rsidR="006D7F19">
        <w:rPr>
          <w:rFonts w:ascii="Arial" w:hAnsi="Arial" w:cs="Arial"/>
          <w:color w:val="000000"/>
        </w:rPr>
        <w:t xml:space="preserve">do 30. júna </w:t>
      </w:r>
      <w:r w:rsidR="00F41171">
        <w:rPr>
          <w:rFonts w:ascii="Arial" w:hAnsi="Arial" w:cs="Arial"/>
          <w:color w:val="000000"/>
        </w:rPr>
        <w:t xml:space="preserve"> 2003 neuplatnia.</w:t>
      </w:r>
      <w:r w:rsidR="00BC02F0">
        <w:rPr>
          <w:rFonts w:ascii="Arial" w:hAnsi="Arial" w:cs="Arial"/>
          <w:color w:val="000000"/>
        </w:rPr>
        <w:t xml:space="preserve"> </w:t>
      </w:r>
    </w:p>
    <w:p w:rsidR="00BF4AC2" w:rsidRPr="00ED58AF" w:rsidP="00190802">
      <w:pPr>
        <w:spacing w:line="360" w:lineRule="exact"/>
        <w:jc w:val="both"/>
        <w:rPr>
          <w:rFonts w:ascii="Arial" w:hAnsi="Arial" w:cs="Arial"/>
          <w:color w:val="000000"/>
        </w:rPr>
      </w:pPr>
    </w:p>
    <w:p w:rsidR="00861583" w:rsidP="00190802">
      <w:pPr>
        <w:spacing w:line="360" w:lineRule="exact"/>
        <w:jc w:val="center"/>
        <w:rPr>
          <w:rFonts w:ascii="Arial" w:hAnsi="Arial" w:cs="Arial"/>
          <w:color w:val="000000"/>
        </w:rPr>
      </w:pPr>
      <w:r w:rsidRPr="00ED58AF">
        <w:rPr>
          <w:rFonts w:ascii="Arial" w:hAnsi="Arial" w:cs="Arial"/>
          <w:color w:val="000000"/>
        </w:rPr>
        <w:t xml:space="preserve">§ </w:t>
      </w:r>
      <w:r w:rsidR="00F818BA">
        <w:rPr>
          <w:rFonts w:ascii="Arial" w:hAnsi="Arial" w:cs="Arial"/>
          <w:color w:val="000000"/>
        </w:rPr>
        <w:t>23</w:t>
      </w:r>
    </w:p>
    <w:p w:rsidR="006D7F19" w:rsidP="00190802">
      <w:pPr>
        <w:spacing w:line="360" w:lineRule="exact"/>
        <w:jc w:val="center"/>
        <w:rPr>
          <w:rFonts w:ascii="Arial" w:hAnsi="Arial" w:cs="Arial"/>
          <w:color w:val="000000"/>
        </w:rPr>
      </w:pPr>
    </w:p>
    <w:p w:rsidR="006D7F19" w:rsidRPr="00511165" w:rsidP="006D7F19">
      <w:pPr>
        <w:spacing w:line="360" w:lineRule="exact"/>
        <w:rPr>
          <w:rFonts w:ascii="Arial" w:hAnsi="Arial" w:cs="Arial"/>
          <w:color w:val="000000"/>
        </w:rPr>
      </w:pPr>
      <w:r>
        <w:rPr>
          <w:rFonts w:ascii="Arial" w:hAnsi="Arial" w:cs="Arial"/>
          <w:color w:val="000000"/>
        </w:rPr>
        <w:tab/>
      </w:r>
      <w:r w:rsidRPr="00ED58AF">
        <w:rPr>
          <w:rFonts w:ascii="Arial" w:hAnsi="Arial" w:cs="Arial"/>
          <w:color w:val="000000"/>
        </w:rPr>
        <w:t>Ustanoveni</w:t>
      </w:r>
      <w:r>
        <w:rPr>
          <w:rFonts w:ascii="Arial" w:hAnsi="Arial" w:cs="Arial"/>
          <w:color w:val="000000"/>
        </w:rPr>
        <w:t>e</w:t>
      </w:r>
      <w:r w:rsidRPr="00ED58AF">
        <w:rPr>
          <w:rFonts w:ascii="Arial" w:hAnsi="Arial" w:cs="Arial"/>
          <w:color w:val="000000"/>
        </w:rPr>
        <w:t xml:space="preserve"> § </w:t>
      </w:r>
      <w:r w:rsidRPr="00ED58AF">
        <w:rPr>
          <w:rFonts w:ascii="Arial" w:hAnsi="Arial" w:cs="Arial"/>
        </w:rPr>
        <w:t xml:space="preserve"> </w:t>
      </w:r>
      <w:r w:rsidR="003A1A0A">
        <w:rPr>
          <w:rFonts w:ascii="Arial" w:hAnsi="Arial" w:cs="Arial"/>
        </w:rPr>
        <w:t>15</w:t>
      </w:r>
      <w:r w:rsidR="00DA78AE">
        <w:rPr>
          <w:rFonts w:ascii="Arial" w:hAnsi="Arial" w:cs="Arial"/>
        </w:rPr>
        <w:t xml:space="preserve"> a § 19</w:t>
      </w:r>
      <w:r w:rsidR="003A1A0A">
        <w:rPr>
          <w:rFonts w:ascii="Arial" w:hAnsi="Arial" w:cs="Arial"/>
        </w:rPr>
        <w:t xml:space="preserve"> </w:t>
      </w:r>
      <w:r w:rsidR="003A1A0A">
        <w:rPr>
          <w:rFonts w:ascii="Arial" w:hAnsi="Arial" w:cs="Arial"/>
          <w:color w:val="000000"/>
        </w:rPr>
        <w:t>stráca účinnosť 31. decembra 2003.</w:t>
      </w:r>
    </w:p>
    <w:p w:rsidR="006D7F19" w:rsidP="00190802">
      <w:pPr>
        <w:spacing w:line="360" w:lineRule="exact"/>
        <w:jc w:val="center"/>
        <w:rPr>
          <w:rFonts w:ascii="Arial" w:hAnsi="Arial" w:cs="Arial"/>
          <w:color w:val="000000"/>
        </w:rPr>
      </w:pPr>
    </w:p>
    <w:p w:rsidR="00DB6D49" w:rsidP="00190802">
      <w:pPr>
        <w:spacing w:line="360" w:lineRule="exact"/>
        <w:jc w:val="center"/>
        <w:rPr>
          <w:rFonts w:ascii="Arial" w:hAnsi="Arial" w:cs="Arial"/>
          <w:color w:val="000000"/>
        </w:rPr>
      </w:pPr>
      <w:r w:rsidR="006D7F19">
        <w:rPr>
          <w:rFonts w:ascii="Arial" w:hAnsi="Arial" w:cs="Arial"/>
          <w:color w:val="000000"/>
        </w:rPr>
        <w:t>§ 24</w:t>
      </w:r>
    </w:p>
    <w:p w:rsidR="00BC02F0" w:rsidP="00190802">
      <w:pPr>
        <w:spacing w:line="360" w:lineRule="exact"/>
        <w:jc w:val="center"/>
        <w:rPr>
          <w:rFonts w:ascii="Arial" w:hAnsi="Arial" w:cs="Arial"/>
          <w:color w:val="000000"/>
        </w:rPr>
      </w:pPr>
    </w:p>
    <w:p w:rsidR="00BC02F0" w:rsidRPr="00511165" w:rsidP="00BC02F0">
      <w:pPr>
        <w:spacing w:line="360" w:lineRule="exact"/>
        <w:jc w:val="both"/>
        <w:rPr>
          <w:rFonts w:ascii="Arial" w:hAnsi="Arial" w:cs="Arial"/>
          <w:color w:val="000000"/>
        </w:rPr>
      </w:pPr>
      <w:r>
        <w:rPr>
          <w:rFonts w:ascii="Arial" w:hAnsi="Arial" w:cs="Arial"/>
          <w:color w:val="000000"/>
        </w:rPr>
        <w:tab/>
      </w:r>
      <w:r w:rsidRPr="00ED58AF">
        <w:rPr>
          <w:rFonts w:ascii="Arial" w:hAnsi="Arial" w:cs="Arial"/>
          <w:color w:val="000000"/>
        </w:rPr>
        <w:t>Ustanoveni</w:t>
      </w:r>
      <w:r>
        <w:rPr>
          <w:rFonts w:ascii="Arial" w:hAnsi="Arial" w:cs="Arial"/>
          <w:color w:val="000000"/>
        </w:rPr>
        <w:t>e</w:t>
      </w:r>
      <w:r w:rsidRPr="00ED58AF">
        <w:rPr>
          <w:rFonts w:ascii="Arial" w:hAnsi="Arial" w:cs="Arial"/>
          <w:color w:val="000000"/>
        </w:rPr>
        <w:t xml:space="preserve"> § </w:t>
      </w:r>
      <w:r w:rsidRPr="00ED58AF">
        <w:rPr>
          <w:rFonts w:ascii="Arial" w:hAnsi="Arial" w:cs="Arial"/>
        </w:rPr>
        <w:t xml:space="preserve"> </w:t>
      </w:r>
      <w:r>
        <w:rPr>
          <w:rFonts w:ascii="Arial" w:hAnsi="Arial" w:cs="Arial"/>
        </w:rPr>
        <w:t xml:space="preserve">77 </w:t>
      </w:r>
      <w:r w:rsidR="00C53E33">
        <w:rPr>
          <w:rFonts w:ascii="Arial" w:hAnsi="Arial" w:cs="Arial"/>
        </w:rPr>
        <w:t xml:space="preserve"> a § 85 </w:t>
      </w:r>
      <w:r w:rsidRPr="00ED58AF">
        <w:rPr>
          <w:rFonts w:ascii="Arial" w:hAnsi="Arial" w:cs="Arial"/>
        </w:rPr>
        <w:t xml:space="preserve"> </w:t>
      </w:r>
      <w:r w:rsidRPr="00ED58AF">
        <w:rPr>
          <w:rFonts w:ascii="Arial" w:hAnsi="Arial" w:cs="Arial"/>
          <w:color w:val="000000"/>
        </w:rPr>
        <w:t>zákona</w:t>
      </w:r>
      <w:r>
        <w:rPr>
          <w:rFonts w:ascii="Arial" w:hAnsi="Arial" w:cs="Arial"/>
          <w:color w:val="000000"/>
        </w:rPr>
        <w:t xml:space="preserve"> </w:t>
      </w:r>
      <w:r w:rsidRPr="00F818BA">
        <w:rPr>
          <w:rFonts w:ascii="Arial" w:hAnsi="Arial" w:cs="Arial"/>
          <w:color w:val="000000"/>
        </w:rPr>
        <w:t>č.</w:t>
      </w:r>
      <w:r>
        <w:rPr>
          <w:rFonts w:ascii="Arial" w:hAnsi="Arial" w:cs="Arial"/>
          <w:color w:val="000000"/>
        </w:rPr>
        <w:t xml:space="preserve"> </w:t>
      </w:r>
      <w:r w:rsidRPr="00BF4AC2">
        <w:rPr>
          <w:rFonts w:ascii="Arial" w:hAnsi="Arial" w:cs="Arial"/>
          <w:color w:val="000000"/>
        </w:rPr>
        <w:t>385/2000 Z. z. o sudcoch a prísedia</w:t>
      </w:r>
      <w:r>
        <w:rPr>
          <w:rFonts w:ascii="Arial" w:hAnsi="Arial" w:cs="Arial"/>
          <w:color w:val="000000"/>
        </w:rPr>
        <w:t>ci</w:t>
      </w:r>
      <w:r w:rsidRPr="00BF4AC2">
        <w:rPr>
          <w:rFonts w:ascii="Arial" w:hAnsi="Arial" w:cs="Arial"/>
          <w:color w:val="000000"/>
        </w:rPr>
        <w:t>ch a o zmene a doplnení niektorých zákonov</w:t>
      </w:r>
      <w:r w:rsidRPr="00F41171">
        <w:rPr>
          <w:rFonts w:ascii="Arial" w:hAnsi="Arial" w:cs="Arial"/>
          <w:color w:val="000000"/>
        </w:rPr>
        <w:t xml:space="preserve"> </w:t>
      </w:r>
      <w:r>
        <w:rPr>
          <w:rFonts w:ascii="Arial" w:hAnsi="Arial" w:cs="Arial"/>
          <w:color w:val="000000"/>
        </w:rPr>
        <w:t>sa v roku 2003 neuplatn</w:t>
      </w:r>
      <w:r w:rsidR="00C53E33">
        <w:rPr>
          <w:rFonts w:ascii="Arial" w:hAnsi="Arial" w:cs="Arial"/>
          <w:color w:val="000000"/>
        </w:rPr>
        <w:t>ia</w:t>
      </w:r>
      <w:r>
        <w:rPr>
          <w:rFonts w:ascii="Arial" w:hAnsi="Arial" w:cs="Arial"/>
          <w:color w:val="000000"/>
        </w:rPr>
        <w:t>.</w:t>
      </w:r>
    </w:p>
    <w:p w:rsidR="00BC02F0" w:rsidP="00190802">
      <w:pPr>
        <w:spacing w:line="360" w:lineRule="exact"/>
        <w:jc w:val="center"/>
        <w:rPr>
          <w:rFonts w:ascii="Arial" w:hAnsi="Arial" w:cs="Arial"/>
          <w:color w:val="000000"/>
        </w:rPr>
      </w:pPr>
    </w:p>
    <w:p w:rsidR="003A1A0A" w:rsidP="00BC02F0">
      <w:pPr>
        <w:spacing w:line="360" w:lineRule="exact"/>
        <w:jc w:val="center"/>
        <w:rPr>
          <w:rFonts w:ascii="Arial" w:hAnsi="Arial" w:cs="Arial"/>
          <w:color w:val="000000"/>
        </w:rPr>
      </w:pPr>
      <w:r w:rsidR="00BC02F0">
        <w:rPr>
          <w:rFonts w:ascii="Arial" w:hAnsi="Arial" w:cs="Arial"/>
          <w:color w:val="000000"/>
        </w:rPr>
        <w:t>§ 25</w:t>
      </w:r>
    </w:p>
    <w:p w:rsidR="00861583" w:rsidRPr="00ED58AF" w:rsidP="00190802">
      <w:pPr>
        <w:spacing w:line="360" w:lineRule="exact"/>
        <w:jc w:val="both"/>
        <w:rPr>
          <w:rFonts w:ascii="Arial" w:hAnsi="Arial" w:cs="Arial"/>
        </w:rPr>
      </w:pPr>
      <w:r w:rsidRPr="00ED58AF" w:rsidR="00BF4AC2">
        <w:rPr>
          <w:rFonts w:ascii="Arial" w:hAnsi="Arial" w:cs="Arial"/>
          <w:color w:val="000000"/>
        </w:rPr>
        <w:tab/>
        <w:t>T</w:t>
      </w:r>
      <w:r w:rsidRPr="00ED58AF">
        <w:rPr>
          <w:rFonts w:ascii="Arial" w:hAnsi="Arial" w:cs="Arial"/>
          <w:color w:val="000000"/>
        </w:rPr>
        <w:t xml:space="preserve">ento zákon nadobúda účinnosť </w:t>
      </w:r>
      <w:r w:rsidR="00F41171">
        <w:rPr>
          <w:rFonts w:ascii="Arial" w:hAnsi="Arial" w:cs="Arial"/>
          <w:color w:val="000000"/>
        </w:rPr>
        <w:t>1. januára 2003</w:t>
      </w:r>
      <w:r w:rsidRPr="00ED58AF">
        <w:rPr>
          <w:rFonts w:ascii="Arial" w:hAnsi="Arial" w:cs="Arial"/>
          <w:color w:val="000000"/>
        </w:rPr>
        <w:t>.</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rPr>
          <w:rFonts w:ascii="Times New Roman" w:hAnsi="Times New Roman" w:cs="Times New Roman"/>
        </w:rPr>
      </w:pPr>
      <w:r w:rsidRPr="00ED58AF" w:rsidR="004034AB">
        <w:rPr>
          <w:rStyle w:val="FootnoteReference"/>
          <w:rFonts w:ascii="Times New Roman" w:hAnsi="Times New Roman" w:cs="Times New Roman"/>
        </w:rPr>
        <w:footnoteRef/>
      </w:r>
      <w:r w:rsidRPr="00ED58AF" w:rsidR="004034AB">
        <w:rPr>
          <w:rFonts w:ascii="Times New Roman" w:hAnsi="Times New Roman" w:cs="Times New Roman"/>
        </w:rPr>
        <w:t xml:space="preserve"> </w:t>
      </w:r>
      <w:r w:rsidRPr="00ED58AF" w:rsidR="004034AB">
        <w:rPr>
          <w:rFonts w:ascii="Arial" w:hAnsi="Arial" w:cs="Arial"/>
          <w:color w:val="000000"/>
        </w:rPr>
        <w:t>) Zákon Národnej rady Slovenskej republiky č. 120/1993 Z.</w:t>
      </w:r>
      <w:r w:rsidR="004034AB">
        <w:rPr>
          <w:rFonts w:ascii="Arial" w:hAnsi="Arial" w:cs="Arial"/>
          <w:color w:val="000000"/>
        </w:rPr>
        <w:t xml:space="preserve"> </w:t>
      </w:r>
      <w:r w:rsidRPr="00ED58AF" w:rsidR="004034AB">
        <w:rPr>
          <w:rFonts w:ascii="Arial" w:hAnsi="Arial" w:cs="Arial"/>
          <w:color w:val="000000"/>
        </w:rPr>
        <w:t>z. o platových pomeroch niektorých ústavných činiteľov Slovenskej republiky.</w:t>
        <w:br/>
      </w:r>
    </w:p>
  </w:footnote>
  <w:footnote w:id="1">
    <w:p>
      <w:pPr>
        <w:pStyle w:val="FootnoteText"/>
        <w:rPr>
          <w:rFonts w:ascii="Times New Roman" w:hAnsi="Times New Roman" w:cs="Times New Roman"/>
        </w:rPr>
      </w:pPr>
      <w:r w:rsidRPr="00ED58AF" w:rsidR="004034AB">
        <w:rPr>
          <w:rStyle w:val="FootnoteReference"/>
          <w:rFonts w:ascii="Times New Roman" w:hAnsi="Times New Roman" w:cs="Times New Roman"/>
        </w:rPr>
        <w:footnoteRef/>
      </w:r>
      <w:r w:rsidRPr="00ED58AF" w:rsidR="004034AB">
        <w:rPr>
          <w:rFonts w:ascii="Arial" w:hAnsi="Arial" w:cs="Arial"/>
          <w:color w:val="000000"/>
        </w:rPr>
        <w:t xml:space="preserve">) § 21 zákona č. 87/1991 Zb. o mimosúdnych rehabilitáciách. </w:t>
        <w:br/>
      </w:r>
    </w:p>
  </w:footnote>
  <w:footnote w:id="2">
    <w:p>
      <w:pPr>
        <w:pStyle w:val="FootnoteText"/>
        <w:rPr>
          <w:rFonts w:ascii="Times New Roman" w:hAnsi="Times New Roman" w:cs="Times New Roman"/>
        </w:rPr>
      </w:pPr>
      <w:r w:rsidRPr="00ED58AF" w:rsidR="004034AB">
        <w:rPr>
          <w:rStyle w:val="FootnoteReference"/>
          <w:rFonts w:ascii="Times New Roman" w:hAnsi="Times New Roman" w:cs="Times New Roman"/>
        </w:rPr>
        <w:footnoteRef/>
      </w:r>
      <w:r w:rsidRPr="00ED58AF" w:rsidR="004034AB">
        <w:rPr>
          <w:rFonts w:ascii="Arial" w:hAnsi="Arial" w:cs="Arial"/>
          <w:color w:val="000000"/>
        </w:rPr>
        <w:t>) § 41 zákona č. 335/1991 Zb. o súdoch a sudcoch.</w:t>
      </w:r>
    </w:p>
  </w:footnote>
  <w:footnote w:id="3">
    <w:p>
      <w:pPr>
        <w:pStyle w:val="FootnoteText"/>
        <w:rPr>
          <w:rFonts w:ascii="Times New Roman" w:hAnsi="Times New Roman" w:cs="Times New Roman"/>
        </w:rPr>
      </w:pPr>
      <w:r w:rsidRPr="00ED58AF" w:rsidR="004034AB">
        <w:rPr>
          <w:rStyle w:val="FootnoteReference"/>
          <w:rFonts w:ascii="Times New Roman" w:hAnsi="Times New Roman" w:cs="Times New Roman"/>
        </w:rPr>
        <w:footnoteRef/>
      </w:r>
      <w:r w:rsidRPr="00ED58AF" w:rsidR="004034AB">
        <w:rPr>
          <w:rFonts w:ascii="Arial" w:hAnsi="Arial" w:cs="Arial"/>
          <w:color w:val="000000"/>
        </w:rPr>
        <w:t xml:space="preserve">) § </w:t>
      </w:r>
      <w:r w:rsidR="004034AB">
        <w:rPr>
          <w:rFonts w:ascii="Arial" w:hAnsi="Arial" w:cs="Arial"/>
          <w:color w:val="000000"/>
        </w:rPr>
        <w:t>121</w:t>
      </w:r>
      <w:r w:rsidRPr="00ED58AF" w:rsidR="004034AB">
        <w:rPr>
          <w:rFonts w:ascii="Arial" w:hAnsi="Arial" w:cs="Arial"/>
          <w:color w:val="000000"/>
        </w:rPr>
        <w:t xml:space="preserve"> a </w:t>
      </w:r>
      <w:r w:rsidR="004034AB">
        <w:rPr>
          <w:rFonts w:ascii="Arial" w:hAnsi="Arial" w:cs="Arial"/>
          <w:color w:val="000000"/>
        </w:rPr>
        <w:t>122</w:t>
      </w:r>
      <w:r w:rsidRPr="00ED58AF" w:rsidR="004034AB">
        <w:rPr>
          <w:rFonts w:ascii="Arial" w:hAnsi="Arial" w:cs="Arial"/>
          <w:color w:val="000000"/>
        </w:rPr>
        <w:t xml:space="preserve"> Zákonníka práce.</w:t>
      </w:r>
    </w:p>
  </w:footnote>
  <w:footnote w:id="4">
    <w:p>
      <w:pPr>
        <w:pStyle w:val="FootnoteText"/>
        <w:rPr>
          <w:rFonts w:ascii="Times New Roman" w:hAnsi="Times New Roman" w:cs="Times New Roman"/>
        </w:rPr>
      </w:pPr>
      <w:r w:rsidRPr="00ED58AF" w:rsidR="004034AB">
        <w:rPr>
          <w:rStyle w:val="FootnoteReference"/>
          <w:rFonts w:ascii="Times New Roman" w:hAnsi="Times New Roman" w:cs="Times New Roman"/>
        </w:rPr>
        <w:footnoteRef/>
      </w:r>
      <w:r w:rsidRPr="00ED58AF" w:rsidR="004034AB">
        <w:rPr>
          <w:rFonts w:ascii="Arial" w:hAnsi="Arial" w:cs="Arial"/>
          <w:color w:val="000000"/>
        </w:rPr>
        <w:t>) Výnos Ministerstva spravodlivosti Slovenskej republiky z 29. januára 1991 č. 4801/1991-30 o nariaďovaní a odmeňovaní pracovnej pohotovosti predsedov senátov krajských a okresných súdov (reg. pod č. 153/1991 Zb.).</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0211B6"/>
    <w:rsid w:val="00047068"/>
    <w:rsid w:val="000C67B0"/>
    <w:rsid w:val="00190802"/>
    <w:rsid w:val="00297D92"/>
    <w:rsid w:val="003A1A0A"/>
    <w:rsid w:val="004034AB"/>
    <w:rsid w:val="00404C07"/>
    <w:rsid w:val="004B5D48"/>
    <w:rsid w:val="00511165"/>
    <w:rsid w:val="00626618"/>
    <w:rsid w:val="006D7F19"/>
    <w:rsid w:val="007B3D4D"/>
    <w:rsid w:val="00861583"/>
    <w:rsid w:val="00865A95"/>
    <w:rsid w:val="00881298"/>
    <w:rsid w:val="009B4A63"/>
    <w:rsid w:val="00BC02F0"/>
    <w:rsid w:val="00BF4AC2"/>
    <w:rsid w:val="00C53E33"/>
    <w:rsid w:val="00C8249F"/>
    <w:rsid w:val="00CA1CCF"/>
    <w:rsid w:val="00DA78AE"/>
    <w:rsid w:val="00DB6D49"/>
    <w:rsid w:val="00ED58AF"/>
    <w:rsid w:val="00F41171"/>
    <w:rsid w:val="00F818BA"/>
    <w:rsid w:val="00F91C3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5">
    <w:name w:val="heading 5"/>
    <w:basedOn w:val="Normal"/>
    <w:uiPriority w:val="9"/>
    <w:qFormat/>
    <w:rsid w:val="00626618"/>
    <w:pPr>
      <w:spacing w:before="100" w:beforeAutospacing="1" w:after="100" w:afterAutospacing="1"/>
      <w:jc w:val="center"/>
      <w:outlineLvl w:val="4"/>
    </w:pPr>
    <w:rPr>
      <w:rFonts w:ascii="Arial" w:hAnsi="Arial" w:cs="Arial"/>
      <w:b/>
      <w:bCs/>
      <w:color w:val="303030"/>
      <w:sz w:val="20"/>
      <w:szCs w:val="20"/>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Title">
    <w:name w:val="Title"/>
    <w:basedOn w:val="Normal"/>
    <w:uiPriority w:val="10"/>
    <w:qFormat/>
    <w:rsid w:val="00626618"/>
    <w:pPr>
      <w:spacing w:line="360" w:lineRule="auto"/>
      <w:jc w:val="center"/>
    </w:pPr>
    <w:rPr>
      <w:b/>
      <w:sz w:val="28"/>
      <w:szCs w:val="20"/>
    </w:rPr>
  </w:style>
  <w:style w:type="paragraph" w:styleId="FootnoteText">
    <w:name w:val="footnote text"/>
    <w:basedOn w:val="Normal"/>
    <w:semiHidden/>
    <w:rsid w:val="00B74B22"/>
    <w:pPr>
      <w:jc w:val="left"/>
    </w:pPr>
    <w:rPr>
      <w:sz w:val="20"/>
      <w:szCs w:val="20"/>
    </w:rPr>
  </w:style>
  <w:style w:type="character" w:styleId="FootnoteReference">
    <w:name w:val="footnote reference"/>
    <w:basedOn w:val="DefaultParagraphFont"/>
    <w:semiHidden/>
    <w:rsid w:val="00B74B22"/>
    <w:rPr>
      <w:vertAlign w:val="superscript"/>
    </w:rPr>
  </w:style>
  <w:style w:type="paragraph" w:styleId="BalloonText">
    <w:name w:val="Balloon Text"/>
    <w:basedOn w:val="Normal"/>
    <w:semiHidden/>
    <w:rsid w:val="00B74B22"/>
    <w:pPr>
      <w:jc w:val="left"/>
    </w:pPr>
    <w:rPr>
      <w:rFonts w:ascii="Tahoma" w:hAnsi="Tahoma" w:cs="Tahoma"/>
      <w:sz w:val="16"/>
      <w:szCs w:val="16"/>
    </w:rPr>
  </w:style>
  <w:style w:type="character" w:styleId="Strong">
    <w:name w:val="Strong"/>
    <w:basedOn w:val="DefaultParagraphFont"/>
    <w:uiPriority w:val="22"/>
    <w:qFormat/>
    <w:rsid w:val="00190802"/>
    <w:rPr>
      <w:b/>
      <w:b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1641</Words>
  <Characters>9355</Characters>
  <Application>Microsoft Office Word</Application>
  <DocSecurity>0</DocSecurity>
  <Lines>0</Lines>
  <Paragraphs>0</Paragraphs>
  <ScaleCrop>false</ScaleCrop>
  <Company/>
  <LinksUpToDate>false</LinksUpToDate>
  <CharactersWithSpaces>10975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PC Ministerstvo Spravodlivost</dc:creator>
  <cp:lastModifiedBy>PC Ministerstvo Spravodlivost</cp:lastModifiedBy>
  <cp:revision>2</cp:revision>
  <cp:lastPrinted>2002-10-30T09:05:00Z</cp:lastPrinted>
  <dcterms:created xsi:type="dcterms:W3CDTF">2002-10-30T13:04:00Z</dcterms:created>
  <dcterms:modified xsi:type="dcterms:W3CDTF">2002-10-30T13:04:00Z</dcterms:modified>
</cp:coreProperties>
</file>