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DCF3" w14:textId="77777777" w:rsidR="00E428CD" w:rsidRPr="00193B0D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193B0D">
        <w:t>ÚSTAVNOPRÁVNY VÝBOR</w:t>
      </w:r>
    </w:p>
    <w:p w14:paraId="16023B5C" w14:textId="5FB06104" w:rsidR="00E428CD" w:rsidRPr="00193B0D" w:rsidRDefault="00E428CD" w:rsidP="00E428CD">
      <w:pPr>
        <w:spacing w:line="360" w:lineRule="auto"/>
        <w:rPr>
          <w:b/>
        </w:rPr>
      </w:pPr>
      <w:r w:rsidRPr="00193B0D">
        <w:rPr>
          <w:b/>
        </w:rPr>
        <w:t>NÁRODNEJ RADY SLOVENSKEJ REPUBLIKY</w:t>
      </w:r>
    </w:p>
    <w:p w14:paraId="2C2AC5DF" w14:textId="77777777" w:rsidR="00335EDF" w:rsidRDefault="00335EDF" w:rsidP="00A107BB">
      <w:pPr>
        <w:ind w:left="4955" w:firstLine="709"/>
      </w:pPr>
    </w:p>
    <w:p w14:paraId="2813A419" w14:textId="77777777" w:rsidR="00335EDF" w:rsidRPr="00335EDF" w:rsidRDefault="00335EDF" w:rsidP="00335EDF">
      <w:pPr>
        <w:ind w:left="4955" w:firstLine="709"/>
        <w:rPr>
          <w:b/>
        </w:rPr>
      </w:pPr>
    </w:p>
    <w:p w14:paraId="148B1B64" w14:textId="0CF62493" w:rsidR="00335EDF" w:rsidRPr="00335EDF" w:rsidRDefault="00335EDF" w:rsidP="00335EDF">
      <w:pPr>
        <w:ind w:left="4955" w:firstLine="709"/>
        <w:rPr>
          <w:bCs/>
        </w:rPr>
      </w:pPr>
      <w:r w:rsidRPr="00335EDF">
        <w:rPr>
          <w:bCs/>
        </w:rPr>
        <w:t>11</w:t>
      </w:r>
      <w:r w:rsidR="00F5294A">
        <w:rPr>
          <w:bCs/>
        </w:rPr>
        <w:t>7</w:t>
      </w:r>
      <w:r w:rsidRPr="00335EDF">
        <w:rPr>
          <w:bCs/>
        </w:rPr>
        <w:t xml:space="preserve"> schôdza</w:t>
      </w:r>
    </w:p>
    <w:p w14:paraId="37A689AB" w14:textId="6E319F42" w:rsidR="00335EDF" w:rsidRPr="00335EDF" w:rsidRDefault="00335EDF" w:rsidP="00335EDF">
      <w:pPr>
        <w:ind w:left="4955" w:firstLine="709"/>
        <w:rPr>
          <w:bCs/>
        </w:rPr>
      </w:pPr>
      <w:r w:rsidRPr="00335EDF">
        <w:rPr>
          <w:bCs/>
        </w:rPr>
        <w:t>Č.: KNR-UPV-4</w:t>
      </w:r>
      <w:r w:rsidR="00F5294A">
        <w:rPr>
          <w:bCs/>
        </w:rPr>
        <w:t>1</w:t>
      </w:r>
      <w:r w:rsidRPr="00335EDF">
        <w:rPr>
          <w:bCs/>
        </w:rPr>
        <w:t>8</w:t>
      </w:r>
      <w:r w:rsidR="00F5294A">
        <w:rPr>
          <w:bCs/>
        </w:rPr>
        <w:t>1</w:t>
      </w:r>
      <w:r w:rsidRPr="00335EDF">
        <w:rPr>
          <w:bCs/>
        </w:rPr>
        <w:t>/2026-</w:t>
      </w:r>
      <w:r w:rsidR="00C82377">
        <w:rPr>
          <w:bCs/>
        </w:rPr>
        <w:t>14</w:t>
      </w:r>
    </w:p>
    <w:p w14:paraId="0AFC43C2" w14:textId="77777777" w:rsidR="00335EDF" w:rsidRPr="00335EDF" w:rsidRDefault="00335EDF" w:rsidP="00335EDF">
      <w:pPr>
        <w:ind w:left="4955" w:firstLine="709"/>
      </w:pPr>
    </w:p>
    <w:p w14:paraId="2911E38C" w14:textId="77777777" w:rsidR="00D1464F" w:rsidRPr="00193B0D" w:rsidRDefault="00D1464F" w:rsidP="005D7341">
      <w:pPr>
        <w:rPr>
          <w:i/>
          <w:iCs/>
        </w:rPr>
      </w:pPr>
    </w:p>
    <w:p w14:paraId="054E26CA" w14:textId="0A98AC84" w:rsidR="003953AB" w:rsidRPr="00C82377" w:rsidRDefault="00C82377" w:rsidP="003953AB">
      <w:pPr>
        <w:jc w:val="center"/>
        <w:rPr>
          <w:sz w:val="36"/>
          <w:szCs w:val="36"/>
        </w:rPr>
      </w:pPr>
      <w:r w:rsidRPr="00C82377">
        <w:rPr>
          <w:sz w:val="36"/>
          <w:szCs w:val="36"/>
        </w:rPr>
        <w:t>428</w:t>
      </w:r>
    </w:p>
    <w:p w14:paraId="2232C24A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 xml:space="preserve">U z n e s e n i e </w:t>
      </w:r>
    </w:p>
    <w:p w14:paraId="10545F7C" w14:textId="77777777" w:rsidR="00A107BB" w:rsidRPr="00193B0D" w:rsidRDefault="00A107BB" w:rsidP="00A107BB">
      <w:pPr>
        <w:jc w:val="center"/>
        <w:rPr>
          <w:b/>
        </w:rPr>
      </w:pPr>
      <w:r w:rsidRPr="00193B0D">
        <w:rPr>
          <w:b/>
        </w:rPr>
        <w:t>Ústavnoprávneho výboru Národnej rady Slovenskej republiky</w:t>
      </w:r>
    </w:p>
    <w:p w14:paraId="0FDFE048" w14:textId="0A18C4A8" w:rsidR="00E428CD" w:rsidRPr="00193B0D" w:rsidRDefault="00A107BB" w:rsidP="00CD11E1">
      <w:pPr>
        <w:jc w:val="center"/>
      </w:pPr>
      <w:r w:rsidRPr="00193B0D">
        <w:rPr>
          <w:b/>
        </w:rPr>
        <w:t>z</w:t>
      </w:r>
      <w:r w:rsidR="007E50E2" w:rsidRPr="00193B0D">
        <w:rPr>
          <w:b/>
        </w:rPr>
        <w:t> </w:t>
      </w:r>
      <w:r w:rsidR="005240BC">
        <w:rPr>
          <w:b/>
        </w:rPr>
        <w:t>9</w:t>
      </w:r>
      <w:r w:rsidR="005319F8">
        <w:rPr>
          <w:b/>
        </w:rPr>
        <w:t>. apríla</w:t>
      </w:r>
      <w:r w:rsidR="003953AB" w:rsidRPr="00193B0D">
        <w:rPr>
          <w:b/>
        </w:rPr>
        <w:t xml:space="preserve"> 202</w:t>
      </w:r>
      <w:r w:rsidR="00630769">
        <w:rPr>
          <w:b/>
        </w:rPr>
        <w:t>6</w:t>
      </w:r>
    </w:p>
    <w:p w14:paraId="080E44D2" w14:textId="77777777" w:rsidR="00955D48" w:rsidRDefault="00955D48" w:rsidP="00FC2B10">
      <w:pPr>
        <w:jc w:val="both"/>
        <w:rPr>
          <w:bCs/>
          <w:lang w:eastAsia="en-US"/>
        </w:rPr>
      </w:pPr>
    </w:p>
    <w:p w14:paraId="36D8D044" w14:textId="459816DE" w:rsidR="00B46F18" w:rsidRPr="00B46F18" w:rsidRDefault="00E428CD" w:rsidP="00B46F18">
      <w:pPr>
        <w:tabs>
          <w:tab w:val="left" w:pos="284"/>
        </w:tabs>
        <w:jc w:val="both"/>
        <w:rPr>
          <w:rFonts w:cs="Arial"/>
          <w:noProof/>
        </w:rPr>
      </w:pPr>
      <w:r w:rsidRPr="008202D1">
        <w:rPr>
          <w:bCs/>
          <w:lang w:eastAsia="en-US"/>
        </w:rPr>
        <w:t>k</w:t>
      </w:r>
      <w:r w:rsidR="00FC2B10" w:rsidRPr="008202D1">
        <w:rPr>
          <w:bCs/>
          <w:lang w:eastAsia="en-US"/>
        </w:rPr>
        <w:t xml:space="preserve"> vládnemu </w:t>
      </w:r>
      <w:r w:rsidR="00BD574E" w:rsidRPr="008202D1">
        <w:rPr>
          <w:bCs/>
          <w:lang w:eastAsia="en-US"/>
        </w:rPr>
        <w:t>n</w:t>
      </w:r>
      <w:r w:rsidR="00BD574E" w:rsidRPr="008202D1">
        <w:rPr>
          <w:rFonts w:cs="Arial"/>
          <w:noProof/>
        </w:rPr>
        <w:t>ávrhu</w:t>
      </w:r>
      <w:r w:rsidR="00FC2B10" w:rsidRPr="008202D1">
        <w:rPr>
          <w:rFonts w:cs="Arial"/>
          <w:noProof/>
        </w:rPr>
        <w:t xml:space="preserve"> zákona</w:t>
      </w:r>
      <w:r w:rsidR="00B84700">
        <w:rPr>
          <w:rFonts w:cs="Arial"/>
          <w:noProof/>
        </w:rPr>
        <w:t xml:space="preserve">, </w:t>
      </w:r>
      <w:r w:rsidR="00B46F18" w:rsidRPr="00B46F18">
        <w:rPr>
          <w:color w:val="000000"/>
        </w:rPr>
        <w:t xml:space="preserve">ktorým sa mení a dopĺňa </w:t>
      </w:r>
      <w:r w:rsidR="00B46F18" w:rsidRPr="00B46F18">
        <w:rPr>
          <w:b/>
          <w:color w:val="000000"/>
        </w:rPr>
        <w:t>zákon č. 203/2011 Z. z. o kolektívnom investovaní</w:t>
      </w:r>
      <w:r w:rsidR="00B46F18" w:rsidRPr="00B46F18">
        <w:rPr>
          <w:color w:val="000000"/>
        </w:rPr>
        <w:t xml:space="preserve"> v znení neskorších predpisov </w:t>
      </w:r>
      <w:r w:rsidR="00B46F18" w:rsidRPr="00B46F18">
        <w:rPr>
          <w:rFonts w:cs="Arial"/>
          <w:noProof/>
        </w:rPr>
        <w:t>(tlač 1147)</w:t>
      </w:r>
    </w:p>
    <w:p w14:paraId="77BC974D" w14:textId="77777777" w:rsidR="00B46F18" w:rsidRDefault="00B46F18" w:rsidP="00B84700">
      <w:pPr>
        <w:tabs>
          <w:tab w:val="left" w:pos="284"/>
        </w:tabs>
        <w:jc w:val="both"/>
        <w:rPr>
          <w:rFonts w:cs="Arial"/>
          <w:noProof/>
        </w:rPr>
      </w:pPr>
    </w:p>
    <w:p w14:paraId="1D88B8D0" w14:textId="77777777" w:rsidR="00B46F18" w:rsidRPr="00193B0D" w:rsidRDefault="00B46F18" w:rsidP="00187AFD">
      <w:pPr>
        <w:pStyle w:val="Bezriadkovania"/>
      </w:pPr>
    </w:p>
    <w:p w14:paraId="1591AD63" w14:textId="77777777" w:rsidR="00E428CD" w:rsidRPr="00193B0D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193B0D">
        <w:tab/>
      </w:r>
      <w:r w:rsidRPr="00193B0D">
        <w:rPr>
          <w:b/>
        </w:rPr>
        <w:t>Ústavnoprávny výbor Národnej rady Slovenskej republiky</w:t>
      </w:r>
    </w:p>
    <w:p w14:paraId="6A39BD96" w14:textId="77777777" w:rsidR="00D1464F" w:rsidRPr="00193B0D" w:rsidRDefault="00D1464F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193B0D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93B0D">
        <w:rPr>
          <w:b/>
        </w:rPr>
        <w:tab/>
        <w:t>A.  s ú h l a s í</w:t>
      </w:r>
    </w:p>
    <w:p w14:paraId="74A12044" w14:textId="77777777" w:rsidR="007A7C31" w:rsidRPr="00B46F18" w:rsidRDefault="00CD11E1" w:rsidP="007A7C31">
      <w:pPr>
        <w:jc w:val="both"/>
      </w:pPr>
      <w:r w:rsidRPr="00B46F18">
        <w:tab/>
      </w:r>
    </w:p>
    <w:p w14:paraId="1C5FB2E0" w14:textId="75648D61" w:rsidR="00B46F18" w:rsidRPr="00B46F18" w:rsidRDefault="004F17C8" w:rsidP="00B46F18">
      <w:pPr>
        <w:ind w:firstLine="1134"/>
        <w:jc w:val="both"/>
        <w:rPr>
          <w:noProof/>
        </w:rPr>
      </w:pPr>
      <w:r w:rsidRPr="00B46F18">
        <w:t xml:space="preserve"> </w:t>
      </w:r>
      <w:r w:rsidR="007A7C31" w:rsidRPr="00B46F18">
        <w:t xml:space="preserve">s vládnym </w:t>
      </w:r>
      <w:r w:rsidR="004078A9" w:rsidRPr="00B46F18">
        <w:t>n</w:t>
      </w:r>
      <w:r w:rsidR="004078A9" w:rsidRPr="00B46F18">
        <w:rPr>
          <w:noProof/>
        </w:rPr>
        <w:t>ávrhom</w:t>
      </w:r>
      <w:r w:rsidR="008202D1" w:rsidRPr="00B46F18">
        <w:rPr>
          <w:noProof/>
        </w:rPr>
        <w:t xml:space="preserve"> zákona</w:t>
      </w:r>
      <w:r w:rsidR="00B84700" w:rsidRPr="00B46F18">
        <w:rPr>
          <w:noProof/>
        </w:rPr>
        <w:t>,</w:t>
      </w:r>
      <w:r w:rsidR="00B46F18" w:rsidRPr="00B46F18">
        <w:rPr>
          <w:noProof/>
        </w:rPr>
        <w:t xml:space="preserve"> </w:t>
      </w:r>
      <w:r w:rsidR="00B46F18" w:rsidRPr="00B46F18">
        <w:rPr>
          <w:color w:val="000000"/>
        </w:rPr>
        <w:t>ktorým sa mení a dopĺňa zákon č. 203/2011 Z. z. o</w:t>
      </w:r>
      <w:r w:rsidR="00B46F18">
        <w:rPr>
          <w:color w:val="000000"/>
        </w:rPr>
        <w:t> </w:t>
      </w:r>
      <w:r w:rsidR="00B46F18" w:rsidRPr="00B46F18">
        <w:rPr>
          <w:color w:val="000000"/>
        </w:rPr>
        <w:t xml:space="preserve">kolektívnom investovaní v znení neskorších predpisov </w:t>
      </w:r>
      <w:r w:rsidR="00B46F18" w:rsidRPr="00B46F18">
        <w:rPr>
          <w:rFonts w:cs="Arial"/>
          <w:noProof/>
        </w:rPr>
        <w:t>(tlač 1147);</w:t>
      </w:r>
    </w:p>
    <w:p w14:paraId="4DA4EB5F" w14:textId="77777777" w:rsidR="00B84700" w:rsidRDefault="00B84700" w:rsidP="008202D1">
      <w:pPr>
        <w:ind w:firstLine="1134"/>
        <w:jc w:val="both"/>
        <w:rPr>
          <w:noProof/>
        </w:rPr>
      </w:pPr>
    </w:p>
    <w:p w14:paraId="159D79B3" w14:textId="4048085F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93B0D">
        <w:rPr>
          <w:b/>
        </w:rPr>
        <w:tab/>
        <w:t>  B.  o d p o r ú č a</w:t>
      </w:r>
    </w:p>
    <w:p w14:paraId="555284CB" w14:textId="77777777" w:rsidR="00E428CD" w:rsidRPr="00193B0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193B0D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193B0D">
        <w:rPr>
          <w:b/>
        </w:rPr>
        <w:tab/>
      </w:r>
      <w:r w:rsidRPr="00193B0D">
        <w:rPr>
          <w:b/>
        </w:rPr>
        <w:tab/>
      </w:r>
      <w:r w:rsidRPr="00193B0D">
        <w:rPr>
          <w:b/>
        </w:rPr>
        <w:tab/>
      </w:r>
      <w:r w:rsidR="00584C05" w:rsidRPr="00193B0D">
        <w:rPr>
          <w:b/>
        </w:rPr>
        <w:t> </w:t>
      </w:r>
      <w:r w:rsidR="00584C05" w:rsidRPr="00193B0D">
        <w:rPr>
          <w:b/>
        </w:rPr>
        <w:tab/>
      </w:r>
      <w:r w:rsidR="00584C05" w:rsidRPr="00193B0D">
        <w:t>Národnej rade Slovenskej republiky</w:t>
      </w:r>
    </w:p>
    <w:p w14:paraId="3C1577F9" w14:textId="77777777" w:rsidR="007E50E2" w:rsidRPr="008202D1" w:rsidRDefault="007B120A" w:rsidP="007E50E2">
      <w:pPr>
        <w:jc w:val="both"/>
      </w:pPr>
      <w:r w:rsidRPr="00193B0D">
        <w:tab/>
      </w:r>
    </w:p>
    <w:p w14:paraId="4D200C9A" w14:textId="55AAC6A9" w:rsidR="002B6BD5" w:rsidRPr="00B46F18" w:rsidRDefault="006C250D" w:rsidP="00B46F18">
      <w:pPr>
        <w:ind w:firstLine="1134"/>
        <w:jc w:val="both"/>
        <w:rPr>
          <w:rFonts w:cs="Arial"/>
          <w:noProof/>
        </w:rPr>
      </w:pPr>
      <w:r w:rsidRPr="00B46F18">
        <w:rPr>
          <w:lang w:eastAsia="en-US"/>
        </w:rPr>
        <w:t xml:space="preserve">vládny </w:t>
      </w:r>
      <w:r w:rsidR="004078A9" w:rsidRPr="00B46F18">
        <w:rPr>
          <w:lang w:eastAsia="en-US"/>
        </w:rPr>
        <w:t>n</w:t>
      </w:r>
      <w:r w:rsidR="004078A9" w:rsidRPr="00B46F18">
        <w:rPr>
          <w:noProof/>
        </w:rPr>
        <w:t xml:space="preserve">ávrh </w:t>
      </w:r>
      <w:r w:rsidRPr="00B46F18">
        <w:rPr>
          <w:noProof/>
        </w:rPr>
        <w:t>zákona</w:t>
      </w:r>
      <w:r w:rsidR="00B84700" w:rsidRPr="00B46F18">
        <w:rPr>
          <w:noProof/>
        </w:rPr>
        <w:t xml:space="preserve">, </w:t>
      </w:r>
      <w:r w:rsidR="00B46F18" w:rsidRPr="00B46F18">
        <w:rPr>
          <w:color w:val="000000"/>
        </w:rPr>
        <w:t>ktorým sa mení a dopĺňa zákon č. 203/2011 Z. z. o</w:t>
      </w:r>
      <w:r w:rsidR="006E0FFF">
        <w:rPr>
          <w:color w:val="000000"/>
        </w:rPr>
        <w:t> </w:t>
      </w:r>
      <w:r w:rsidR="00B46F18" w:rsidRPr="00B46F18">
        <w:rPr>
          <w:color w:val="000000"/>
        </w:rPr>
        <w:t xml:space="preserve">kolektívnom investovaní v znení neskorších predpisov </w:t>
      </w:r>
      <w:r w:rsidR="00B46F18" w:rsidRPr="00B46F18">
        <w:rPr>
          <w:rFonts w:cs="Arial"/>
          <w:noProof/>
        </w:rPr>
        <w:t xml:space="preserve">(tlač 1147) </w:t>
      </w:r>
      <w:r w:rsidR="00584C05" w:rsidRPr="00B46F18">
        <w:rPr>
          <w:rFonts w:cs="Arial"/>
          <w:b/>
        </w:rPr>
        <w:t>schváliť</w:t>
      </w:r>
      <w:r w:rsidR="00584C05" w:rsidRPr="00B46F18">
        <w:rPr>
          <w:rFonts w:cs="Arial"/>
        </w:rPr>
        <w:t xml:space="preserve"> </w:t>
      </w:r>
      <w:r w:rsidR="00584C05" w:rsidRPr="00B46F18">
        <w:rPr>
          <w:iCs/>
        </w:rPr>
        <w:t>so zmenami a doplnkami uvedenými v prílohe tohto uznesenia</w:t>
      </w:r>
      <w:r w:rsidR="00584C05" w:rsidRPr="00955D48">
        <w:t xml:space="preserve">; </w:t>
      </w:r>
      <w:r w:rsidR="002B6BD5" w:rsidRPr="00955D48">
        <w:t xml:space="preserve"> </w:t>
      </w:r>
    </w:p>
    <w:p w14:paraId="45335EC7" w14:textId="77777777" w:rsidR="00D1464F" w:rsidRPr="00955D48" w:rsidRDefault="00D1464F" w:rsidP="002B6BD5">
      <w:pPr>
        <w:tabs>
          <w:tab w:val="left" w:pos="1134"/>
          <w:tab w:val="left" w:pos="1276"/>
        </w:tabs>
        <w:ind w:left="708"/>
        <w:jc w:val="both"/>
      </w:pPr>
    </w:p>
    <w:p w14:paraId="76E45BC4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  <w:r w:rsidRPr="00193B0D">
        <w:rPr>
          <w:b/>
        </w:rPr>
        <w:t> C.</w:t>
      </w:r>
      <w:r w:rsidRPr="00193B0D">
        <w:rPr>
          <w:b/>
        </w:rPr>
        <w:tab/>
        <w:t>p o v e r u j e</w:t>
      </w:r>
    </w:p>
    <w:p w14:paraId="31A16FD5" w14:textId="77777777" w:rsidR="007D5420" w:rsidRPr="00193B0D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193B0D" w:rsidRDefault="007D5420" w:rsidP="007D5420">
      <w:pPr>
        <w:tabs>
          <w:tab w:val="left" w:pos="1134"/>
        </w:tabs>
        <w:jc w:val="both"/>
      </w:pPr>
      <w:r w:rsidRPr="00193B0D">
        <w:tab/>
        <w:t xml:space="preserve">predsedu výboru </w:t>
      </w:r>
    </w:p>
    <w:p w14:paraId="12EEA032" w14:textId="77777777" w:rsidR="007D5420" w:rsidRPr="00193B0D" w:rsidRDefault="007D5420" w:rsidP="007D5420">
      <w:pPr>
        <w:tabs>
          <w:tab w:val="left" w:pos="1134"/>
        </w:tabs>
        <w:jc w:val="both"/>
      </w:pPr>
    </w:p>
    <w:p w14:paraId="67846B43" w14:textId="11896E0D" w:rsidR="007D5420" w:rsidRDefault="007D5420" w:rsidP="007D5420">
      <w:pPr>
        <w:tabs>
          <w:tab w:val="left" w:pos="1134"/>
        </w:tabs>
        <w:jc w:val="both"/>
      </w:pPr>
      <w:r w:rsidRPr="00193B0D">
        <w:tab/>
        <w:t xml:space="preserve">predložiť stanovisko výboru k uvedenému návrhu zákona </w:t>
      </w:r>
      <w:r w:rsidR="007F4E13">
        <w:t xml:space="preserve">predsedovi </w:t>
      </w:r>
      <w:r w:rsidRPr="00193B0D">
        <w:t>gestorské</w:t>
      </w:r>
      <w:r w:rsidR="007F4E13">
        <w:t xml:space="preserve">ho </w:t>
      </w:r>
      <w:r w:rsidRPr="00193B0D">
        <w:t>Výboru Národnej rady Slovenskej republiky pre</w:t>
      </w:r>
      <w:r w:rsidR="00B46F18">
        <w:t xml:space="preserve"> financie a rozpočet.</w:t>
      </w:r>
      <w:r w:rsidR="00B84700">
        <w:t xml:space="preserve"> </w:t>
      </w:r>
    </w:p>
    <w:p w14:paraId="08DE58C1" w14:textId="77777777" w:rsidR="008D3B0A" w:rsidRDefault="008D3B0A" w:rsidP="007D5420">
      <w:pPr>
        <w:tabs>
          <w:tab w:val="left" w:pos="1134"/>
        </w:tabs>
        <w:jc w:val="both"/>
      </w:pPr>
    </w:p>
    <w:p w14:paraId="19F533CC" w14:textId="77777777" w:rsidR="00B46F18" w:rsidRDefault="00B46F18" w:rsidP="007D5420">
      <w:pPr>
        <w:tabs>
          <w:tab w:val="left" w:pos="1134"/>
        </w:tabs>
        <w:jc w:val="both"/>
      </w:pPr>
    </w:p>
    <w:p w14:paraId="03E8429D" w14:textId="77777777" w:rsidR="00A27E5E" w:rsidRDefault="00A27E5E" w:rsidP="007D5420">
      <w:pPr>
        <w:tabs>
          <w:tab w:val="left" w:pos="1134"/>
        </w:tabs>
        <w:jc w:val="both"/>
      </w:pPr>
    </w:p>
    <w:p w14:paraId="5FDD1345" w14:textId="77777777" w:rsidR="00B46F18" w:rsidRDefault="00B46F18" w:rsidP="007D5420">
      <w:pPr>
        <w:tabs>
          <w:tab w:val="left" w:pos="1134"/>
        </w:tabs>
        <w:jc w:val="both"/>
      </w:pPr>
    </w:p>
    <w:p w14:paraId="44052A04" w14:textId="77777777" w:rsidR="00587575" w:rsidRPr="00193B0D" w:rsidRDefault="00587575" w:rsidP="007D5420">
      <w:pPr>
        <w:tabs>
          <w:tab w:val="left" w:pos="1134"/>
        </w:tabs>
        <w:jc w:val="both"/>
      </w:pPr>
    </w:p>
    <w:p w14:paraId="2193A9CA" w14:textId="37B5FB9A" w:rsidR="002B6BD5" w:rsidRPr="00193B0D" w:rsidRDefault="009B055C" w:rsidP="002B6BD5">
      <w:pPr>
        <w:jc w:val="both"/>
      </w:pPr>
      <w:r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2B6BD5" w:rsidRPr="00193B0D">
        <w:tab/>
      </w:r>
      <w:r w:rsidR="000671D8" w:rsidRPr="00193B0D">
        <w:t xml:space="preserve">  </w:t>
      </w:r>
      <w:r w:rsidR="002B6BD5" w:rsidRPr="00193B0D">
        <w:t xml:space="preserve">Miroslav Čellár </w:t>
      </w:r>
    </w:p>
    <w:p w14:paraId="38E55BD6" w14:textId="77777777" w:rsidR="002B6BD5" w:rsidRPr="00193B0D" w:rsidRDefault="002B6BD5" w:rsidP="002B6BD5">
      <w:pPr>
        <w:jc w:val="both"/>
        <w:rPr>
          <w:rFonts w:ascii="AT*Toronto" w:hAnsi="AT*Toronto"/>
          <w:szCs w:val="20"/>
        </w:rPr>
      </w:pPr>
      <w:r w:rsidRPr="00193B0D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193B0D" w:rsidRDefault="002B6BD5" w:rsidP="002B6BD5">
      <w:pPr>
        <w:tabs>
          <w:tab w:val="left" w:pos="1021"/>
        </w:tabs>
        <w:jc w:val="both"/>
      </w:pPr>
      <w:r w:rsidRPr="00193B0D">
        <w:t>overovatelia výboru:</w:t>
      </w:r>
    </w:p>
    <w:p w14:paraId="09ED7F90" w14:textId="77777777" w:rsidR="002B6BD5" w:rsidRPr="00193B0D" w:rsidRDefault="002B6BD5" w:rsidP="002B6BD5">
      <w:r w:rsidRPr="00193B0D">
        <w:t>Štefan Gašparovič</w:t>
      </w:r>
    </w:p>
    <w:p w14:paraId="58A0BB51" w14:textId="2EA5A7F3" w:rsidR="004078A9" w:rsidRDefault="002B6BD5" w:rsidP="004E641D">
      <w:r w:rsidRPr="00193B0D">
        <w:t>Branislav Vanč</w:t>
      </w:r>
      <w:r w:rsidR="009666CB">
        <w:t>o</w:t>
      </w:r>
    </w:p>
    <w:p w14:paraId="65A4C82A" w14:textId="77777777" w:rsidR="00B46F18" w:rsidRDefault="00B46F18" w:rsidP="004E641D"/>
    <w:p w14:paraId="79B6A548" w14:textId="77777777" w:rsidR="00B46F18" w:rsidRDefault="00B46F18" w:rsidP="004E641D"/>
    <w:p w14:paraId="72E2BC57" w14:textId="77777777" w:rsidR="00391992" w:rsidRPr="00193B0D" w:rsidRDefault="00391992" w:rsidP="00391992">
      <w:pPr>
        <w:pStyle w:val="Nadpis2"/>
        <w:jc w:val="left"/>
      </w:pPr>
      <w:r w:rsidRPr="00193B0D">
        <w:t>P r í l o h a</w:t>
      </w:r>
    </w:p>
    <w:p w14:paraId="7F605B33" w14:textId="77777777" w:rsidR="00391992" w:rsidRPr="00193B0D" w:rsidRDefault="00391992" w:rsidP="00391992">
      <w:pPr>
        <w:ind w:left="4253" w:firstLine="708"/>
        <w:jc w:val="both"/>
        <w:rPr>
          <w:b/>
          <w:bCs/>
        </w:rPr>
      </w:pPr>
      <w:r w:rsidRPr="00193B0D">
        <w:rPr>
          <w:b/>
          <w:bCs/>
        </w:rPr>
        <w:t xml:space="preserve">k uzneseniu Ústavnoprávneho </w:t>
      </w:r>
    </w:p>
    <w:p w14:paraId="2E97AEA3" w14:textId="7C7250FA" w:rsidR="00636109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výboru Národnej rady SR č.</w:t>
      </w:r>
      <w:r w:rsidR="000017FD" w:rsidRPr="00193B0D">
        <w:rPr>
          <w:b/>
        </w:rPr>
        <w:t xml:space="preserve"> </w:t>
      </w:r>
      <w:r w:rsidR="00C82377">
        <w:rPr>
          <w:b/>
        </w:rPr>
        <w:t>428</w:t>
      </w:r>
    </w:p>
    <w:p w14:paraId="0C13677A" w14:textId="31A27BCB" w:rsidR="00391992" w:rsidRPr="00193B0D" w:rsidRDefault="00391992" w:rsidP="00391992">
      <w:pPr>
        <w:ind w:left="4253" w:firstLine="708"/>
        <w:jc w:val="both"/>
        <w:rPr>
          <w:b/>
        </w:rPr>
      </w:pPr>
      <w:r w:rsidRPr="00193B0D">
        <w:rPr>
          <w:b/>
        </w:rPr>
        <w:t>z</w:t>
      </w:r>
      <w:r w:rsidR="00630769">
        <w:rPr>
          <w:b/>
        </w:rPr>
        <w:t> </w:t>
      </w:r>
      <w:r w:rsidR="005240BC">
        <w:rPr>
          <w:b/>
        </w:rPr>
        <w:t>9</w:t>
      </w:r>
      <w:r w:rsidR="008C157E">
        <w:rPr>
          <w:b/>
        </w:rPr>
        <w:t>. apríla</w:t>
      </w:r>
      <w:r w:rsidR="0007770F" w:rsidRPr="00193B0D">
        <w:rPr>
          <w:b/>
        </w:rPr>
        <w:t xml:space="preserve"> </w:t>
      </w:r>
      <w:r w:rsidR="007C6A8C" w:rsidRPr="00193B0D">
        <w:rPr>
          <w:b/>
        </w:rPr>
        <w:t>202</w:t>
      </w:r>
      <w:r w:rsidR="002E0FC8">
        <w:rPr>
          <w:b/>
        </w:rPr>
        <w:t>6</w:t>
      </w:r>
    </w:p>
    <w:p w14:paraId="5F757901" w14:textId="77777777" w:rsidR="00391992" w:rsidRPr="00193B0D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193B0D">
        <w:rPr>
          <w:b/>
          <w:bCs/>
        </w:rPr>
        <w:t>_______________________</w:t>
      </w:r>
      <w:r w:rsidR="00391992" w:rsidRPr="00193B0D">
        <w:rPr>
          <w:b/>
          <w:bCs/>
        </w:rPr>
        <w:t>__</w:t>
      </w:r>
      <w:r w:rsidR="0051091B" w:rsidRPr="00193B0D">
        <w:rPr>
          <w:b/>
          <w:bCs/>
        </w:rPr>
        <w:t>___</w:t>
      </w:r>
    </w:p>
    <w:p w14:paraId="38AFF25B" w14:textId="77777777" w:rsidR="009C1641" w:rsidRPr="00193B0D" w:rsidRDefault="009C1641" w:rsidP="001B7191">
      <w:pPr>
        <w:rPr>
          <w:lang w:eastAsia="en-US"/>
        </w:rPr>
      </w:pPr>
    </w:p>
    <w:p w14:paraId="50F1627A" w14:textId="3533D3C6" w:rsidR="003A3FFB" w:rsidRPr="00193B0D" w:rsidRDefault="003A3FFB" w:rsidP="001B7191">
      <w:pPr>
        <w:rPr>
          <w:lang w:eastAsia="en-US"/>
        </w:rPr>
      </w:pPr>
    </w:p>
    <w:p w14:paraId="20501D1C" w14:textId="3C798E45" w:rsidR="00BC4D30" w:rsidRPr="00193B0D" w:rsidRDefault="00BC4D30" w:rsidP="001B7191">
      <w:pPr>
        <w:rPr>
          <w:lang w:eastAsia="en-US"/>
        </w:rPr>
      </w:pPr>
    </w:p>
    <w:p w14:paraId="1E53B167" w14:textId="77777777" w:rsidR="00BC4D30" w:rsidRPr="00193B0D" w:rsidRDefault="00BC4D30" w:rsidP="001B7191">
      <w:pPr>
        <w:rPr>
          <w:lang w:eastAsia="en-US"/>
        </w:rPr>
      </w:pPr>
    </w:p>
    <w:p w14:paraId="75B5BDE8" w14:textId="77777777" w:rsidR="00391992" w:rsidRPr="00193B0D" w:rsidRDefault="00391992" w:rsidP="003A3FFB">
      <w:pPr>
        <w:rPr>
          <w:lang w:eastAsia="en-US"/>
        </w:rPr>
      </w:pPr>
    </w:p>
    <w:p w14:paraId="58437221" w14:textId="77777777" w:rsidR="003A3FF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193B0D">
        <w:t>Pozmeňujúce a doplňujúce návrhy</w:t>
      </w:r>
      <w:bookmarkEnd w:id="0"/>
    </w:p>
    <w:p w14:paraId="64720783" w14:textId="77777777" w:rsidR="00B46F18" w:rsidRPr="00B46F18" w:rsidRDefault="00B46F18" w:rsidP="00B46F18">
      <w:pPr>
        <w:rPr>
          <w:lang w:eastAsia="en-US"/>
        </w:rPr>
      </w:pPr>
    </w:p>
    <w:p w14:paraId="60BD102A" w14:textId="045181D4" w:rsidR="00B46F18" w:rsidRPr="00B46F18" w:rsidRDefault="00A43844" w:rsidP="00B46F18">
      <w:pPr>
        <w:jc w:val="both"/>
        <w:rPr>
          <w:rFonts w:cs="Arial"/>
          <w:b/>
          <w:noProof/>
        </w:rPr>
      </w:pPr>
      <w:r w:rsidRPr="00B46F18">
        <w:rPr>
          <w:b/>
          <w:lang w:eastAsia="en-US"/>
        </w:rPr>
        <w:t>k</w:t>
      </w:r>
      <w:r w:rsidR="009666CB" w:rsidRPr="00B46F18">
        <w:rPr>
          <w:b/>
          <w:lang w:eastAsia="en-US"/>
        </w:rPr>
        <w:t xml:space="preserve"> vládnemu </w:t>
      </w:r>
      <w:r w:rsidRPr="00B46F18">
        <w:rPr>
          <w:b/>
          <w:lang w:eastAsia="en-US"/>
        </w:rPr>
        <w:t>n</w:t>
      </w:r>
      <w:r w:rsidRPr="00B46F18">
        <w:rPr>
          <w:rFonts w:cs="Arial"/>
          <w:b/>
          <w:noProof/>
        </w:rPr>
        <w:t>ávrhu</w:t>
      </w:r>
      <w:r w:rsidR="004078A9" w:rsidRPr="00B46F18">
        <w:rPr>
          <w:rFonts w:cs="Arial"/>
          <w:b/>
          <w:noProof/>
        </w:rPr>
        <w:t xml:space="preserve"> </w:t>
      </w:r>
      <w:r w:rsidR="009666CB" w:rsidRPr="00B46F18">
        <w:rPr>
          <w:rFonts w:cs="Arial"/>
          <w:b/>
          <w:noProof/>
        </w:rPr>
        <w:t>zákona</w:t>
      </w:r>
      <w:r w:rsidR="00B84700" w:rsidRPr="00B46F18">
        <w:rPr>
          <w:rFonts w:cs="Arial"/>
          <w:b/>
          <w:noProof/>
        </w:rPr>
        <w:t xml:space="preserve">, </w:t>
      </w:r>
      <w:r w:rsidR="00B46F18" w:rsidRPr="00B46F18">
        <w:rPr>
          <w:b/>
          <w:color w:val="000000"/>
        </w:rPr>
        <w:t xml:space="preserve">ktorým sa mení a dopĺňa zákon č. 203/2011 Z. z. o kolektívnom investovaní v znení neskorších predpisov </w:t>
      </w:r>
      <w:r w:rsidR="00B46F18" w:rsidRPr="00B46F18">
        <w:rPr>
          <w:rFonts w:cs="Arial"/>
          <w:b/>
          <w:noProof/>
        </w:rPr>
        <w:t>(tlač 1147)</w:t>
      </w:r>
    </w:p>
    <w:p w14:paraId="04FD157D" w14:textId="0BD039AB" w:rsidR="0051091B" w:rsidRPr="00193B0D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193B0D">
        <w:rPr>
          <w:shd w:val="clear" w:color="auto" w:fill="FFFFFF"/>
        </w:rPr>
        <w:t>_______________________________</w:t>
      </w:r>
      <w:r w:rsidR="004E641D" w:rsidRPr="00193B0D">
        <w:rPr>
          <w:shd w:val="clear" w:color="auto" w:fill="FFFFFF"/>
        </w:rPr>
        <w:t>__________</w:t>
      </w:r>
      <w:r w:rsidR="009C1641" w:rsidRPr="00193B0D">
        <w:rPr>
          <w:shd w:val="clear" w:color="auto" w:fill="FFFFFF"/>
        </w:rPr>
        <w:t>________________________________</w:t>
      </w:r>
      <w:r w:rsidR="003A3FFB" w:rsidRPr="00193B0D">
        <w:rPr>
          <w:shd w:val="clear" w:color="auto" w:fill="FFFFFF"/>
        </w:rPr>
        <w:t>__</w:t>
      </w:r>
    </w:p>
    <w:p w14:paraId="7C2E0E02" w14:textId="69A5A98E" w:rsidR="0051091B" w:rsidRDefault="0051091B" w:rsidP="003A3FFB">
      <w:pPr>
        <w:tabs>
          <w:tab w:val="left" w:pos="284"/>
        </w:tabs>
        <w:jc w:val="both"/>
      </w:pPr>
    </w:p>
    <w:p w14:paraId="0D9456E5" w14:textId="77777777" w:rsidR="00124696" w:rsidRPr="00193B0D" w:rsidRDefault="00124696" w:rsidP="003A3FFB">
      <w:pPr>
        <w:tabs>
          <w:tab w:val="left" w:pos="284"/>
        </w:tabs>
        <w:jc w:val="both"/>
      </w:pPr>
    </w:p>
    <w:p w14:paraId="09019940" w14:textId="77777777" w:rsidR="00124696" w:rsidRDefault="00124696" w:rsidP="00124696">
      <w:pPr>
        <w:pStyle w:val="Zkladntex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 xml:space="preserve">V čl. I bode 1 § 3 sa písmená </w:t>
      </w:r>
      <w:proofErr w:type="spellStart"/>
      <w:r>
        <w:rPr>
          <w:color w:val="000000" w:themeColor="text1"/>
        </w:rPr>
        <w:t>ax</w:t>
      </w:r>
      <w:proofErr w:type="spellEnd"/>
      <w:r>
        <w:rPr>
          <w:color w:val="000000" w:themeColor="text1"/>
        </w:rPr>
        <w:t>) a </w:t>
      </w:r>
      <w:proofErr w:type="spellStart"/>
      <w:r>
        <w:rPr>
          <w:color w:val="000000" w:themeColor="text1"/>
        </w:rPr>
        <w:t>ay</w:t>
      </w:r>
      <w:proofErr w:type="spellEnd"/>
      <w:r>
        <w:rPr>
          <w:color w:val="000000" w:themeColor="text1"/>
        </w:rPr>
        <w:t xml:space="preserve">) označujú ako písmená </w:t>
      </w:r>
      <w:proofErr w:type="spellStart"/>
      <w:r>
        <w:rPr>
          <w:color w:val="000000" w:themeColor="text1"/>
        </w:rPr>
        <w:t>aw</w:t>
      </w:r>
      <w:proofErr w:type="spellEnd"/>
      <w:r>
        <w:rPr>
          <w:color w:val="000000" w:themeColor="text1"/>
        </w:rPr>
        <w:t>) a </w:t>
      </w:r>
      <w:proofErr w:type="spellStart"/>
      <w:r>
        <w:rPr>
          <w:color w:val="000000" w:themeColor="text1"/>
        </w:rPr>
        <w:t>ax</w:t>
      </w:r>
      <w:proofErr w:type="spellEnd"/>
      <w:r>
        <w:rPr>
          <w:color w:val="000000" w:themeColor="text1"/>
        </w:rPr>
        <w:t xml:space="preserve">). </w:t>
      </w:r>
    </w:p>
    <w:p w14:paraId="268B0A3B" w14:textId="77777777" w:rsidR="00124696" w:rsidRPr="008D6054" w:rsidRDefault="00124696" w:rsidP="00124696">
      <w:pPr>
        <w:pStyle w:val="Zkladntext"/>
        <w:spacing w:line="360" w:lineRule="auto"/>
        <w:ind w:firstLine="567"/>
        <w:rPr>
          <w:color w:val="000000" w:themeColor="text1"/>
        </w:rPr>
      </w:pPr>
      <w:r>
        <w:rPr>
          <w:color w:val="000000" w:themeColor="text1"/>
        </w:rPr>
        <w:t xml:space="preserve">V tejto súvislosti sa upraví </w:t>
      </w:r>
      <w:r w:rsidRPr="008D6054">
        <w:rPr>
          <w:color w:val="000000" w:themeColor="text1"/>
        </w:rPr>
        <w:t>úvodná veta</w:t>
      </w:r>
      <w:r>
        <w:rPr>
          <w:color w:val="000000" w:themeColor="text1"/>
        </w:rPr>
        <w:t xml:space="preserve"> novelizačného bodu</w:t>
      </w:r>
      <w:r w:rsidRPr="008D6054">
        <w:rPr>
          <w:color w:val="000000" w:themeColor="text1"/>
        </w:rPr>
        <w:t>.</w:t>
      </w:r>
    </w:p>
    <w:p w14:paraId="4ECAF4A5" w14:textId="77777777" w:rsidR="00124696" w:rsidRDefault="00124696" w:rsidP="00124696">
      <w:pPr>
        <w:pStyle w:val="Zkladntext"/>
        <w:ind w:left="2832"/>
        <w:rPr>
          <w:color w:val="000000" w:themeColor="text1"/>
        </w:rPr>
      </w:pPr>
    </w:p>
    <w:p w14:paraId="057BA7C4" w14:textId="0ED65015" w:rsidR="00124696" w:rsidRDefault="00124696" w:rsidP="00124696">
      <w:pPr>
        <w:pStyle w:val="Zkladntext"/>
        <w:ind w:left="2832"/>
        <w:rPr>
          <w:color w:val="000000" w:themeColor="text1"/>
        </w:rPr>
      </w:pPr>
      <w:r>
        <w:rPr>
          <w:color w:val="000000" w:themeColor="text1"/>
        </w:rPr>
        <w:t xml:space="preserve">Legislatívno-technická úprava za účelom zachovania kontinuity značenia </w:t>
      </w:r>
      <w:proofErr w:type="spellStart"/>
      <w:r>
        <w:rPr>
          <w:color w:val="000000" w:themeColor="text1"/>
        </w:rPr>
        <w:t>pododsekov</w:t>
      </w:r>
      <w:proofErr w:type="spellEnd"/>
      <w:r>
        <w:rPr>
          <w:color w:val="000000" w:themeColor="text1"/>
        </w:rPr>
        <w:t xml:space="preserve"> v súlade s bodom 13 </w:t>
      </w:r>
      <w:r w:rsidRPr="00F81492">
        <w:rPr>
          <w:color w:val="000000" w:themeColor="text1"/>
        </w:rPr>
        <w:t>Prílohy č.</w:t>
      </w:r>
      <w:r>
        <w:rPr>
          <w:color w:val="000000" w:themeColor="text1"/>
        </w:rPr>
        <w:t xml:space="preserve"> </w:t>
      </w:r>
      <w:r w:rsidRPr="00F81492">
        <w:rPr>
          <w:color w:val="000000" w:themeColor="text1"/>
        </w:rPr>
        <w:t>2 Legislatívnych pravidiel tvorby zákonov (č. 19/1997 Z. z.)</w:t>
      </w:r>
      <w:r>
        <w:rPr>
          <w:color w:val="000000" w:themeColor="text1"/>
        </w:rPr>
        <w:t>. V označení dopĺňaných písmen nebolo zachované abecedné poradie.</w:t>
      </w:r>
    </w:p>
    <w:p w14:paraId="73DFC6D1" w14:textId="77777777" w:rsidR="00124696" w:rsidRDefault="00124696" w:rsidP="00124696">
      <w:pPr>
        <w:pStyle w:val="Zkladntext"/>
        <w:spacing w:line="360" w:lineRule="auto"/>
        <w:ind w:left="1069"/>
        <w:rPr>
          <w:color w:val="000000" w:themeColor="text1"/>
        </w:rPr>
      </w:pPr>
    </w:p>
    <w:p w14:paraId="6ADB3E1A" w14:textId="77777777" w:rsidR="00124696" w:rsidRDefault="00124696" w:rsidP="00124696">
      <w:pPr>
        <w:pStyle w:val="Odsekzoznamu"/>
        <w:numPr>
          <w:ilvl w:val="0"/>
          <w:numId w:val="37"/>
        </w:numPr>
        <w:spacing w:after="160" w:line="360" w:lineRule="auto"/>
        <w:ind w:left="567" w:hanging="425"/>
        <w:jc w:val="both"/>
        <w:rPr>
          <w:color w:val="000000" w:themeColor="text1"/>
          <w:sz w:val="24"/>
          <w:szCs w:val="24"/>
        </w:rPr>
      </w:pPr>
      <w:r w:rsidRPr="006A682E">
        <w:rPr>
          <w:color w:val="000000" w:themeColor="text1"/>
          <w:sz w:val="24"/>
          <w:szCs w:val="24"/>
        </w:rPr>
        <w:t xml:space="preserve">V čl. I bode 4 § 14a ods. 6 sa slová „faktora (swing faktor)“ nahrádzajú slovami „faktora pohyblivých cien (swing </w:t>
      </w:r>
      <w:proofErr w:type="spellStart"/>
      <w:r w:rsidRPr="006A682E">
        <w:rPr>
          <w:color w:val="000000" w:themeColor="text1"/>
          <w:sz w:val="24"/>
          <w:szCs w:val="24"/>
        </w:rPr>
        <w:t>factor</w:t>
      </w:r>
      <w:proofErr w:type="spellEnd"/>
      <w:r w:rsidRPr="006A682E">
        <w:rPr>
          <w:color w:val="000000" w:themeColor="text1"/>
          <w:sz w:val="24"/>
          <w:szCs w:val="24"/>
        </w:rPr>
        <w:t xml:space="preserve">)“. </w:t>
      </w:r>
    </w:p>
    <w:p w14:paraId="49BF353C" w14:textId="77777777" w:rsidR="00124696" w:rsidRDefault="00124696" w:rsidP="00124696">
      <w:pPr>
        <w:pStyle w:val="Odsekzoznamu"/>
        <w:spacing w:line="240" w:lineRule="auto"/>
        <w:ind w:left="2835"/>
        <w:jc w:val="both"/>
        <w:rPr>
          <w:color w:val="000000" w:themeColor="text1"/>
          <w:sz w:val="24"/>
          <w:szCs w:val="24"/>
        </w:rPr>
      </w:pPr>
    </w:p>
    <w:p w14:paraId="768418CF" w14:textId="5B182E90" w:rsidR="00124696" w:rsidRDefault="00124696" w:rsidP="00124696">
      <w:pPr>
        <w:pStyle w:val="Odsekzoznamu"/>
        <w:spacing w:line="240" w:lineRule="auto"/>
        <w:ind w:left="2835"/>
        <w:jc w:val="both"/>
        <w:rPr>
          <w:color w:val="000000" w:themeColor="text1"/>
          <w:sz w:val="24"/>
          <w:szCs w:val="24"/>
        </w:rPr>
      </w:pPr>
      <w:r w:rsidRPr="006A682E">
        <w:rPr>
          <w:color w:val="000000" w:themeColor="text1"/>
          <w:sz w:val="24"/>
          <w:szCs w:val="24"/>
        </w:rPr>
        <w:t>Legislatívno-technická úprava  upresňuje definíciu v súlade s bodom 5 Prílohy II  a bodom 5 Prílohy IV smernice (EÚ) 2024/927.</w:t>
      </w:r>
    </w:p>
    <w:p w14:paraId="44B8AEB7" w14:textId="77777777" w:rsidR="00124696" w:rsidRPr="00784029" w:rsidRDefault="00124696" w:rsidP="00124696">
      <w:pPr>
        <w:pStyle w:val="Odsekzoznamu"/>
        <w:spacing w:line="240" w:lineRule="auto"/>
        <w:ind w:left="2835"/>
        <w:jc w:val="both"/>
        <w:rPr>
          <w:color w:val="000000" w:themeColor="text1"/>
          <w:sz w:val="24"/>
          <w:szCs w:val="24"/>
        </w:rPr>
      </w:pPr>
    </w:p>
    <w:p w14:paraId="7C138382" w14:textId="77777777" w:rsidR="00124696" w:rsidRDefault="00124696" w:rsidP="00124696">
      <w:pPr>
        <w:pStyle w:val="Zkladntex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>V čl. I bode 4 § 14c ods. 1 písm. a) sa vypúšťajú slová „</w:t>
      </w:r>
      <w:r w:rsidRPr="00AD071E">
        <w:rPr>
          <w:color w:val="000000" w:themeColor="text1"/>
        </w:rPr>
        <w:t>ods. 1 až 5</w:t>
      </w:r>
      <w:r>
        <w:rPr>
          <w:color w:val="000000" w:themeColor="text1"/>
        </w:rPr>
        <w:t>“.</w:t>
      </w:r>
    </w:p>
    <w:p w14:paraId="4D680991" w14:textId="77777777" w:rsidR="00124696" w:rsidRDefault="00124696" w:rsidP="00124696">
      <w:pPr>
        <w:pStyle w:val="Zkladntext"/>
        <w:ind w:left="2832"/>
        <w:rPr>
          <w:color w:val="000000" w:themeColor="text1"/>
        </w:rPr>
      </w:pPr>
    </w:p>
    <w:p w14:paraId="597F68E9" w14:textId="476A205A" w:rsidR="00124696" w:rsidRDefault="00124696" w:rsidP="00124696">
      <w:pPr>
        <w:pStyle w:val="Zkladntext"/>
        <w:ind w:left="2832"/>
        <w:rPr>
          <w:color w:val="000000" w:themeColor="text1"/>
        </w:rPr>
      </w:pPr>
      <w:r>
        <w:rPr>
          <w:color w:val="000000" w:themeColor="text1"/>
        </w:rPr>
        <w:t xml:space="preserve">Legislatívno-technická úprava za účelom zachovania jednotnej techniky odkazovania v súlade s bodom 18 </w:t>
      </w:r>
      <w:r w:rsidRPr="00F81492">
        <w:rPr>
          <w:color w:val="000000" w:themeColor="text1"/>
        </w:rPr>
        <w:t>Prílohy č.</w:t>
      </w:r>
      <w:r>
        <w:rPr>
          <w:color w:val="000000" w:themeColor="text1"/>
        </w:rPr>
        <w:t xml:space="preserve"> </w:t>
      </w:r>
      <w:r w:rsidRPr="00F81492">
        <w:rPr>
          <w:color w:val="000000" w:themeColor="text1"/>
        </w:rPr>
        <w:t>2 Legislatívnych pravidiel tvorby zákonov (č. 19/1997 Z. z.)</w:t>
      </w:r>
      <w:r>
        <w:rPr>
          <w:color w:val="000000" w:themeColor="text1"/>
        </w:rPr>
        <w:t>. § 14b, na ktorý sa odkazuje, má len 5 odsekov, čiže sa odkazuje na celé ustanovenie § 14b.</w:t>
      </w:r>
    </w:p>
    <w:p w14:paraId="07E88C6A" w14:textId="77777777" w:rsidR="00124696" w:rsidRDefault="00124696" w:rsidP="00124696">
      <w:pPr>
        <w:pStyle w:val="Zkladntext"/>
        <w:spacing w:line="360" w:lineRule="auto"/>
        <w:rPr>
          <w:color w:val="000000" w:themeColor="text1"/>
        </w:rPr>
      </w:pPr>
    </w:p>
    <w:p w14:paraId="7F5F62D8" w14:textId="77777777" w:rsidR="00124696" w:rsidRPr="006A682E" w:rsidRDefault="00124696" w:rsidP="00124696">
      <w:pPr>
        <w:pStyle w:val="Odsekzoznamu"/>
        <w:numPr>
          <w:ilvl w:val="0"/>
          <w:numId w:val="37"/>
        </w:numPr>
        <w:spacing w:after="160" w:line="360" w:lineRule="auto"/>
        <w:ind w:left="567" w:hanging="425"/>
        <w:jc w:val="both"/>
        <w:rPr>
          <w:color w:val="000000" w:themeColor="text1"/>
          <w:sz w:val="24"/>
          <w:szCs w:val="24"/>
        </w:rPr>
      </w:pPr>
      <w:r w:rsidRPr="006A682E">
        <w:rPr>
          <w:color w:val="000000" w:themeColor="text1"/>
          <w:sz w:val="24"/>
          <w:szCs w:val="24"/>
        </w:rPr>
        <w:t xml:space="preserve">V čl. I bode 29 § 37b ods. 15 sa vypúšťa slovo „jeho“. </w:t>
      </w:r>
    </w:p>
    <w:p w14:paraId="095FFC59" w14:textId="77777777" w:rsidR="00124696" w:rsidRDefault="00124696" w:rsidP="00124696">
      <w:pPr>
        <w:ind w:left="2835"/>
        <w:jc w:val="both"/>
        <w:rPr>
          <w:color w:val="000000" w:themeColor="text1"/>
        </w:rPr>
      </w:pPr>
      <w:r>
        <w:rPr>
          <w:color w:val="000000" w:themeColor="text1"/>
        </w:rPr>
        <w:t xml:space="preserve">Legislatívno-technická úprava, ktorou sa vypúšťa redundantné slovo bez zmeny významu ustanovenia, v súlade so znením čl. 1 </w:t>
      </w:r>
      <w:r>
        <w:rPr>
          <w:color w:val="000000" w:themeColor="text1"/>
        </w:rPr>
        <w:lastRenderedPageBreak/>
        <w:t>ods. 8 smernice (EÚ) 2024/927 (čl. 16 ods. 2d smernice 2011/61/EÚ).</w:t>
      </w:r>
    </w:p>
    <w:p w14:paraId="426089D2" w14:textId="77777777" w:rsidR="00124696" w:rsidRDefault="00124696" w:rsidP="00124696">
      <w:pPr>
        <w:ind w:left="2835"/>
        <w:jc w:val="both"/>
        <w:rPr>
          <w:color w:val="000000" w:themeColor="text1"/>
        </w:rPr>
      </w:pPr>
    </w:p>
    <w:p w14:paraId="0C940C91" w14:textId="77777777" w:rsidR="00124696" w:rsidRDefault="00124696" w:rsidP="00124696">
      <w:pPr>
        <w:pStyle w:val="Zkladntex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567" w:hanging="425"/>
        <w:rPr>
          <w:color w:val="000000" w:themeColor="text1"/>
        </w:rPr>
      </w:pPr>
      <w:r w:rsidRPr="00532018">
        <w:rPr>
          <w:color w:val="000000" w:themeColor="text1"/>
        </w:rPr>
        <w:t>V čl. I</w:t>
      </w:r>
      <w:r>
        <w:rPr>
          <w:color w:val="000000" w:themeColor="text1"/>
        </w:rPr>
        <w:t xml:space="preserve"> bode 30 </w:t>
      </w:r>
      <w:r w:rsidRPr="008D34A8">
        <w:rPr>
          <w:color w:val="000000" w:themeColor="text1"/>
        </w:rPr>
        <w:t xml:space="preserve">§ 37e </w:t>
      </w:r>
      <w:r>
        <w:rPr>
          <w:color w:val="000000" w:themeColor="text1"/>
        </w:rPr>
        <w:t xml:space="preserve">sa </w:t>
      </w:r>
      <w:r w:rsidRPr="008D34A8">
        <w:rPr>
          <w:color w:val="000000" w:themeColor="text1"/>
        </w:rPr>
        <w:t xml:space="preserve">označenie odkazu </w:t>
      </w:r>
      <w:r>
        <w:rPr>
          <w:color w:val="000000" w:themeColor="text1"/>
        </w:rPr>
        <w:t>25nd</w:t>
      </w:r>
      <w:r w:rsidRPr="008D34A8">
        <w:rPr>
          <w:color w:val="000000" w:themeColor="text1"/>
        </w:rPr>
        <w:t xml:space="preserve"> nahrádza označením</w:t>
      </w:r>
      <w:r w:rsidRPr="00532018">
        <w:rPr>
          <w:color w:val="000000" w:themeColor="text1"/>
        </w:rPr>
        <w:t xml:space="preserve"> </w:t>
      </w:r>
      <w:r w:rsidRPr="008D34A8">
        <w:rPr>
          <w:color w:val="000000" w:themeColor="text1"/>
        </w:rPr>
        <w:t>odkazu</w:t>
      </w:r>
      <w:r>
        <w:rPr>
          <w:color w:val="000000" w:themeColor="text1"/>
        </w:rPr>
        <w:t xml:space="preserve"> 25nc, </w:t>
      </w:r>
      <w:r w:rsidRPr="008D34A8">
        <w:rPr>
          <w:color w:val="000000" w:themeColor="text1"/>
        </w:rPr>
        <w:t xml:space="preserve">označenie odkazu </w:t>
      </w:r>
      <w:r>
        <w:rPr>
          <w:color w:val="000000" w:themeColor="text1"/>
        </w:rPr>
        <w:t>25ne sa</w:t>
      </w:r>
      <w:r w:rsidRPr="008D34A8">
        <w:rPr>
          <w:color w:val="000000" w:themeColor="text1"/>
        </w:rPr>
        <w:t xml:space="preserve"> nahrádza označením</w:t>
      </w:r>
      <w:r w:rsidRPr="00532018">
        <w:rPr>
          <w:color w:val="000000" w:themeColor="text1"/>
        </w:rPr>
        <w:t xml:space="preserve"> </w:t>
      </w:r>
      <w:r w:rsidRPr="008D34A8">
        <w:rPr>
          <w:color w:val="000000" w:themeColor="text1"/>
        </w:rPr>
        <w:t xml:space="preserve">odkazu </w:t>
      </w:r>
      <w:r>
        <w:rPr>
          <w:color w:val="000000" w:themeColor="text1"/>
        </w:rPr>
        <w:t xml:space="preserve">25nd, </w:t>
      </w:r>
      <w:r w:rsidRPr="00F44395">
        <w:rPr>
          <w:color w:val="000000" w:themeColor="text1"/>
        </w:rPr>
        <w:t>označenie odkazu</w:t>
      </w:r>
      <w:r>
        <w:rPr>
          <w:color w:val="000000" w:themeColor="text1"/>
        </w:rPr>
        <w:t xml:space="preserve"> </w:t>
      </w:r>
      <w:r w:rsidRPr="00F44395">
        <w:rPr>
          <w:color w:val="000000" w:themeColor="text1"/>
        </w:rPr>
        <w:t>25n</w:t>
      </w:r>
      <w:r>
        <w:rPr>
          <w:color w:val="000000" w:themeColor="text1"/>
        </w:rPr>
        <w:t>f sa</w:t>
      </w:r>
      <w:r w:rsidRPr="00F44395">
        <w:rPr>
          <w:color w:val="000000" w:themeColor="text1"/>
        </w:rPr>
        <w:t xml:space="preserve"> nahrádza označením odkazu 25n</w:t>
      </w:r>
      <w:r>
        <w:rPr>
          <w:color w:val="000000" w:themeColor="text1"/>
        </w:rPr>
        <w:t xml:space="preserve">e a </w:t>
      </w:r>
      <w:r w:rsidRPr="008D34A8">
        <w:rPr>
          <w:color w:val="000000" w:themeColor="text1"/>
        </w:rPr>
        <w:t xml:space="preserve">označenie odkazu </w:t>
      </w:r>
      <w:r>
        <w:rPr>
          <w:color w:val="000000" w:themeColor="text1"/>
        </w:rPr>
        <w:t>25ng sa</w:t>
      </w:r>
      <w:r w:rsidRPr="008D34A8">
        <w:rPr>
          <w:color w:val="000000" w:themeColor="text1"/>
        </w:rPr>
        <w:t xml:space="preserve"> nahrádza označením</w:t>
      </w:r>
      <w:r w:rsidRPr="00532018">
        <w:rPr>
          <w:color w:val="000000" w:themeColor="text1"/>
        </w:rPr>
        <w:t xml:space="preserve"> </w:t>
      </w:r>
      <w:r w:rsidRPr="008D34A8">
        <w:rPr>
          <w:color w:val="000000" w:themeColor="text1"/>
        </w:rPr>
        <w:t xml:space="preserve">odkazu </w:t>
      </w:r>
      <w:r>
        <w:rPr>
          <w:color w:val="000000" w:themeColor="text1"/>
        </w:rPr>
        <w:t xml:space="preserve">25nf. </w:t>
      </w:r>
    </w:p>
    <w:p w14:paraId="26B2D0E6" w14:textId="77777777" w:rsidR="00124696" w:rsidRDefault="00124696" w:rsidP="00124696">
      <w:pPr>
        <w:pStyle w:val="Zkladntext"/>
        <w:spacing w:line="360" w:lineRule="auto"/>
        <w:ind w:left="1069"/>
        <w:rPr>
          <w:color w:val="000000" w:themeColor="text1"/>
        </w:rPr>
      </w:pPr>
    </w:p>
    <w:p w14:paraId="3504C034" w14:textId="77777777" w:rsidR="00124696" w:rsidRPr="00532018" w:rsidRDefault="00124696" w:rsidP="00124696">
      <w:pPr>
        <w:pStyle w:val="Zkladntext"/>
        <w:spacing w:line="360" w:lineRule="auto"/>
        <w:ind w:left="567"/>
        <w:rPr>
          <w:color w:val="000000" w:themeColor="text1"/>
        </w:rPr>
      </w:pPr>
      <w:r>
        <w:rPr>
          <w:color w:val="000000" w:themeColor="text1"/>
        </w:rPr>
        <w:t xml:space="preserve">V tejto súvislosti sa upraví </w:t>
      </w:r>
      <w:r w:rsidRPr="008D6054">
        <w:rPr>
          <w:color w:val="000000" w:themeColor="text1"/>
        </w:rPr>
        <w:t>úvodná veta k poznámkam pod čiarou a označenie poznámok pod čiarou.</w:t>
      </w:r>
    </w:p>
    <w:p w14:paraId="124E4AA8" w14:textId="77777777" w:rsidR="00124696" w:rsidRDefault="00124696" w:rsidP="00124696">
      <w:pPr>
        <w:pStyle w:val="Zkladntext"/>
        <w:ind w:left="2829"/>
        <w:rPr>
          <w:color w:val="000000" w:themeColor="text1"/>
        </w:rPr>
      </w:pPr>
      <w:r>
        <w:rPr>
          <w:color w:val="000000" w:themeColor="text1"/>
        </w:rPr>
        <w:t xml:space="preserve">Legislatívno-technická úprava za účelom zachovania kontinuity značenia odkazov v súlade s bodmi 18 a 34 </w:t>
      </w:r>
      <w:r w:rsidRPr="00F81492">
        <w:rPr>
          <w:color w:val="000000" w:themeColor="text1"/>
        </w:rPr>
        <w:t>Prílohy č.</w:t>
      </w:r>
      <w:r>
        <w:rPr>
          <w:color w:val="000000" w:themeColor="text1"/>
        </w:rPr>
        <w:t xml:space="preserve"> </w:t>
      </w:r>
      <w:r w:rsidRPr="00F81492">
        <w:rPr>
          <w:color w:val="000000" w:themeColor="text1"/>
        </w:rPr>
        <w:t>2 Legislatívnych pravidiel tvorby zákonov (č. 19/1997 Z. z.)</w:t>
      </w:r>
      <w:r>
        <w:rPr>
          <w:color w:val="000000" w:themeColor="text1"/>
        </w:rPr>
        <w:t>. V označení odkazov a poznámok pod čiarou k odkazom nebolo zachované abecedné poradie.</w:t>
      </w:r>
    </w:p>
    <w:p w14:paraId="6092D89C" w14:textId="77777777" w:rsidR="00124696" w:rsidRPr="00532018" w:rsidRDefault="00124696" w:rsidP="00124696">
      <w:pPr>
        <w:pStyle w:val="Zkladntext"/>
        <w:spacing w:line="360" w:lineRule="auto"/>
        <w:ind w:left="2832"/>
        <w:rPr>
          <w:color w:val="000000" w:themeColor="text1"/>
        </w:rPr>
      </w:pPr>
    </w:p>
    <w:p w14:paraId="7C8CC0BE" w14:textId="77777777" w:rsidR="00124696" w:rsidRDefault="00124696" w:rsidP="00124696">
      <w:pPr>
        <w:pStyle w:val="Zkladntex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567" w:hanging="425"/>
        <w:rPr>
          <w:color w:val="000000" w:themeColor="text1"/>
        </w:rPr>
      </w:pPr>
      <w:r>
        <w:rPr>
          <w:color w:val="000000" w:themeColor="text1"/>
        </w:rPr>
        <w:t>V čl. I bode 48</w:t>
      </w:r>
      <w:r w:rsidRPr="00711306">
        <w:rPr>
          <w:color w:val="000000" w:themeColor="text1"/>
        </w:rPr>
        <w:t xml:space="preserve"> </w:t>
      </w:r>
      <w:r w:rsidRPr="005E0BFC">
        <w:t xml:space="preserve">§ 66c ods. 2 </w:t>
      </w:r>
      <w:r>
        <w:t xml:space="preserve">písm. f) </w:t>
      </w:r>
      <w:r w:rsidRPr="00711306">
        <w:rPr>
          <w:color w:val="000000" w:themeColor="text1"/>
        </w:rPr>
        <w:t xml:space="preserve">sa </w:t>
      </w:r>
      <w:bookmarkStart w:id="1" w:name="_Hlk223598242"/>
      <w:r w:rsidRPr="00711306">
        <w:rPr>
          <w:color w:val="000000" w:themeColor="text1"/>
        </w:rPr>
        <w:t xml:space="preserve">označenie odkazu </w:t>
      </w:r>
      <w:r>
        <w:rPr>
          <w:color w:val="000000" w:themeColor="text1"/>
        </w:rPr>
        <w:t>45a</w:t>
      </w:r>
      <w:r w:rsidRPr="00711306">
        <w:rPr>
          <w:color w:val="000000" w:themeColor="text1"/>
        </w:rPr>
        <w:t xml:space="preserve"> nahrádza </w:t>
      </w:r>
      <w:r>
        <w:rPr>
          <w:color w:val="000000" w:themeColor="text1"/>
        </w:rPr>
        <w:t xml:space="preserve">označením </w:t>
      </w:r>
      <w:bookmarkEnd w:id="1"/>
      <w:r w:rsidRPr="00711306">
        <w:rPr>
          <w:color w:val="000000" w:themeColor="text1"/>
        </w:rPr>
        <w:t>odkaz</w:t>
      </w:r>
      <w:r>
        <w:rPr>
          <w:color w:val="000000" w:themeColor="text1"/>
        </w:rPr>
        <w:t>u</w:t>
      </w:r>
      <w:r w:rsidRPr="00711306">
        <w:rPr>
          <w:color w:val="000000" w:themeColor="text1"/>
        </w:rPr>
        <w:t xml:space="preserve"> </w:t>
      </w:r>
      <w:r>
        <w:rPr>
          <w:color w:val="000000" w:themeColor="text1"/>
        </w:rPr>
        <w:t>45aa</w:t>
      </w:r>
      <w:r w:rsidRPr="00711306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3ECB44B1" w14:textId="77777777" w:rsidR="00124696" w:rsidRDefault="00124696" w:rsidP="00124696">
      <w:pPr>
        <w:pStyle w:val="Zkladntext"/>
        <w:spacing w:line="360" w:lineRule="auto"/>
        <w:ind w:left="1069"/>
        <w:rPr>
          <w:color w:val="000000" w:themeColor="text1"/>
        </w:rPr>
      </w:pPr>
    </w:p>
    <w:p w14:paraId="171703F5" w14:textId="77777777" w:rsidR="00124696" w:rsidRPr="00CD56CB" w:rsidRDefault="00124696" w:rsidP="00124696">
      <w:pPr>
        <w:pStyle w:val="Zkladntext"/>
        <w:spacing w:line="360" w:lineRule="auto"/>
        <w:ind w:left="567"/>
        <w:rPr>
          <w:color w:val="000000" w:themeColor="text1"/>
        </w:rPr>
      </w:pPr>
      <w:r>
        <w:rPr>
          <w:color w:val="000000" w:themeColor="text1"/>
        </w:rPr>
        <w:t xml:space="preserve">V tejto súvislosti sa upraví </w:t>
      </w:r>
      <w:r w:rsidRPr="008D6054">
        <w:rPr>
          <w:color w:val="000000" w:themeColor="text1"/>
        </w:rPr>
        <w:t>úvodná veta k poznámke pod čiarou a označenie poznámky pod čiarou</w:t>
      </w:r>
      <w:r>
        <w:rPr>
          <w:color w:val="000000" w:themeColor="text1"/>
        </w:rPr>
        <w:t xml:space="preserve"> a vykonajú sa súvisiace legislatívno-technické úpravy: v čl. I bode 49 </w:t>
      </w:r>
      <w:r w:rsidRPr="005E0BFC">
        <w:t>§ 66c</w:t>
      </w:r>
      <w:r>
        <w:t xml:space="preserve"> ods. 13, bode 51 </w:t>
      </w:r>
      <w:r w:rsidRPr="005E0BFC">
        <w:t>§ 70 ods. 4 písm</w:t>
      </w:r>
      <w:r>
        <w:t xml:space="preserve">. c), bode 52 </w:t>
      </w:r>
      <w:r w:rsidRPr="005E0BFC">
        <w:t>§ 70</w:t>
      </w:r>
      <w:r>
        <w:t xml:space="preserve"> ods. 12, bode 74 § 148 ods. 2 písm. g), bode 76 § 150e ods. 1 písm. c), bode 77 § 150g ods. 1 písm. c) a bode 78 § 150h ods. 1 písm. c) sa označenie odkazu 45a nahrádza označením odkazu 45aa.</w:t>
      </w:r>
    </w:p>
    <w:p w14:paraId="68FF96AF" w14:textId="77777777" w:rsidR="00124696" w:rsidRDefault="00124696" w:rsidP="00124696">
      <w:pPr>
        <w:pStyle w:val="Zkladntext"/>
        <w:spacing w:line="276" w:lineRule="auto"/>
        <w:ind w:left="2832"/>
        <w:rPr>
          <w:color w:val="000000" w:themeColor="text1"/>
        </w:rPr>
      </w:pPr>
    </w:p>
    <w:p w14:paraId="304498C2" w14:textId="77777777" w:rsidR="00124696" w:rsidRDefault="00124696" w:rsidP="00124696">
      <w:pPr>
        <w:pStyle w:val="Zkladntext"/>
        <w:ind w:left="2829"/>
        <w:rPr>
          <w:color w:val="000000" w:themeColor="text1"/>
        </w:rPr>
      </w:pPr>
      <w:r>
        <w:rPr>
          <w:color w:val="000000" w:themeColor="text1"/>
        </w:rPr>
        <w:t>O</w:t>
      </w:r>
      <w:r w:rsidRPr="00256C4A">
        <w:rPr>
          <w:color w:val="000000" w:themeColor="text1"/>
        </w:rPr>
        <w:t>značenie odkazu a poznámky pod čiarou k</w:t>
      </w:r>
      <w:r>
        <w:rPr>
          <w:color w:val="000000" w:themeColor="text1"/>
        </w:rPr>
        <w:t> </w:t>
      </w:r>
      <w:r w:rsidRPr="00256C4A">
        <w:rPr>
          <w:color w:val="000000" w:themeColor="text1"/>
        </w:rPr>
        <w:t>odkazu</w:t>
      </w:r>
      <w:r>
        <w:rPr>
          <w:color w:val="000000" w:themeColor="text1"/>
        </w:rPr>
        <w:t xml:space="preserve"> sa upravuje </w:t>
      </w:r>
      <w:r w:rsidRPr="00256C4A">
        <w:rPr>
          <w:color w:val="000000" w:themeColor="text1"/>
        </w:rPr>
        <w:t>vzhľadom na skutočnosť</w:t>
      </w:r>
      <w:r>
        <w:rPr>
          <w:color w:val="000000" w:themeColor="text1"/>
        </w:rPr>
        <w:t xml:space="preserve">, že v platnom znení zákona sa </w:t>
      </w:r>
      <w:r w:rsidRPr="00256C4A">
        <w:rPr>
          <w:color w:val="000000" w:themeColor="text1"/>
        </w:rPr>
        <w:t>odkaz a poznámk</w:t>
      </w:r>
      <w:r>
        <w:rPr>
          <w:color w:val="000000" w:themeColor="text1"/>
        </w:rPr>
        <w:t>a</w:t>
      </w:r>
      <w:r w:rsidRPr="00256C4A">
        <w:rPr>
          <w:color w:val="000000" w:themeColor="text1"/>
        </w:rPr>
        <w:t xml:space="preserve"> pod čiarou k</w:t>
      </w:r>
      <w:r>
        <w:rPr>
          <w:color w:val="000000" w:themeColor="text1"/>
        </w:rPr>
        <w:t> </w:t>
      </w:r>
      <w:r w:rsidRPr="00256C4A">
        <w:rPr>
          <w:color w:val="000000" w:themeColor="text1"/>
        </w:rPr>
        <w:t>odkazu</w:t>
      </w:r>
      <w:r>
        <w:rPr>
          <w:color w:val="000000" w:themeColor="text1"/>
        </w:rPr>
        <w:t xml:space="preserve"> 45a už nachádzajú a nie je zámerom vykonať ich zmenu.</w:t>
      </w:r>
    </w:p>
    <w:p w14:paraId="52A51481" w14:textId="77777777" w:rsidR="00124696" w:rsidRDefault="00124696" w:rsidP="00124696">
      <w:pPr>
        <w:spacing w:line="360" w:lineRule="auto"/>
        <w:jc w:val="both"/>
        <w:rPr>
          <w:color w:val="000000" w:themeColor="text1"/>
        </w:rPr>
      </w:pPr>
    </w:p>
    <w:p w14:paraId="22108463" w14:textId="77777777" w:rsidR="00124696" w:rsidRPr="006A682E" w:rsidRDefault="00124696" w:rsidP="00124696">
      <w:pPr>
        <w:pStyle w:val="Odsekzoznamu"/>
        <w:numPr>
          <w:ilvl w:val="0"/>
          <w:numId w:val="37"/>
        </w:numPr>
        <w:spacing w:after="160" w:line="360" w:lineRule="auto"/>
        <w:ind w:left="567" w:hanging="425"/>
        <w:jc w:val="both"/>
        <w:rPr>
          <w:color w:val="000000" w:themeColor="text1"/>
          <w:sz w:val="24"/>
          <w:szCs w:val="24"/>
        </w:rPr>
      </w:pPr>
      <w:r w:rsidRPr="006A682E">
        <w:rPr>
          <w:color w:val="000000" w:themeColor="text1"/>
          <w:sz w:val="24"/>
          <w:szCs w:val="24"/>
        </w:rPr>
        <w:t>V čl. I bode 85 § 161a ods. 3 písm. d) prvom bode sa slová „tejto tretej osoby“ nahrádzajú slovami „alebo obchodného mena alebo názvu a adresy sídla tretej osoby alebo adresy sídla jej pobočky“.</w:t>
      </w:r>
    </w:p>
    <w:p w14:paraId="6EB3968A" w14:textId="77777777" w:rsidR="00124696" w:rsidRDefault="00124696" w:rsidP="00124696">
      <w:pPr>
        <w:ind w:left="2835"/>
        <w:jc w:val="both"/>
        <w:rPr>
          <w:color w:val="000000" w:themeColor="text1"/>
        </w:rPr>
      </w:pPr>
      <w:r>
        <w:rPr>
          <w:color w:val="000000" w:themeColor="text1"/>
        </w:rPr>
        <w:t>Legislatívno-technická úprava  upresňuje znenie v súlade s čl. 2 ods. 7 smernice (EÚ) 2024/927 (čl. 20a ods. 2 písm. d) bod i) smernice 2009/65/ES), a to spôsobom použitým v čl. I bode 91 návrhu zákona.</w:t>
      </w:r>
    </w:p>
    <w:p w14:paraId="7AA31E65" w14:textId="77777777" w:rsidR="00124696" w:rsidRDefault="00124696" w:rsidP="00124696">
      <w:pPr>
        <w:spacing w:line="360" w:lineRule="auto"/>
        <w:ind w:left="2835"/>
        <w:jc w:val="both"/>
        <w:rPr>
          <w:color w:val="000000" w:themeColor="text1"/>
        </w:rPr>
      </w:pPr>
    </w:p>
    <w:p w14:paraId="5ED2090B" w14:textId="77777777" w:rsidR="00124696" w:rsidRPr="006A682E" w:rsidRDefault="00124696" w:rsidP="00124696">
      <w:pPr>
        <w:pStyle w:val="Odsekzoznamu"/>
        <w:numPr>
          <w:ilvl w:val="0"/>
          <w:numId w:val="37"/>
        </w:numPr>
        <w:spacing w:after="160" w:line="360" w:lineRule="auto"/>
        <w:ind w:left="567" w:hanging="425"/>
        <w:jc w:val="both"/>
        <w:rPr>
          <w:color w:val="000000" w:themeColor="text1"/>
          <w:sz w:val="24"/>
          <w:szCs w:val="24"/>
        </w:rPr>
      </w:pPr>
      <w:r w:rsidRPr="006A682E">
        <w:rPr>
          <w:color w:val="000000" w:themeColor="text1"/>
          <w:sz w:val="24"/>
          <w:szCs w:val="24"/>
        </w:rPr>
        <w:lastRenderedPageBreak/>
        <w:t xml:space="preserve">V čl. I bode 103 § 201b ods. 8 až 10 a ods. 12 sa slová „§ 202 ods. 1 písm. c)“ nahrádzajú slovami „§ 202 ods. 1 písm. s)“. </w:t>
      </w:r>
    </w:p>
    <w:p w14:paraId="3AB1CAAE" w14:textId="77777777" w:rsidR="00124696" w:rsidRDefault="00124696" w:rsidP="00124696">
      <w:pPr>
        <w:ind w:left="2835"/>
        <w:jc w:val="both"/>
        <w:rPr>
          <w:color w:val="000000" w:themeColor="text1"/>
        </w:rPr>
      </w:pPr>
      <w:r>
        <w:rPr>
          <w:color w:val="000000" w:themeColor="text1"/>
        </w:rPr>
        <w:t>Legislatívno-technická úprava  opravuje vnútorný odkaz (§ 202 ods. 1 písm. s) transponujúci čl. 46 ods. 2 písm. j) smernice 2011/61/EÚ) v súlade s čl. 1 ods. 22 smernice (EÚ) 2024/927 (čl. 50 ods. 5a, 5b, 5c a 5f smernice 2011/61/EÚ).</w:t>
      </w:r>
    </w:p>
    <w:p w14:paraId="51B94D53" w14:textId="77777777" w:rsidR="00124696" w:rsidRDefault="00124696" w:rsidP="00124696">
      <w:pPr>
        <w:spacing w:line="360" w:lineRule="auto"/>
        <w:ind w:left="2835"/>
        <w:jc w:val="both"/>
        <w:rPr>
          <w:color w:val="000000" w:themeColor="text1"/>
        </w:rPr>
      </w:pPr>
    </w:p>
    <w:p w14:paraId="4CD85A5E" w14:textId="77777777" w:rsidR="00124696" w:rsidRDefault="00124696" w:rsidP="00124696">
      <w:pPr>
        <w:pStyle w:val="Zkladntex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567" w:hanging="425"/>
        <w:rPr>
          <w:color w:val="000000" w:themeColor="text1"/>
        </w:rPr>
      </w:pPr>
      <w:r w:rsidRPr="00612FE9">
        <w:rPr>
          <w:color w:val="000000" w:themeColor="text1"/>
        </w:rPr>
        <w:t>V čl. I bode 103 § 201b ods. 10 sa slová „výbor Európsky výbor pre systémové riziká“ nahrádzajú slovami „Európsky výbor pre systémové riziká“.</w:t>
      </w:r>
    </w:p>
    <w:p w14:paraId="230FB399" w14:textId="77777777" w:rsidR="00124696" w:rsidRDefault="00124696" w:rsidP="00124696">
      <w:pPr>
        <w:pStyle w:val="Zkladntext"/>
        <w:ind w:left="567"/>
        <w:rPr>
          <w:color w:val="000000" w:themeColor="text1"/>
        </w:rPr>
      </w:pPr>
    </w:p>
    <w:p w14:paraId="2C69BA31" w14:textId="77777777" w:rsidR="00124696" w:rsidRDefault="00124696" w:rsidP="00124696">
      <w:pPr>
        <w:pStyle w:val="Zkladntext"/>
        <w:ind w:left="2832"/>
        <w:rPr>
          <w:color w:val="000000" w:themeColor="text1"/>
        </w:rPr>
      </w:pPr>
      <w:r w:rsidRPr="00612FE9">
        <w:rPr>
          <w:color w:val="000000" w:themeColor="text1"/>
        </w:rPr>
        <w:t xml:space="preserve">Legislatívno-technická úprava, </w:t>
      </w:r>
      <w:r>
        <w:rPr>
          <w:color w:val="000000" w:themeColor="text1"/>
        </w:rPr>
        <w:t xml:space="preserve">prostredníctvom </w:t>
      </w:r>
      <w:r w:rsidRPr="00612FE9">
        <w:rPr>
          <w:color w:val="000000" w:themeColor="text1"/>
        </w:rPr>
        <w:t>ktor</w:t>
      </w:r>
      <w:r>
        <w:rPr>
          <w:color w:val="000000" w:themeColor="text1"/>
        </w:rPr>
        <w:t>ej</w:t>
      </w:r>
      <w:r w:rsidRPr="00612FE9">
        <w:rPr>
          <w:color w:val="000000" w:themeColor="text1"/>
        </w:rPr>
        <w:t xml:space="preserve"> sa vypúšťa nadbytočné slovo bez zmeny významu ustanovenia.</w:t>
      </w:r>
    </w:p>
    <w:p w14:paraId="6F18B9D2" w14:textId="77777777" w:rsidR="00124696" w:rsidRDefault="00124696" w:rsidP="00124696">
      <w:pPr>
        <w:pStyle w:val="Zkladntext"/>
        <w:spacing w:line="360" w:lineRule="auto"/>
        <w:ind w:left="2832"/>
        <w:rPr>
          <w:color w:val="000000" w:themeColor="text1"/>
        </w:rPr>
      </w:pPr>
    </w:p>
    <w:p w14:paraId="229DAD32" w14:textId="77777777" w:rsidR="00124696" w:rsidRDefault="00124696" w:rsidP="00124696">
      <w:pPr>
        <w:pStyle w:val="Zkladntex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567" w:hanging="425"/>
        <w:rPr>
          <w:color w:val="000000" w:themeColor="text1"/>
        </w:rPr>
      </w:pPr>
      <w:r w:rsidRPr="00532018">
        <w:rPr>
          <w:color w:val="000000" w:themeColor="text1"/>
        </w:rPr>
        <w:t xml:space="preserve">V čl. </w:t>
      </w:r>
      <w:r>
        <w:rPr>
          <w:color w:val="000000" w:themeColor="text1"/>
        </w:rPr>
        <w:t>I sa za bod 104 vkladá nový bod 105, ktorý znie:</w:t>
      </w:r>
    </w:p>
    <w:p w14:paraId="160A0D0A" w14:textId="77777777" w:rsidR="00124696" w:rsidRDefault="00124696" w:rsidP="00124696">
      <w:pPr>
        <w:pStyle w:val="Zkladntext"/>
        <w:spacing w:line="360" w:lineRule="auto"/>
        <w:ind w:left="567"/>
        <w:rPr>
          <w:color w:val="000000" w:themeColor="text1"/>
        </w:rPr>
      </w:pPr>
      <w:r>
        <w:rPr>
          <w:color w:val="000000" w:themeColor="text1"/>
        </w:rPr>
        <w:t>„105. V § 201d ods. 4 sa slová „</w:t>
      </w:r>
      <w:r w:rsidRPr="009F1B47">
        <w:rPr>
          <w:color w:val="000000" w:themeColor="text1"/>
        </w:rPr>
        <w:t>§ 202 ods. 15</w:t>
      </w:r>
      <w:r>
        <w:rPr>
          <w:color w:val="000000" w:themeColor="text1"/>
        </w:rPr>
        <w:t>“ nahrádzajú slovami „</w:t>
      </w:r>
      <w:r w:rsidRPr="009F1B47">
        <w:rPr>
          <w:color w:val="000000" w:themeColor="text1"/>
        </w:rPr>
        <w:t>§ 202 ods. 1</w:t>
      </w:r>
      <w:r>
        <w:rPr>
          <w:color w:val="000000" w:themeColor="text1"/>
        </w:rPr>
        <w:t>6“.“.</w:t>
      </w:r>
    </w:p>
    <w:p w14:paraId="1AA3031D" w14:textId="77777777" w:rsidR="00124696" w:rsidRDefault="00124696" w:rsidP="00124696">
      <w:pPr>
        <w:pStyle w:val="Zkladntext"/>
        <w:spacing w:line="360" w:lineRule="auto"/>
        <w:ind w:left="1069"/>
        <w:rPr>
          <w:color w:val="000000" w:themeColor="text1"/>
        </w:rPr>
      </w:pPr>
    </w:p>
    <w:p w14:paraId="7ABB3823" w14:textId="77777777" w:rsidR="00124696" w:rsidRDefault="00124696" w:rsidP="00124696">
      <w:pPr>
        <w:pStyle w:val="Zkladntext"/>
        <w:spacing w:line="360" w:lineRule="auto"/>
        <w:ind w:left="567"/>
        <w:rPr>
          <w:color w:val="000000" w:themeColor="text1"/>
        </w:rPr>
      </w:pPr>
      <w:r>
        <w:rPr>
          <w:color w:val="000000" w:themeColor="text1"/>
        </w:rPr>
        <w:t>Nasledujúce body v čl. I sa primerane prečíslujú.</w:t>
      </w:r>
    </w:p>
    <w:p w14:paraId="7B65974A" w14:textId="77777777" w:rsidR="00124696" w:rsidRDefault="00124696" w:rsidP="00124696">
      <w:pPr>
        <w:pStyle w:val="Zkladntext"/>
        <w:spacing w:line="360" w:lineRule="auto"/>
        <w:ind w:left="567"/>
        <w:rPr>
          <w:color w:val="000000" w:themeColor="text1"/>
        </w:rPr>
      </w:pPr>
      <w:r>
        <w:rPr>
          <w:color w:val="000000" w:themeColor="text1"/>
        </w:rPr>
        <w:t>Tento bod nadobúda účinnosť 1. júna 2026.</w:t>
      </w:r>
    </w:p>
    <w:p w14:paraId="0369E666" w14:textId="77777777" w:rsidR="00124696" w:rsidRPr="00532018" w:rsidRDefault="00124696" w:rsidP="00124696">
      <w:pPr>
        <w:pStyle w:val="Zkladntext"/>
        <w:spacing w:line="360" w:lineRule="auto"/>
        <w:ind w:left="567"/>
        <w:rPr>
          <w:color w:val="000000" w:themeColor="text1"/>
        </w:rPr>
      </w:pPr>
      <w:r>
        <w:rPr>
          <w:color w:val="000000" w:themeColor="text1"/>
        </w:rPr>
        <w:t>Vloženie bodu sa premietne do článku o účinnosti.</w:t>
      </w:r>
    </w:p>
    <w:p w14:paraId="130FF2BB" w14:textId="77777777" w:rsidR="00124696" w:rsidRDefault="00124696" w:rsidP="00124696">
      <w:pPr>
        <w:pStyle w:val="Zkladntext"/>
        <w:ind w:left="2829"/>
        <w:rPr>
          <w:color w:val="000000" w:themeColor="text1"/>
        </w:rPr>
      </w:pPr>
    </w:p>
    <w:p w14:paraId="15423714" w14:textId="0F3C3027" w:rsidR="00124696" w:rsidRPr="00532018" w:rsidRDefault="00124696" w:rsidP="00124696">
      <w:pPr>
        <w:pStyle w:val="Zkladntext"/>
        <w:ind w:left="2829"/>
        <w:rPr>
          <w:color w:val="000000" w:themeColor="text1"/>
        </w:rPr>
      </w:pPr>
      <w:r w:rsidRPr="00532018">
        <w:rPr>
          <w:color w:val="000000" w:themeColor="text1"/>
        </w:rPr>
        <w:t xml:space="preserve">Legislatívno-technická </w:t>
      </w:r>
      <w:r>
        <w:rPr>
          <w:color w:val="000000" w:themeColor="text1"/>
        </w:rPr>
        <w:t>úprava, ktorou sa reaguje na navrhované preznačenie odsekov v § 202 (čl. I bod 107).</w:t>
      </w:r>
    </w:p>
    <w:p w14:paraId="2847B04A" w14:textId="77777777" w:rsidR="00124696" w:rsidRPr="00532018" w:rsidRDefault="00124696" w:rsidP="00124696">
      <w:pPr>
        <w:pStyle w:val="Zkladntext"/>
        <w:spacing w:line="360" w:lineRule="auto"/>
        <w:ind w:left="1069"/>
        <w:rPr>
          <w:color w:val="000000" w:themeColor="text1"/>
        </w:rPr>
      </w:pPr>
    </w:p>
    <w:p w14:paraId="6142DF4C" w14:textId="77777777" w:rsidR="00124696" w:rsidRDefault="00124696" w:rsidP="00124696">
      <w:pPr>
        <w:pStyle w:val="Zkladntex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567" w:hanging="425"/>
        <w:rPr>
          <w:color w:val="000000" w:themeColor="text1"/>
        </w:rPr>
      </w:pPr>
      <w:r w:rsidRPr="00532018">
        <w:rPr>
          <w:color w:val="000000" w:themeColor="text1"/>
        </w:rPr>
        <w:t>V </w:t>
      </w:r>
      <w:r>
        <w:rPr>
          <w:color w:val="000000" w:themeColor="text1"/>
        </w:rPr>
        <w:t>čl. II sa slová „</w:t>
      </w:r>
      <w:r w:rsidRPr="00735E2F">
        <w:rPr>
          <w:color w:val="000000" w:themeColor="text1"/>
        </w:rPr>
        <w:t>16. apríla 2026</w:t>
      </w:r>
      <w:r>
        <w:rPr>
          <w:color w:val="000000" w:themeColor="text1"/>
        </w:rPr>
        <w:t xml:space="preserve">“ nahrádzajú slovami „1. júna 2026“. </w:t>
      </w:r>
    </w:p>
    <w:p w14:paraId="648C53AB" w14:textId="77777777" w:rsidR="00124696" w:rsidRDefault="00124696" w:rsidP="00124696">
      <w:pPr>
        <w:pStyle w:val="Zkladntext"/>
        <w:spacing w:line="360" w:lineRule="auto"/>
        <w:ind w:left="567"/>
        <w:rPr>
          <w:color w:val="000000" w:themeColor="text1"/>
        </w:rPr>
      </w:pPr>
    </w:p>
    <w:p w14:paraId="2B0CB735" w14:textId="2B43D698" w:rsidR="00124696" w:rsidRDefault="00124696" w:rsidP="00124696">
      <w:pPr>
        <w:pStyle w:val="Zkladntext"/>
        <w:spacing w:line="360" w:lineRule="auto"/>
        <w:ind w:left="567"/>
        <w:rPr>
          <w:color w:val="000000" w:themeColor="text1"/>
        </w:rPr>
      </w:pPr>
      <w:r>
        <w:rPr>
          <w:color w:val="000000" w:themeColor="text1"/>
        </w:rPr>
        <w:t xml:space="preserve">V tejto súvislosti sa vykonajú nasledovné úpravy: </w:t>
      </w:r>
    </w:p>
    <w:p w14:paraId="21DD335D" w14:textId="77777777" w:rsidR="00124696" w:rsidRDefault="00124696" w:rsidP="00124696">
      <w:pPr>
        <w:pStyle w:val="Zkladntext"/>
        <w:spacing w:line="360" w:lineRule="auto"/>
        <w:ind w:left="567"/>
        <w:rPr>
          <w:color w:val="000000" w:themeColor="text1"/>
        </w:rPr>
      </w:pPr>
      <w:r w:rsidRPr="00D64E5E">
        <w:rPr>
          <w:color w:val="000000" w:themeColor="text1"/>
        </w:rPr>
        <w:t>-</w:t>
      </w:r>
      <w:r>
        <w:rPr>
          <w:color w:val="000000" w:themeColor="text1"/>
        </w:rPr>
        <w:t xml:space="preserve"> v čl. I bode 111 sa v </w:t>
      </w:r>
      <w:r w:rsidRPr="00532018">
        <w:rPr>
          <w:color w:val="000000" w:themeColor="text1"/>
        </w:rPr>
        <w:t xml:space="preserve">§ </w:t>
      </w:r>
      <w:r>
        <w:rPr>
          <w:color w:val="000000" w:themeColor="text1"/>
        </w:rPr>
        <w:t>220h</w:t>
      </w:r>
      <w:r w:rsidRPr="00532018">
        <w:rPr>
          <w:color w:val="000000" w:themeColor="text1"/>
        </w:rPr>
        <w:t xml:space="preserve"> </w:t>
      </w:r>
      <w:r>
        <w:rPr>
          <w:color w:val="000000" w:themeColor="text1"/>
        </w:rPr>
        <w:t>vrátane nadpisu nad paragrafom slová</w:t>
      </w:r>
      <w:r w:rsidRPr="00532018">
        <w:rPr>
          <w:color w:val="000000" w:themeColor="text1"/>
        </w:rPr>
        <w:t xml:space="preserve"> „</w:t>
      </w:r>
      <w:r>
        <w:rPr>
          <w:color w:val="000000" w:themeColor="text1"/>
        </w:rPr>
        <w:t>16. apríl</w:t>
      </w:r>
      <w:r w:rsidRPr="003340B0">
        <w:rPr>
          <w:color w:val="000000" w:themeColor="text1"/>
        </w:rPr>
        <w:t xml:space="preserve"> 2026</w:t>
      </w:r>
      <w:r w:rsidRPr="00532018">
        <w:rPr>
          <w:color w:val="000000" w:themeColor="text1"/>
        </w:rPr>
        <w:t xml:space="preserve">“ </w:t>
      </w:r>
      <w:r>
        <w:rPr>
          <w:color w:val="000000" w:themeColor="text1"/>
        </w:rPr>
        <w:t xml:space="preserve">vo všetkých tvaroch </w:t>
      </w:r>
      <w:r w:rsidRPr="00532018">
        <w:rPr>
          <w:color w:val="000000" w:themeColor="text1"/>
        </w:rPr>
        <w:t>nahrádzajú slov</w:t>
      </w:r>
      <w:r>
        <w:rPr>
          <w:color w:val="000000" w:themeColor="text1"/>
        </w:rPr>
        <w:t>ami</w:t>
      </w:r>
      <w:r w:rsidRPr="00532018">
        <w:rPr>
          <w:color w:val="000000" w:themeColor="text1"/>
        </w:rPr>
        <w:t xml:space="preserve"> „</w:t>
      </w:r>
      <w:r>
        <w:rPr>
          <w:color w:val="000000" w:themeColor="text1"/>
        </w:rPr>
        <w:t>1. jún 2026</w:t>
      </w:r>
      <w:r w:rsidRPr="00532018">
        <w:rPr>
          <w:color w:val="000000" w:themeColor="text1"/>
        </w:rPr>
        <w:t>“</w:t>
      </w:r>
      <w:r>
        <w:rPr>
          <w:color w:val="000000" w:themeColor="text1"/>
        </w:rPr>
        <w:t xml:space="preserve"> v príslušnom tvare a slová „</w:t>
      </w:r>
      <w:r w:rsidRPr="00D214C6">
        <w:rPr>
          <w:color w:val="000000" w:themeColor="text1"/>
        </w:rPr>
        <w:t>15. apríli 2026</w:t>
      </w:r>
      <w:r>
        <w:rPr>
          <w:color w:val="000000" w:themeColor="text1"/>
        </w:rPr>
        <w:t>“ sa nahrádzajú slovami „31. máji 2026“</w:t>
      </w:r>
      <w:r w:rsidRPr="00532018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3E0838B9" w14:textId="77777777" w:rsidR="00124696" w:rsidRPr="00532018" w:rsidRDefault="00124696" w:rsidP="00124696">
      <w:pPr>
        <w:pStyle w:val="Zkladntext"/>
        <w:spacing w:line="360" w:lineRule="auto"/>
        <w:ind w:left="567"/>
        <w:rPr>
          <w:color w:val="000000" w:themeColor="text1"/>
        </w:rPr>
      </w:pPr>
      <w:r>
        <w:rPr>
          <w:color w:val="000000" w:themeColor="text1"/>
        </w:rPr>
        <w:t xml:space="preserve">- v čl. I bode 111 § 220k sa slová </w:t>
      </w:r>
      <w:r w:rsidRPr="00532018">
        <w:rPr>
          <w:color w:val="000000" w:themeColor="text1"/>
        </w:rPr>
        <w:t>„</w:t>
      </w:r>
      <w:r>
        <w:rPr>
          <w:color w:val="000000" w:themeColor="text1"/>
        </w:rPr>
        <w:t>16. apríl</w:t>
      </w:r>
      <w:r w:rsidRPr="003340B0">
        <w:rPr>
          <w:color w:val="000000" w:themeColor="text1"/>
        </w:rPr>
        <w:t xml:space="preserve"> 2026</w:t>
      </w:r>
      <w:r w:rsidRPr="00532018">
        <w:rPr>
          <w:color w:val="000000" w:themeColor="text1"/>
        </w:rPr>
        <w:t xml:space="preserve">“ </w:t>
      </w:r>
      <w:r>
        <w:rPr>
          <w:color w:val="000000" w:themeColor="text1"/>
        </w:rPr>
        <w:t xml:space="preserve">vo všetkých tvaroch </w:t>
      </w:r>
      <w:r w:rsidRPr="00532018">
        <w:rPr>
          <w:color w:val="000000" w:themeColor="text1"/>
        </w:rPr>
        <w:t>nahrádzajú slov</w:t>
      </w:r>
      <w:r>
        <w:rPr>
          <w:color w:val="000000" w:themeColor="text1"/>
        </w:rPr>
        <w:t>ami</w:t>
      </w:r>
      <w:r w:rsidRPr="00532018">
        <w:rPr>
          <w:color w:val="000000" w:themeColor="text1"/>
        </w:rPr>
        <w:t xml:space="preserve"> „</w:t>
      </w:r>
      <w:r>
        <w:rPr>
          <w:color w:val="000000" w:themeColor="text1"/>
        </w:rPr>
        <w:t>1. jún 2026</w:t>
      </w:r>
      <w:r w:rsidRPr="00532018">
        <w:rPr>
          <w:color w:val="000000" w:themeColor="text1"/>
        </w:rPr>
        <w:t>“</w:t>
      </w:r>
      <w:r>
        <w:rPr>
          <w:color w:val="000000" w:themeColor="text1"/>
        </w:rPr>
        <w:t xml:space="preserve"> v príslušnom tvare.</w:t>
      </w:r>
    </w:p>
    <w:p w14:paraId="279B6346" w14:textId="77777777" w:rsidR="00124696" w:rsidRDefault="00124696" w:rsidP="00124696">
      <w:pPr>
        <w:pStyle w:val="Zkladntext"/>
        <w:ind w:left="2829"/>
        <w:rPr>
          <w:color w:val="000000" w:themeColor="text1"/>
        </w:rPr>
      </w:pPr>
    </w:p>
    <w:p w14:paraId="0B840761" w14:textId="7672A7C7" w:rsidR="00124696" w:rsidRPr="00532018" w:rsidRDefault="00124696" w:rsidP="00124696">
      <w:pPr>
        <w:pStyle w:val="Zkladntext"/>
        <w:ind w:left="2829"/>
        <w:rPr>
          <w:color w:val="000000" w:themeColor="text1"/>
        </w:rPr>
      </w:pPr>
      <w:r>
        <w:rPr>
          <w:color w:val="000000" w:themeColor="text1"/>
        </w:rPr>
        <w:t xml:space="preserve">Zmena účinnosti sa navrhuje s ohľadom na dĺžku trvania legislatívneho procesu a potrebu zabezpečenia aspoň minimálnej </w:t>
      </w:r>
      <w:proofErr w:type="spellStart"/>
      <w:r>
        <w:rPr>
          <w:color w:val="000000" w:themeColor="text1"/>
        </w:rPr>
        <w:t>legisvakancie</w:t>
      </w:r>
      <w:proofErr w:type="spellEnd"/>
      <w:r>
        <w:rPr>
          <w:color w:val="000000" w:themeColor="text1"/>
        </w:rPr>
        <w:t>. Účinnosť zákona je potrebné zmeniť tak, aby bola dodržaná lehota ustanovená v čl. 102 ods. 1 písm. o) Ústavy Slovenskej republiky.</w:t>
      </w:r>
    </w:p>
    <w:p w14:paraId="631BDE0A" w14:textId="77777777" w:rsidR="00124696" w:rsidRDefault="00124696" w:rsidP="00124696">
      <w:pPr>
        <w:spacing w:line="360" w:lineRule="auto"/>
        <w:jc w:val="both"/>
        <w:rPr>
          <w:color w:val="000000" w:themeColor="text1"/>
        </w:rPr>
      </w:pPr>
    </w:p>
    <w:p w14:paraId="3F22229D" w14:textId="77777777" w:rsidR="00124696" w:rsidRDefault="00124696" w:rsidP="00124696">
      <w:pPr>
        <w:spacing w:line="360" w:lineRule="auto"/>
        <w:jc w:val="both"/>
        <w:rPr>
          <w:color w:val="000000" w:themeColor="text1"/>
        </w:rPr>
      </w:pPr>
    </w:p>
    <w:p w14:paraId="18EA3006" w14:textId="220820B9" w:rsidR="00FD6ACB" w:rsidRPr="00193B0D" w:rsidRDefault="00FD6ACB" w:rsidP="00FD6ACB">
      <w:pPr>
        <w:jc w:val="both"/>
      </w:pPr>
    </w:p>
    <w:sectPr w:rsidR="00FD6ACB" w:rsidRPr="00193B0D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F3386"/>
    <w:multiLevelType w:val="hybridMultilevel"/>
    <w:tmpl w:val="4CF26058"/>
    <w:lvl w:ilvl="0" w:tplc="4A644E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500552"/>
    <w:multiLevelType w:val="hybridMultilevel"/>
    <w:tmpl w:val="3BC2CE72"/>
    <w:lvl w:ilvl="0" w:tplc="609483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C077A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9E2DB5"/>
    <w:multiLevelType w:val="hybridMultilevel"/>
    <w:tmpl w:val="2A847E78"/>
    <w:lvl w:ilvl="0" w:tplc="DED41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3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A67AC"/>
    <w:multiLevelType w:val="hybridMultilevel"/>
    <w:tmpl w:val="49B411AC"/>
    <w:lvl w:ilvl="0" w:tplc="3CE0E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4021"/>
    <w:multiLevelType w:val="hybridMultilevel"/>
    <w:tmpl w:val="2B0A9DEE"/>
    <w:lvl w:ilvl="0" w:tplc="4AE2488C">
      <w:start w:val="1"/>
      <w:numFmt w:val="decimal"/>
      <w:lvlText w:val="%1."/>
      <w:lvlJc w:val="left"/>
      <w:pPr>
        <w:ind w:left="108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34924">
    <w:abstractNumId w:val="18"/>
  </w:num>
  <w:num w:numId="2" w16cid:durableId="1692141503">
    <w:abstractNumId w:val="29"/>
  </w:num>
  <w:num w:numId="3" w16cid:durableId="1089154581">
    <w:abstractNumId w:val="1"/>
  </w:num>
  <w:num w:numId="4" w16cid:durableId="1548561830">
    <w:abstractNumId w:val="23"/>
  </w:num>
  <w:num w:numId="5" w16cid:durableId="1663700728">
    <w:abstractNumId w:val="7"/>
  </w:num>
  <w:num w:numId="6" w16cid:durableId="478154832">
    <w:abstractNumId w:val="19"/>
  </w:num>
  <w:num w:numId="7" w16cid:durableId="636036505">
    <w:abstractNumId w:val="2"/>
  </w:num>
  <w:num w:numId="8" w16cid:durableId="1198204358">
    <w:abstractNumId w:val="28"/>
  </w:num>
  <w:num w:numId="9" w16cid:durableId="2012951093">
    <w:abstractNumId w:val="5"/>
  </w:num>
  <w:num w:numId="10" w16cid:durableId="966471235">
    <w:abstractNumId w:val="0"/>
  </w:num>
  <w:num w:numId="11" w16cid:durableId="2007202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5782328">
    <w:abstractNumId w:val="21"/>
  </w:num>
  <w:num w:numId="13" w16cid:durableId="19924377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490237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4171373">
    <w:abstractNumId w:val="6"/>
  </w:num>
  <w:num w:numId="16" w16cid:durableId="451562468">
    <w:abstractNumId w:val="26"/>
  </w:num>
  <w:num w:numId="17" w16cid:durableId="26418416">
    <w:abstractNumId w:val="22"/>
  </w:num>
  <w:num w:numId="18" w16cid:durableId="2011712891">
    <w:abstractNumId w:val="15"/>
  </w:num>
  <w:num w:numId="19" w16cid:durableId="2091076056">
    <w:abstractNumId w:val="10"/>
  </w:num>
  <w:num w:numId="20" w16cid:durableId="2085368856">
    <w:abstractNumId w:val="9"/>
  </w:num>
  <w:num w:numId="21" w16cid:durableId="954412584">
    <w:abstractNumId w:val="27"/>
  </w:num>
  <w:num w:numId="22" w16cid:durableId="2092576669">
    <w:abstractNumId w:val="16"/>
  </w:num>
  <w:num w:numId="23" w16cid:durableId="364448240">
    <w:abstractNumId w:val="25"/>
  </w:num>
  <w:num w:numId="24" w16cid:durableId="1361734855">
    <w:abstractNumId w:val="8"/>
  </w:num>
  <w:num w:numId="25" w16cid:durableId="12398226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3938291">
    <w:abstractNumId w:val="32"/>
  </w:num>
  <w:num w:numId="27" w16cid:durableId="1131753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3109153">
    <w:abstractNumId w:val="30"/>
  </w:num>
  <w:num w:numId="29" w16cid:durableId="889999735">
    <w:abstractNumId w:val="3"/>
  </w:num>
  <w:num w:numId="30" w16cid:durableId="94328064">
    <w:abstractNumId w:val="33"/>
  </w:num>
  <w:num w:numId="31" w16cid:durableId="2457241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26873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4008153">
    <w:abstractNumId w:val="31"/>
  </w:num>
  <w:num w:numId="34" w16cid:durableId="30693427">
    <w:abstractNumId w:val="17"/>
  </w:num>
  <w:num w:numId="35" w16cid:durableId="1775709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3106862">
    <w:abstractNumId w:val="20"/>
  </w:num>
  <w:num w:numId="37" w16cid:durableId="5949448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E9"/>
    <w:rsid w:val="0000048A"/>
    <w:rsid w:val="000017FD"/>
    <w:rsid w:val="00014595"/>
    <w:rsid w:val="00015663"/>
    <w:rsid w:val="000324AA"/>
    <w:rsid w:val="00040A7F"/>
    <w:rsid w:val="000671D8"/>
    <w:rsid w:val="0007770F"/>
    <w:rsid w:val="000831C0"/>
    <w:rsid w:val="00093569"/>
    <w:rsid w:val="000A23F5"/>
    <w:rsid w:val="000A36F6"/>
    <w:rsid w:val="000A6EC2"/>
    <w:rsid w:val="000A7662"/>
    <w:rsid w:val="000C44AA"/>
    <w:rsid w:val="000D3027"/>
    <w:rsid w:val="000D686D"/>
    <w:rsid w:val="000E5095"/>
    <w:rsid w:val="000F5094"/>
    <w:rsid w:val="000F69D8"/>
    <w:rsid w:val="00121AA0"/>
    <w:rsid w:val="00124696"/>
    <w:rsid w:val="001330D7"/>
    <w:rsid w:val="0014368D"/>
    <w:rsid w:val="00144B43"/>
    <w:rsid w:val="001600AF"/>
    <w:rsid w:val="0018256D"/>
    <w:rsid w:val="001862EE"/>
    <w:rsid w:val="00187AFD"/>
    <w:rsid w:val="00187C94"/>
    <w:rsid w:val="00191F1D"/>
    <w:rsid w:val="001936D6"/>
    <w:rsid w:val="00193B0D"/>
    <w:rsid w:val="001B5435"/>
    <w:rsid w:val="001B7191"/>
    <w:rsid w:val="0022102D"/>
    <w:rsid w:val="0023486F"/>
    <w:rsid w:val="00244013"/>
    <w:rsid w:val="00250C67"/>
    <w:rsid w:val="002571D8"/>
    <w:rsid w:val="0026013C"/>
    <w:rsid w:val="00264FC0"/>
    <w:rsid w:val="00270266"/>
    <w:rsid w:val="00297A5C"/>
    <w:rsid w:val="002B2DCA"/>
    <w:rsid w:val="002B6BD5"/>
    <w:rsid w:val="002E0FC8"/>
    <w:rsid w:val="002F02B9"/>
    <w:rsid w:val="002F3849"/>
    <w:rsid w:val="00315035"/>
    <w:rsid w:val="00326696"/>
    <w:rsid w:val="003315B1"/>
    <w:rsid w:val="0033457C"/>
    <w:rsid w:val="00335108"/>
    <w:rsid w:val="00335EDF"/>
    <w:rsid w:val="00347B8B"/>
    <w:rsid w:val="00365EA9"/>
    <w:rsid w:val="003802F7"/>
    <w:rsid w:val="00391992"/>
    <w:rsid w:val="003953AB"/>
    <w:rsid w:val="003A3FFB"/>
    <w:rsid w:val="003B45F1"/>
    <w:rsid w:val="003C7040"/>
    <w:rsid w:val="003D14DE"/>
    <w:rsid w:val="003D4B88"/>
    <w:rsid w:val="003D507F"/>
    <w:rsid w:val="003E2BA4"/>
    <w:rsid w:val="003E5B24"/>
    <w:rsid w:val="003F2912"/>
    <w:rsid w:val="004078A9"/>
    <w:rsid w:val="0046107C"/>
    <w:rsid w:val="00462138"/>
    <w:rsid w:val="00462668"/>
    <w:rsid w:val="00480859"/>
    <w:rsid w:val="0048624B"/>
    <w:rsid w:val="0048696C"/>
    <w:rsid w:val="00492C04"/>
    <w:rsid w:val="00496E3E"/>
    <w:rsid w:val="004C273F"/>
    <w:rsid w:val="004D0AD7"/>
    <w:rsid w:val="004D2FCD"/>
    <w:rsid w:val="004E641D"/>
    <w:rsid w:val="004F17C8"/>
    <w:rsid w:val="0051091B"/>
    <w:rsid w:val="0051243D"/>
    <w:rsid w:val="00522801"/>
    <w:rsid w:val="005240BC"/>
    <w:rsid w:val="00530752"/>
    <w:rsid w:val="005319F8"/>
    <w:rsid w:val="00536406"/>
    <w:rsid w:val="005379FF"/>
    <w:rsid w:val="0055742A"/>
    <w:rsid w:val="00564895"/>
    <w:rsid w:val="00584C05"/>
    <w:rsid w:val="00587575"/>
    <w:rsid w:val="005A0A9F"/>
    <w:rsid w:val="005B29B7"/>
    <w:rsid w:val="005B7CBC"/>
    <w:rsid w:val="005D7341"/>
    <w:rsid w:val="006221F7"/>
    <w:rsid w:val="00626717"/>
    <w:rsid w:val="00630769"/>
    <w:rsid w:val="00636109"/>
    <w:rsid w:val="0066054D"/>
    <w:rsid w:val="00671C4B"/>
    <w:rsid w:val="00671F73"/>
    <w:rsid w:val="00672D2A"/>
    <w:rsid w:val="00673FBA"/>
    <w:rsid w:val="00691D01"/>
    <w:rsid w:val="00696255"/>
    <w:rsid w:val="006A278F"/>
    <w:rsid w:val="006A4D8E"/>
    <w:rsid w:val="006B1BF1"/>
    <w:rsid w:val="006B71CA"/>
    <w:rsid w:val="006C14EF"/>
    <w:rsid w:val="006C250D"/>
    <w:rsid w:val="006C2A9A"/>
    <w:rsid w:val="006C3DB6"/>
    <w:rsid w:val="006E05E4"/>
    <w:rsid w:val="006E0FFF"/>
    <w:rsid w:val="006F0DF1"/>
    <w:rsid w:val="00706D70"/>
    <w:rsid w:val="007179C1"/>
    <w:rsid w:val="00725496"/>
    <w:rsid w:val="007413EC"/>
    <w:rsid w:val="0074278D"/>
    <w:rsid w:val="00744EA5"/>
    <w:rsid w:val="00765460"/>
    <w:rsid w:val="0079425B"/>
    <w:rsid w:val="007A7C31"/>
    <w:rsid w:val="007B120A"/>
    <w:rsid w:val="007C6A8C"/>
    <w:rsid w:val="007D219D"/>
    <w:rsid w:val="007D5420"/>
    <w:rsid w:val="007D6092"/>
    <w:rsid w:val="007E50E2"/>
    <w:rsid w:val="007F1592"/>
    <w:rsid w:val="007F1DCE"/>
    <w:rsid w:val="007F4E13"/>
    <w:rsid w:val="0081117D"/>
    <w:rsid w:val="008160A3"/>
    <w:rsid w:val="008202D1"/>
    <w:rsid w:val="00830CEB"/>
    <w:rsid w:val="00831A5C"/>
    <w:rsid w:val="00835C19"/>
    <w:rsid w:val="00842749"/>
    <w:rsid w:val="00846CE1"/>
    <w:rsid w:val="008554D3"/>
    <w:rsid w:val="0086796F"/>
    <w:rsid w:val="00870C49"/>
    <w:rsid w:val="008953EC"/>
    <w:rsid w:val="008A6D30"/>
    <w:rsid w:val="008C157E"/>
    <w:rsid w:val="008D3B0A"/>
    <w:rsid w:val="008E1E87"/>
    <w:rsid w:val="008E4E0E"/>
    <w:rsid w:val="008E70C3"/>
    <w:rsid w:val="008F2908"/>
    <w:rsid w:val="0090285D"/>
    <w:rsid w:val="00906B92"/>
    <w:rsid w:val="00915884"/>
    <w:rsid w:val="009358E4"/>
    <w:rsid w:val="00936D00"/>
    <w:rsid w:val="00955D48"/>
    <w:rsid w:val="009562C4"/>
    <w:rsid w:val="009666CB"/>
    <w:rsid w:val="00973A9F"/>
    <w:rsid w:val="00981E60"/>
    <w:rsid w:val="00983191"/>
    <w:rsid w:val="009920C6"/>
    <w:rsid w:val="00992469"/>
    <w:rsid w:val="009944D3"/>
    <w:rsid w:val="009B055C"/>
    <w:rsid w:val="009B6796"/>
    <w:rsid w:val="009C1641"/>
    <w:rsid w:val="009E72B8"/>
    <w:rsid w:val="009F6464"/>
    <w:rsid w:val="00A107BB"/>
    <w:rsid w:val="00A11DB6"/>
    <w:rsid w:val="00A2401C"/>
    <w:rsid w:val="00A25B06"/>
    <w:rsid w:val="00A26254"/>
    <w:rsid w:val="00A27E5E"/>
    <w:rsid w:val="00A30102"/>
    <w:rsid w:val="00A43844"/>
    <w:rsid w:val="00A52738"/>
    <w:rsid w:val="00A603A0"/>
    <w:rsid w:val="00A6122E"/>
    <w:rsid w:val="00A663BA"/>
    <w:rsid w:val="00A90BE9"/>
    <w:rsid w:val="00A96228"/>
    <w:rsid w:val="00AC503C"/>
    <w:rsid w:val="00AD2AB6"/>
    <w:rsid w:val="00AD58A0"/>
    <w:rsid w:val="00AF4CC6"/>
    <w:rsid w:val="00B15DB1"/>
    <w:rsid w:val="00B17C7A"/>
    <w:rsid w:val="00B245EA"/>
    <w:rsid w:val="00B30A51"/>
    <w:rsid w:val="00B33E14"/>
    <w:rsid w:val="00B45FB0"/>
    <w:rsid w:val="00B46F18"/>
    <w:rsid w:val="00B55912"/>
    <w:rsid w:val="00B82A12"/>
    <w:rsid w:val="00B84700"/>
    <w:rsid w:val="00B850C4"/>
    <w:rsid w:val="00B90F7A"/>
    <w:rsid w:val="00BC4D30"/>
    <w:rsid w:val="00BD0F1D"/>
    <w:rsid w:val="00BD574E"/>
    <w:rsid w:val="00BE0A66"/>
    <w:rsid w:val="00BE5845"/>
    <w:rsid w:val="00BF3DED"/>
    <w:rsid w:val="00C11C19"/>
    <w:rsid w:val="00C125CB"/>
    <w:rsid w:val="00C31A99"/>
    <w:rsid w:val="00C325C9"/>
    <w:rsid w:val="00C47906"/>
    <w:rsid w:val="00C545BD"/>
    <w:rsid w:val="00C63F32"/>
    <w:rsid w:val="00C719AF"/>
    <w:rsid w:val="00C75700"/>
    <w:rsid w:val="00C761E1"/>
    <w:rsid w:val="00C82377"/>
    <w:rsid w:val="00C945F3"/>
    <w:rsid w:val="00CA1860"/>
    <w:rsid w:val="00CA23FF"/>
    <w:rsid w:val="00CA4E08"/>
    <w:rsid w:val="00CB171E"/>
    <w:rsid w:val="00CB6B15"/>
    <w:rsid w:val="00CD11E1"/>
    <w:rsid w:val="00CD41BA"/>
    <w:rsid w:val="00CE09D5"/>
    <w:rsid w:val="00CE7B39"/>
    <w:rsid w:val="00CF4469"/>
    <w:rsid w:val="00D05DFD"/>
    <w:rsid w:val="00D110F5"/>
    <w:rsid w:val="00D1464F"/>
    <w:rsid w:val="00D30DF0"/>
    <w:rsid w:val="00D47F7A"/>
    <w:rsid w:val="00D54E6A"/>
    <w:rsid w:val="00D67E24"/>
    <w:rsid w:val="00D722F8"/>
    <w:rsid w:val="00D761E5"/>
    <w:rsid w:val="00D82D77"/>
    <w:rsid w:val="00D86D9E"/>
    <w:rsid w:val="00D944E0"/>
    <w:rsid w:val="00DB0275"/>
    <w:rsid w:val="00DC6119"/>
    <w:rsid w:val="00DD58F8"/>
    <w:rsid w:val="00E00EB7"/>
    <w:rsid w:val="00E10317"/>
    <w:rsid w:val="00E1459C"/>
    <w:rsid w:val="00E15DC6"/>
    <w:rsid w:val="00E17E00"/>
    <w:rsid w:val="00E348D4"/>
    <w:rsid w:val="00E35288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A5E46"/>
    <w:rsid w:val="00EB2E6B"/>
    <w:rsid w:val="00EB55BA"/>
    <w:rsid w:val="00EC6C66"/>
    <w:rsid w:val="00EC7126"/>
    <w:rsid w:val="00ED105A"/>
    <w:rsid w:val="00ED12BD"/>
    <w:rsid w:val="00F231B2"/>
    <w:rsid w:val="00F2516F"/>
    <w:rsid w:val="00F409F2"/>
    <w:rsid w:val="00F5294A"/>
    <w:rsid w:val="00F70C9B"/>
    <w:rsid w:val="00F80BB0"/>
    <w:rsid w:val="00F814BD"/>
    <w:rsid w:val="00FB371C"/>
    <w:rsid w:val="00FC0C5A"/>
    <w:rsid w:val="00FC0F82"/>
    <w:rsid w:val="00FC2B10"/>
    <w:rsid w:val="00FD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289</cp:revision>
  <cp:lastPrinted>2026-04-01T12:18:00Z</cp:lastPrinted>
  <dcterms:created xsi:type="dcterms:W3CDTF">2021-04-01T09:49:00Z</dcterms:created>
  <dcterms:modified xsi:type="dcterms:W3CDTF">2026-04-01T12:18:00Z</dcterms:modified>
</cp:coreProperties>
</file>