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74AFF" w:rsidRPr="00674AFF" w:rsidP="00674AFF">
      <w:pPr>
        <w:pStyle w:val="Heading1"/>
        <w:ind w:left="708"/>
        <w:rPr>
          <w:rFonts w:ascii="Garamond" w:hAnsi="Garamond"/>
          <w:b/>
          <w:bCs/>
          <w:i/>
          <w:iCs/>
          <w:color w:val="auto"/>
          <w:sz w:val="24"/>
          <w:szCs w:val="24"/>
        </w:rPr>
      </w:pPr>
      <w:r>
        <w:rPr>
          <w:rFonts w:ascii="Garamond" w:hAnsi="Garamond"/>
          <w:b/>
          <w:bCs/>
          <w:i/>
          <w:iCs/>
          <w:color w:val="auto"/>
          <w:sz w:val="24"/>
          <w:szCs w:val="24"/>
        </w:rPr>
        <w:t xml:space="preserve">       </w:t>
      </w:r>
      <w:r w:rsidRPr="00674AFF">
        <w:rPr>
          <w:rFonts w:ascii="Garamond" w:hAnsi="Garamond"/>
          <w:b/>
          <w:bCs/>
          <w:i/>
          <w:iCs/>
          <w:color w:val="auto"/>
          <w:sz w:val="24"/>
          <w:szCs w:val="24"/>
        </w:rPr>
        <w:t>Osobitný kontrolný výbor</w:t>
      </w:r>
    </w:p>
    <w:p w:rsidR="00674AFF" w:rsidP="00674AFF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</w:rPr>
        <w:t>Národnej rady Slovenskej republiky</w:t>
      </w:r>
    </w:p>
    <w:p w:rsidR="00674AFF" w:rsidP="00674AFF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na kontrolu činnosti Slovenskej informačnej služby</w:t>
      </w:r>
    </w:p>
    <w:p w:rsidR="00674AFF" w:rsidP="00674AFF">
      <w:pPr>
        <w:tabs>
          <w:tab w:val="left" w:pos="577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9B2F9B" w:rsidP="00674AFF">
      <w:pPr>
        <w:tabs>
          <w:tab w:val="left" w:pos="5775"/>
        </w:tabs>
        <w:rPr>
          <w:rFonts w:ascii="Garamond" w:hAnsi="Garamond"/>
        </w:rPr>
      </w:pPr>
    </w:p>
    <w:p w:rsidR="000312C4" w:rsidP="00674AFF">
      <w:pPr>
        <w:tabs>
          <w:tab w:val="left" w:pos="5775"/>
        </w:tabs>
        <w:rPr>
          <w:rFonts w:ascii="Garamond" w:hAnsi="Garamond"/>
        </w:rPr>
      </w:pPr>
    </w:p>
    <w:p w:rsidR="00674AFF" w:rsidP="00674AFF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</w:rPr>
        <w:tab/>
        <w:tab/>
      </w:r>
      <w:r>
        <w:rPr>
          <w:rFonts w:ascii="Garamond" w:hAnsi="Garamond"/>
          <w:b/>
        </w:rPr>
        <w:t xml:space="preserve">28. schôdza výboru </w:t>
      </w:r>
    </w:p>
    <w:p w:rsidR="00674AFF" w:rsidP="00674AFF">
      <w:pPr>
        <w:tabs>
          <w:tab w:val="left" w:pos="5775"/>
        </w:tabs>
        <w:ind w:right="-142"/>
        <w:rPr>
          <w:rFonts w:ascii="Garamond" w:hAnsi="Garamond"/>
          <w:color w:val="FF0000"/>
        </w:rPr>
      </w:pPr>
      <w:r>
        <w:rPr>
          <w:rFonts w:ascii="Garamond" w:hAnsi="Garamond"/>
          <w:b/>
        </w:rPr>
        <w:tab/>
        <w:tab/>
      </w:r>
      <w:r>
        <w:rPr>
          <w:rFonts w:ascii="Garamond" w:hAnsi="Garamond"/>
        </w:rPr>
        <w:t xml:space="preserve">Bratislava </w:t>
      </w:r>
      <w:r w:rsidR="005D583B">
        <w:rPr>
          <w:rFonts w:ascii="Garamond" w:hAnsi="Garamond"/>
        </w:rPr>
        <w:t>8</w:t>
      </w:r>
      <w:r>
        <w:rPr>
          <w:rFonts w:ascii="Garamond" w:hAnsi="Garamond"/>
        </w:rPr>
        <w:t>. apríl 2026</w:t>
      </w:r>
    </w:p>
    <w:p w:rsidR="00674AFF" w:rsidP="00674AFF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  <w:tab/>
        <w:t xml:space="preserve">ČS: KNR-OKV- </w:t>
      </w:r>
      <w:r w:rsidR="00507D6A">
        <w:rPr>
          <w:rFonts w:ascii="Garamond" w:hAnsi="Garamond"/>
        </w:rPr>
        <w:t>4373</w:t>
      </w:r>
      <w:r>
        <w:rPr>
          <w:rFonts w:ascii="Garamond" w:hAnsi="Garamond"/>
        </w:rPr>
        <w:t>/2026</w:t>
      </w:r>
    </w:p>
    <w:p w:rsidR="00674AFF" w:rsidP="00674AFF"/>
    <w:p w:rsidR="00674AFF" w:rsidP="00674AFF"/>
    <w:p w:rsidR="009B2F9B" w:rsidP="00674AFF"/>
    <w:p w:rsidR="000312C4" w:rsidP="00674AFF"/>
    <w:p w:rsidR="009B2F9B" w:rsidP="00674AFF"/>
    <w:p w:rsidR="00674AFF" w:rsidRPr="00674AFF" w:rsidP="00674AFF">
      <w:pPr>
        <w:pStyle w:val="Heading2"/>
        <w:ind w:left="2832" w:firstLine="708"/>
        <w:rPr>
          <w:rFonts w:ascii="Garamond" w:hAnsi="Garamond"/>
          <w:b/>
          <w:bCs/>
          <w:color w:val="auto"/>
          <w:sz w:val="24"/>
          <w:szCs w:val="24"/>
        </w:rPr>
      </w:pPr>
      <w:r w:rsidRPr="00674AFF">
        <w:rPr>
          <w:rFonts w:ascii="Garamond" w:hAnsi="Garamond"/>
          <w:b/>
          <w:bCs/>
          <w:color w:val="auto"/>
          <w:sz w:val="24"/>
          <w:szCs w:val="24"/>
        </w:rPr>
        <w:t>P O Z V Á N K A</w:t>
      </w:r>
    </w:p>
    <w:p w:rsidR="00674AFF" w:rsidP="00674AFF">
      <w:pPr>
        <w:rPr>
          <w:rFonts w:ascii="Garamond" w:hAnsi="Garamond"/>
        </w:rPr>
      </w:pPr>
    </w:p>
    <w:p w:rsidR="00674AFF" w:rsidP="00674AFF">
      <w:pPr>
        <w:jc w:val="center"/>
        <w:rPr>
          <w:rFonts w:ascii="Garamond" w:hAnsi="Garamond"/>
        </w:rPr>
      </w:pPr>
      <w:r>
        <w:rPr>
          <w:rFonts w:ascii="Garamond" w:hAnsi="Garamond"/>
          <w:bCs/>
        </w:rPr>
        <w:t>V súlade s § 49 ods. 1 a 4 zákona č. 350/1996 Z. z. o rokovacom poriadku Národnej rady Slovenskej republiky v znení neskorších predpisov zvolávam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 xml:space="preserve">28. schôdzu </w:t>
      </w:r>
      <w:r>
        <w:rPr>
          <w:rFonts w:ascii="Garamond" w:hAnsi="Garamond"/>
        </w:rPr>
        <w:t>Osobitného kontrolného výboru Národnej rady Slovenskej republiky na kontrolu činnosti Slovenskej informačnej služby, ktorá sa uskutoční</w:t>
      </w:r>
    </w:p>
    <w:p w:rsidR="00674AFF" w:rsidP="00674AFF">
      <w:pPr>
        <w:jc w:val="center"/>
        <w:rPr>
          <w:rFonts w:ascii="Garamond" w:hAnsi="Garamond"/>
        </w:rPr>
      </w:pPr>
    </w:p>
    <w:p w:rsidR="00674AFF" w:rsidP="00674AFF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15. apríla (streda) 2026 o 12.00 hod. </w:t>
      </w:r>
    </w:p>
    <w:p w:rsidR="00674AFF" w:rsidP="00674AFF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(resp. ihneď po skončení doobedňajšieho rokovania NR SR)</w:t>
      </w:r>
    </w:p>
    <w:p w:rsidR="00674AFF" w:rsidP="00674AFF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v rokovacej miestnosti č. 71, budova Ubytovacieho zariadenia NR SR,</w:t>
      </w:r>
    </w:p>
    <w:p w:rsidR="00674AFF" w:rsidP="00674AFF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Nám. A. Dubčeka 1, Bratislava.</w:t>
      </w:r>
    </w:p>
    <w:p w:rsidR="006B6F0F" w:rsidP="00674AFF">
      <w:pPr>
        <w:spacing w:before="240" w:line="276" w:lineRule="auto"/>
        <w:rPr>
          <w:rFonts w:ascii="Garamond" w:hAnsi="Garamond"/>
          <w:b/>
          <w:bCs/>
          <w:u w:val="single"/>
        </w:rPr>
      </w:pPr>
    </w:p>
    <w:p w:rsidR="00674AFF" w:rsidP="00674AFF">
      <w:pPr>
        <w:pStyle w:val="NoSpacing"/>
        <w:rPr>
          <w:rFonts w:ascii="Garamond" w:hAnsi="Garamond"/>
        </w:rPr>
      </w:pPr>
    </w:p>
    <w:p w:rsidR="006B6F0F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9B2F9B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9B2F9B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9B2F9B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9B2F9B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9B2F9B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9B2F9B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6B6F0F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</w:p>
    <w:p w:rsidR="00674AFF" w:rsidP="00674AFF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Peter Šuca, v. r.</w:t>
      </w:r>
    </w:p>
    <w:p w:rsidR="00674AFF" w:rsidP="00674AFF">
      <w:pPr>
        <w:pStyle w:val="ListParagraph"/>
        <w:spacing w:line="276" w:lineRule="auto"/>
        <w:ind w:left="7080"/>
        <w:jc w:val="both"/>
        <w:rPr>
          <w:rFonts w:ascii="Garamond" w:hAnsi="Garamond"/>
        </w:rPr>
      </w:pPr>
      <w:r>
        <w:rPr>
          <w:rFonts w:ascii="Garamond" w:hAnsi="Garamond"/>
        </w:rPr>
        <w:t>podpredseda výboru</w:t>
      </w:r>
    </w:p>
    <w:p w:rsidR="00674AFF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674AFF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9B2F9B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9B2F9B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9B2F9B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9B2F9B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0312C4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0312C4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</w:p>
    <w:p w:rsidR="00674AFF" w:rsidP="00674AFF">
      <w:pPr>
        <w:pStyle w:val="ListParagraph"/>
        <w:spacing w:line="276" w:lineRule="auto"/>
        <w:ind w:lef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správnosť: </w:t>
      </w:r>
    </w:p>
    <w:p w:rsidR="00674AFF" w:rsidP="00674AFF">
      <w:pPr>
        <w:pStyle w:val="ListParagraph"/>
        <w:spacing w:line="276" w:lineRule="auto"/>
        <w:ind w:left="-142"/>
        <w:jc w:val="both"/>
      </w:pPr>
      <w:r>
        <w:rPr>
          <w:rFonts w:ascii="Garamond" w:hAnsi="Garamond"/>
        </w:rPr>
        <w:t>Eduard Csudai- zastupujúci tajomník výboru</w:t>
      </w:r>
    </w:p>
    <w:p w:rsidR="00FC231A" w:rsidP="00674AFF"/>
    <w:sectPr w:rsidSect="009B2F9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788"/>
    <w:multiLevelType w:val="hybridMultilevel"/>
    <w:tmpl w:val="E37EFD06"/>
    <w:lvl w:ilvl="0">
      <w:start w:val="0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B334BB"/>
    <w:multiLevelType w:val="hybridMultilevel"/>
    <w:tmpl w:val="2B0843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FF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DD150C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DD150C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D150C"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D150C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D150C"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D150C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D150C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D150C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D150C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DD150C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link w:val="Heading2"/>
    <w:semiHidden/>
    <w:rsid w:val="00DD150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DD150C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link w:val="Heading4"/>
    <w:uiPriority w:val="9"/>
    <w:semiHidden/>
    <w:rsid w:val="00DD150C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link w:val="Heading5"/>
    <w:uiPriority w:val="9"/>
    <w:semiHidden/>
    <w:rsid w:val="00DD150C"/>
    <w:rPr>
      <w:rFonts w:eastAsia="Times New Roman" w:cs="Times New Roman"/>
      <w:color w:val="2E74B5"/>
    </w:rPr>
  </w:style>
  <w:style w:type="character" w:customStyle="1" w:styleId="Nadpis6Char">
    <w:name w:val="Nadpis 6 Char"/>
    <w:link w:val="Heading6"/>
    <w:uiPriority w:val="9"/>
    <w:semiHidden/>
    <w:rsid w:val="00DD150C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Heading7"/>
    <w:uiPriority w:val="9"/>
    <w:semiHidden/>
    <w:rsid w:val="00DD150C"/>
    <w:rPr>
      <w:rFonts w:eastAsia="Times New Roman" w:cs="Times New Roman"/>
      <w:color w:val="595959"/>
    </w:rPr>
  </w:style>
  <w:style w:type="character" w:customStyle="1" w:styleId="Nadpis8Char">
    <w:name w:val="Nadpis 8 Char"/>
    <w:link w:val="Heading8"/>
    <w:uiPriority w:val="9"/>
    <w:semiHidden/>
    <w:rsid w:val="00DD150C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Heading9"/>
    <w:uiPriority w:val="9"/>
    <w:semiHidden/>
    <w:rsid w:val="00DD150C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NzovChar"/>
    <w:uiPriority w:val="10"/>
    <w:qFormat/>
    <w:rsid w:val="00DD150C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Title"/>
    <w:uiPriority w:val="10"/>
    <w:rsid w:val="00DD150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DD150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Subtitle"/>
    <w:uiPriority w:val="11"/>
    <w:rsid w:val="00DD150C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DD150C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Quote"/>
    <w:uiPriority w:val="29"/>
    <w:rsid w:val="00DD150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D150C"/>
    <w:pPr>
      <w:ind w:left="720"/>
      <w:contextualSpacing/>
    </w:pPr>
  </w:style>
  <w:style w:type="character" w:styleId="IntenseEmphasis">
    <w:name w:val="Intense Emphasis"/>
    <w:uiPriority w:val="21"/>
    <w:qFormat/>
    <w:rsid w:val="00DD150C"/>
    <w:rPr>
      <w:i/>
      <w:iCs/>
      <w:color w:val="2E74B5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DD150C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ZvraznencitciaChar">
    <w:name w:val="Zvýraznená citácia Char"/>
    <w:link w:val="IntenseQuote"/>
    <w:uiPriority w:val="30"/>
    <w:rsid w:val="00DD150C"/>
    <w:rPr>
      <w:i/>
      <w:iCs/>
      <w:color w:val="2E74B5"/>
    </w:rPr>
  </w:style>
  <w:style w:type="character" w:styleId="IntenseReference">
    <w:name w:val="Intense Reference"/>
    <w:uiPriority w:val="32"/>
    <w:qFormat/>
    <w:rsid w:val="00DD150C"/>
    <w:rPr>
      <w:b/>
      <w:bCs/>
      <w:smallCaps/>
      <w:color w:val="2E74B5"/>
      <w:spacing w:val="5"/>
    </w:rPr>
  </w:style>
  <w:style w:type="paragraph" w:styleId="BodyText">
    <w:name w:val="Body Text"/>
    <w:basedOn w:val="Normal"/>
    <w:link w:val="ZkladntextChar"/>
    <w:semiHidden/>
    <w:unhideWhenUsed/>
    <w:rsid w:val="00674AF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BodyText"/>
    <w:semiHidden/>
    <w:rsid w:val="00674AFF"/>
    <w:rPr>
      <w:rFonts w:ascii="Arial" w:eastAsia="Times New Roman" w:hAnsi="Arial" w:cs="Arial"/>
      <w:kern w:val="0"/>
      <w:sz w:val="24"/>
      <w:szCs w:val="24"/>
      <w:lang w:eastAsia="sk-SK"/>
    </w:rPr>
  </w:style>
  <w:style w:type="paragraph" w:styleId="NoSpacing">
    <w:name w:val="No Spacing"/>
    <w:uiPriority w:val="1"/>
    <w:qFormat/>
    <w:rsid w:val="00674AFF"/>
    <w:rPr>
      <w:rFonts w:ascii="Times New Roman" w:eastAsia="Times New Roman" w:hAnsi="Times New Roman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2</cp:revision>
  <cp:lastPrinted>2026-04-08T06:10:00Z</cp:lastPrinted>
  <dcterms:created xsi:type="dcterms:W3CDTF">2026-04-08T06:39:00Z</dcterms:created>
  <dcterms:modified xsi:type="dcterms:W3CDTF">2026-04-08T06:39:00Z</dcterms:modified>
</cp:coreProperties>
</file>