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51DA" w:rsidP="004851DA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4"/>
          <w:rtl w:val="0"/>
          <w:cs w:val="0"/>
          <w:lang w:val="sk-SK" w:eastAsia="sk-SK" w:bidi="ar-SA"/>
        </w:rPr>
        <w:t xml:space="preserve">     Mandátový a imunitný výbor  </w:t>
      </w:r>
    </w:p>
    <w:p w:rsidR="004851DA" w:rsidP="004851DA">
      <w:pPr>
        <w:widowControl w:val="0"/>
        <w:bidi w:val="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 w:cs="Times New Roman" w:hint="cs"/>
          <w:b/>
          <w:i/>
          <w:sz w:val="28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ind w:left="5664"/>
        <w:jc w:val="both"/>
        <w:rPr>
          <w:rFonts w:ascii="Times New Roman" w:eastAsia="Times New Roman" w:hAnsi="Times New Roman"/>
        </w:rPr>
      </w:pPr>
    </w:p>
    <w:p w:rsidR="004851DA" w:rsidP="004851DA">
      <w:pPr>
        <w:widowControl w:val="0"/>
        <w:bidi w:val="0"/>
        <w:ind w:left="5672"/>
        <w:jc w:val="left"/>
        <w:rPr>
          <w:rFonts w:ascii="Times New Roman" w:eastAsia="Times New Roman" w:hAnsi="Times New Roman"/>
        </w:rPr>
      </w:pPr>
      <w:r w:rsidR="00844D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="00B644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78183A" w:rsidRPr="00D872D7" w:rsidP="00D872D7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 w:rsidR="004851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4851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</w:t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="004851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851D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KNR-MIV-</w:t>
      </w:r>
      <w:r w:rsidR="00E018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5535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706A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-2</w:t>
      </w:r>
      <w:r w:rsidR="004851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B075EB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C806D8" w:rsidRPr="00844DDD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330EF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20</w:t>
      </w:r>
    </w:p>
    <w:p w:rsidR="004851DA" w:rsidP="004851DA">
      <w:pPr>
        <w:pStyle w:val="Heading2"/>
        <w:keepNext w:val="0"/>
        <w:widowControl w:val="0"/>
        <w:bidi w:val="0"/>
        <w:jc w:val="center"/>
        <w:rPr>
          <w:rFonts w:ascii="Times New Roman" w:eastAsia="Times New Roman" w:hAnsi="Times New Roman"/>
          <w:szCs w:val="28"/>
        </w:rPr>
      </w:pPr>
      <w:r w:rsidR="0080436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U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z n e s e n i e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Mandátového a imunitného výboru 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</w:rPr>
      </w:pPr>
      <w:r w:rsidR="005E73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4851DA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B075EB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330EF6" w:rsidRPr="00330EF6" w:rsidP="00330EF6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P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 informácii Mandátového a imunitného výboru Národnej rady Slovenskej republiky o nastúpení náhradníka na uprázdnený mandát poslankyne Národnej rady Slovenskej republiky</w:t>
      </w:r>
      <w:r w:rsidR="00D872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zániku mandátu poslankyne Národnej rady Slovenskej republiky a o nastúpení náhradníčky na uprázdnený mandát poslankyne Národnej rady Slovenskej republiky. </w:t>
      </w:r>
    </w:p>
    <w:p w:rsidR="00070DC3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  <w:r w:rsidRPr="00916E47" w:rsidR="00844DD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78183A" w:rsidRPr="00AE3B4C" w:rsidP="00844DDD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</w:p>
    <w:p w:rsidR="00844DDD" w:rsidRPr="00122D93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C806D8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Mandátový </w:t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 imunitný výbor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Národnej rady Slovenskej republiky 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bCs/>
          <w:szCs w:val="28"/>
        </w:rPr>
      </w:pPr>
      <w:r w:rsidR="00047EB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  <w:r w:rsidR="00706A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b e r i e   n a   v e d o m i</w:t>
      </w:r>
      <w:r w:rsidR="00B644B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e</w:t>
      </w:r>
      <w:r w:rsidR="00B644B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 w:rsidR="003F04AD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,</w:t>
      </w:r>
      <w:r w:rsidR="0078183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  <w:r w:rsidR="00EF15F8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ž e </w:t>
      </w:r>
    </w:p>
    <w:p w:rsidR="00924417" w:rsidP="00924417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330EF6" w:rsidRPr="00330EF6" w:rsidP="00330EF6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30EF6"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1. že úmrtím poslankyne Národnej rady Slovenskej republiky Anny Záborskej dňa 20. augusta 2025 sa uprázdnil jej mandát poslankyne Národnej rady Slovenskej republiky; </w:t>
      </w:r>
    </w:p>
    <w:p w:rsidR="00330EF6" w:rsidRPr="00330EF6" w:rsidP="00330EF6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="00D872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</w:t>
      </w:r>
      <w:r w:rsidRP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2. že podľa čl. 81 Ústavy Slovenskej republiky poslankyňa Národnej rady Slovenskej republiky Viera Kalmárová za politické hnutie Progresívne Slovensko doručila 2. septembra 2025 predsedovi Národnej rady Slovenskej republiky písomné rozhodnutie o tom, že sa vzdáva mandátu poslankyne Národnej rady Slovenskej republiky. Mandát poslankyne Národnej rady Slovenskej republiky zaniká  dňom doručenia písomného rozhodnutia o vzdaní sa mandátu poslankyne Národnej rady Slovenskej republiky, teda 2. septembra 2025;</w:t>
      </w:r>
    </w:p>
    <w:p w:rsidR="00397EA9" w:rsidP="00330EF6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330EF6" w:rsid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D872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330EF6" w:rsid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3. že podľa § 71 ods. 1 a 5  zákona č. 180/2014 Z. z. o podmienkach výkonu volebného práva a o zmene a doplnení niektorých zákonov a  § 10 ods. 1, ods. 2 písm. c) a  e)  a  ods. 3 zákona Národnej rady Slovenskej republiky č. 350/1996 Z. z. o rokovacom poriadku  Národnej rady Slovenskej republiky v znení neskorších  predpisov predseda Národnej rady Slovenskej republiky  rozhodnutím č. 1037 a č. 1038 z 3. septembra 2025 vyhlásil nastúpenie  náhradníkov</w:t>
      </w:r>
    </w:p>
    <w:p w:rsidR="00D872D7" w:rsidP="00330EF6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330EF6" w:rsidRPr="00330EF6" w:rsidP="00330EF6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D872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 na uprázdnený mandát poslankyne Národnej rady Slovenskej republiky Anny Záborskej</w:t>
      </w:r>
      <w:r w:rsidRPr="00397EA9" w:rsidR="00397E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30EF6" w:rsidR="00397E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podľa poradia uvedeného v zápisnici Štátnej komisie pre voľby a kontrolu financovania politických strán o výsledku volieb  do  Národnej rady Slovenskej republiky zo dňa 30. septembra 2023 za volebnú  koalíciu OĽANO A PRIATELIA, KÚ a ZA ĽUDÍ</w:t>
      </w:r>
      <w:r w:rsidR="00E018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nastupuje dňom 3. septembra 2025 náhradník Igor Dušenka, narodený</w:t>
      </w:r>
      <w:r w:rsidR="00E018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28. mája 1987 bytom Bratislava;</w:t>
      </w:r>
    </w:p>
    <w:p w:rsidR="00D872D7" w:rsidP="00330EF6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330EF6" w:rsidRPr="00330EF6" w:rsidP="00330EF6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D872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- na uprázdnený mandát poslankyne Národnej rady Slovenskej republiky Viery  Kalmárovej </w:t>
      </w:r>
      <w:r w:rsidR="00397E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330EF6" w:rsidR="00397E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odľa poradia uvedeného v zápisnici Štátnej komisie pre voľby a kontrolu financovania politických strán o výsledku volieb do Národnej rady Slovenskej republiky</w:t>
      </w:r>
      <w:r w:rsidR="00D872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zo dňa</w:t>
      </w:r>
      <w:r w:rsidRPr="00330EF6" w:rsidR="00397E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30. septembra 2023 za politické hnutie Progresívne Slovensko </w:t>
      </w:r>
      <w:r w:rsidRP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nastupuje dňom 3. septembra 2025 náhradníčka Gréta Gregorová, narodená 19. februára 2001, bytom Bratislava; </w:t>
      </w:r>
    </w:p>
    <w:p w:rsidR="00047EBD" w:rsidP="00330EF6">
      <w:pPr>
        <w:bidi w:val="0"/>
        <w:jc w:val="both"/>
        <w:rPr>
          <w:rFonts w:ascii="Times New Roman" w:eastAsia="Times New Roman" w:hAnsi="Times New Roman"/>
        </w:rPr>
      </w:pPr>
    </w:p>
    <w:p w:rsidR="00EF74EB" w:rsidP="004D72B7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3F04AD" w:rsidR="00047EB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B</w:t>
      </w:r>
      <w:r w:rsidR="00706A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.</w:t>
      </w:r>
      <w:r w:rsidR="003F04A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  </w:t>
      </w:r>
      <w:r w:rsidR="004D72B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3F04AD" w:rsidR="00A50CF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</w:t>
      </w:r>
      <w:r w:rsidR="003F04A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 </w:t>
      </w:r>
      <w:r w:rsidRPr="003F04AD" w:rsidR="00A50CF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i</w:t>
      </w:r>
      <w:r w:rsidR="003F04A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 </w:t>
      </w:r>
      <w:r w:rsidRPr="003F04AD" w:rsidR="00A50CF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s</w:t>
      </w:r>
      <w:r w:rsidR="003F04A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 </w:t>
      </w:r>
      <w:r w:rsidRPr="003F04AD" w:rsidR="00A50CF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ť</w:t>
      </w:r>
      <w:r w:rsidR="003F04A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 </w:t>
      </w:r>
      <w:r w:rsidRPr="003F04AD" w:rsidR="00A50CF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u</w:t>
      </w:r>
      <w:r w:rsidR="003F04A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 </w:t>
      </w:r>
      <w:r w:rsidRPr="003F04AD" w:rsidR="00A50CF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j</w:t>
      </w:r>
      <w:r w:rsidR="003F04A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 </w:t>
      </w:r>
      <w:r w:rsidRPr="003F04AD" w:rsidR="00A50CF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e</w:t>
      </w:r>
      <w:r w:rsidR="00E01E5C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,</w:t>
      </w:r>
      <w:r w:rsidRPr="003F04AD" w:rsidR="00A50CF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 </w:t>
      </w:r>
      <w:r w:rsidR="003F04A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  </w:t>
      </w:r>
    </w:p>
    <w:p w:rsidR="00E01E5C" w:rsidP="00047EBD">
      <w:pPr>
        <w:widowControl w:val="0"/>
        <w:tabs>
          <w:tab w:val="left" w:pos="851"/>
        </w:tabs>
        <w:bidi w:val="0"/>
        <w:ind w:firstLine="568"/>
        <w:jc w:val="both"/>
        <w:rPr>
          <w:rFonts w:ascii="Times New Roman" w:eastAsia="Times New Roman" w:hAnsi="Times New Roman"/>
        </w:rPr>
      </w:pPr>
    </w:p>
    <w:p w:rsidR="00F8470F" w:rsidP="00047EBD">
      <w:pPr>
        <w:widowControl w:val="0"/>
        <w:tabs>
          <w:tab w:val="left" w:pos="851"/>
        </w:tabs>
        <w:bidi w:val="0"/>
        <w:ind w:firstLine="568"/>
        <w:jc w:val="both"/>
        <w:rPr>
          <w:rFonts w:ascii="Times New Roman" w:eastAsia="Times New Roman" w:hAnsi="Times New Roman"/>
        </w:rPr>
      </w:pPr>
      <w:r w:rsidR="003F04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E01E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že </w:t>
      </w:r>
      <w:r w:rsidR="00A50C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boli dodržané podmienky na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</w:t>
      </w:r>
      <w:r w:rsidR="00A50C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túpenia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6E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náhradníkov</w:t>
      </w:r>
      <w:r w:rsidR="00B075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podľa § 71 ods.</w:t>
      </w:r>
      <w:r w:rsidR="00706A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B075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5 zákona </w:t>
      </w:r>
      <w:r w:rsidR="00EF74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</w:t>
      </w:r>
      <w:r w:rsidR="00706A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F74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180/2014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podmienkach výkonu volebného práva a o zmene a doplnení niektorých zákonov v znení neskorších</w:t>
      </w:r>
      <w:r w:rsid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predpisov. </w:t>
      </w:r>
      <w:r w:rsidR="003F04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F04AD" w:rsidP="00047EBD">
      <w:pPr>
        <w:widowControl w:val="0"/>
        <w:tabs>
          <w:tab w:val="left" w:pos="851"/>
        </w:tabs>
        <w:bidi w:val="0"/>
        <w:ind w:firstLine="568"/>
        <w:jc w:val="both"/>
        <w:rPr>
          <w:rFonts w:ascii="Times New Roman" w:eastAsia="Times New Roman" w:hAnsi="Times New Roman"/>
        </w:rPr>
      </w:pPr>
    </w:p>
    <w:p w:rsidR="00EF74EB" w:rsidP="00047EBD">
      <w:pPr>
        <w:widowControl w:val="0"/>
        <w:tabs>
          <w:tab w:val="left" w:pos="851"/>
        </w:tabs>
        <w:bidi w:val="0"/>
        <w:ind w:firstLine="568"/>
        <w:jc w:val="both"/>
        <w:rPr>
          <w:rFonts w:ascii="Times New Roman" w:eastAsia="Times New Roman" w:hAnsi="Times New Roman"/>
        </w:rPr>
      </w:pPr>
    </w:p>
    <w:p w:rsidR="00EF74EB" w:rsidRPr="003F04AD" w:rsidP="004D72B7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F04AD" w:rsidR="00A50CF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C</w:t>
      </w:r>
      <w:r w:rsidR="00706A93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</w:t>
      </w:r>
      <w:r w:rsidR="004D72B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ab/>
      </w:r>
      <w:r w:rsidRPr="003F04AD" w:rsidR="00A50CF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p</w:t>
      </w:r>
      <w:r w:rsid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 w:rsidRPr="003F04AD" w:rsidR="00A50CF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o</w:t>
      </w:r>
      <w:r w:rsid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 </w:t>
      </w:r>
      <w:r w:rsidRPr="003F04AD" w:rsidR="00A50CF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v</w:t>
      </w:r>
      <w:r w:rsid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 </w:t>
      </w:r>
      <w:r w:rsidRPr="003F04AD" w:rsidR="00A50CF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e</w:t>
      </w:r>
      <w:r w:rsid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 w:rsidRPr="003F04AD" w:rsidR="00A50CF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r</w:t>
      </w:r>
      <w:r w:rsid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 w:rsidRPr="003F04AD" w:rsidR="00A50CF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u</w:t>
      </w:r>
      <w:r w:rsid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 </w:t>
      </w:r>
      <w:r w:rsidRPr="003F04AD" w:rsidR="00A50CF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j</w:t>
      </w:r>
      <w:r w:rsid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 w:rsidRPr="003F04AD" w:rsidR="00A50CF7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e </w:t>
      </w:r>
    </w:p>
    <w:p w:rsidR="00706A93" w:rsidP="00706A93">
      <w:pPr>
        <w:pStyle w:val="ListParagraph"/>
        <w:bidi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30EF6" w:rsidRPr="00330EF6" w:rsidP="00330EF6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Pr="00706A93" w:rsidR="00706A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916E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</w:t>
      </w:r>
      <w:r w:rsidRPr="009A3CD4" w:rsidR="00A50C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predsedu Mandátové</w:t>
      </w:r>
      <w:r w:rsidRPr="009A3CD4" w:rsidR="00F84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 a imunitného výboru Národnej rady Slovenskej republiky</w:t>
      </w:r>
      <w:r w:rsidRPr="009A3CD4" w:rsidR="00706A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9A3CD4" w:rsidR="00F84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3CD4" w:rsidR="00A50C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3CD4" w:rsidR="00F847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aby podal Národnej rade Slovenskej republiky </w:t>
      </w:r>
      <w:r w:rsidRPr="009A3CD4" w:rsidR="00916E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informáciu výboru </w:t>
      </w:r>
      <w:r w:rsidRPr="00330E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nastúpení náhradníka na uprázdnený mandát poslankyne Národnej rady Slovenskej republiky, zániku mandátu poslankyne Národnej rady Slovenskej republiky a o nastúpení náhradníčky na uprázdnený mandát poslankyne Národnej rady Slovenskej republiky. </w:t>
      </w:r>
    </w:p>
    <w:p w:rsidR="00330EF6" w:rsidP="00330EF6">
      <w:pPr>
        <w:bidi w:val="0"/>
        <w:jc w:val="left"/>
        <w:rPr>
          <w:rFonts w:ascii="Times New Roman" w:eastAsia="Times New Roman" w:hAnsi="Times New Roman"/>
          <w:b/>
          <w:bCs/>
        </w:rPr>
      </w:pPr>
      <w:r w:rsidRPr="00916E4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3F04AD" w:rsidP="00330EF6">
      <w:pPr>
        <w:pStyle w:val="ListParagraph"/>
        <w:bidi w:val="0"/>
        <w:spacing w:line="240" w:lineRule="auto"/>
        <w:ind w:left="0"/>
        <w:jc w:val="both"/>
        <w:rPr>
          <w:rFonts w:eastAsia="Times New Roman"/>
          <w:b/>
          <w:sz w:val="24"/>
        </w:rPr>
      </w:pP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A50CF7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4851DA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2C3E8F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851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Marián  S a l o ň</w:t>
        <w:tab/>
        <w:t xml:space="preserve"> 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 xml:space="preserve">      </w:t>
        <w:tab/>
        <w:t xml:space="preserve">  </w:t>
        <w:tab/>
        <w:t xml:space="preserve">                     </w:t>
        <w:tab/>
        <w:tab/>
        <w:tab/>
        <w:tab/>
        <w:t xml:space="preserve">             </w:t>
      </w:r>
      <w:r w:rsidR="00924417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4851DA" w:rsidRPr="003F04AD" w:rsidP="008B5C3B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  <w:i w:val="0"/>
          <w:sz w:val="24"/>
        </w:rPr>
      </w:pPr>
      <w:r w:rsidR="004D72B7">
        <w:rPr>
          <w:rFonts w:ascii="Times New Roman" w:eastAsia="Times New Roman" w:hAnsi="Times New Roman" w:cs="Times New Roman" w:hint="cs"/>
          <w:b/>
          <w:bCs/>
          <w:i w:val="0"/>
          <w:iCs/>
          <w:sz w:val="24"/>
          <w:szCs w:val="24"/>
          <w:rtl w:val="0"/>
          <w:cs w:val="0"/>
          <w:lang w:val="sk-SK" w:eastAsia="sk-SK" w:bidi="ar-SA"/>
        </w:rPr>
        <w:t xml:space="preserve">Ján Horecký </w:t>
      </w: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0B58"/>
    <w:multiLevelType w:val="hybridMultilevel"/>
    <w:tmpl w:val="301E43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7CB5469"/>
    <w:multiLevelType w:val="hybridMultilevel"/>
    <w:tmpl w:val="1BE8E76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F9623D8"/>
    <w:multiLevelType w:val="hybridMultilevel"/>
    <w:tmpl w:val="328452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>
    <w:nsid w:val="40106161"/>
    <w:multiLevelType w:val="hybridMultilevel"/>
    <w:tmpl w:val="D3D2A61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abstractNum w:abstractNumId="4">
    <w:nsid w:val="41D707BB"/>
    <w:multiLevelType w:val="hybridMultilevel"/>
    <w:tmpl w:val="170A589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5">
    <w:nsid w:val="4CA10351"/>
    <w:multiLevelType w:val="hybridMultilevel"/>
    <w:tmpl w:val="A4FE477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6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5B0D597A"/>
    <w:multiLevelType w:val="hybridMultilevel"/>
    <w:tmpl w:val="D0E46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5D2341D1"/>
    <w:multiLevelType w:val="hybridMultilevel"/>
    <w:tmpl w:val="666E0CC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9">
    <w:nsid w:val="5E9E10CD"/>
    <w:multiLevelType w:val="hybridMultilevel"/>
    <w:tmpl w:val="3B3AAC52"/>
    <w:lvl w:ilvl="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5F0D33D1"/>
    <w:multiLevelType w:val="hybridMultilevel"/>
    <w:tmpl w:val="CC9273C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1">
    <w:nsid w:val="6B515801"/>
    <w:multiLevelType w:val="hybridMultilevel"/>
    <w:tmpl w:val="E1E0D9E4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 w:hint="cs"/>
        <w:rtl w:val="0"/>
        <w:cs w:val="0"/>
      </w:rPr>
    </w:lvl>
  </w:abstractNum>
  <w:abstractNum w:abstractNumId="12">
    <w:nsid w:val="771F35F8"/>
    <w:multiLevelType w:val="hybridMultilevel"/>
    <w:tmpl w:val="F3DABC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libri Light" w:eastAsia="Times New Roman" w:hAnsi="Calibri Light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libri Light" w:eastAsia="Times New Roman" w:hAnsi="Calibri Light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libri Light" w:eastAsia="Times New Roman" w:hAnsi="Calibri Light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4851DA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4851DA"/>
    <w:rPr>
      <w:rFonts w:cs="Times New Roman" w:hint="cs"/>
      <w:b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851DA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Zkladntext3Char"/>
    <w:uiPriority w:val="99"/>
    <w:unhideWhenUsed/>
    <w:rsid w:val="00DF76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F7655"/>
    <w:rPr>
      <w:rFonts w:cs="Times New Roman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C3E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C3E8F"/>
    <w:rPr>
      <w:rFonts w:ascii="Segoe UI" w:hAnsi="Segoe UI" w:cs="Segoe UI" w:hint="cs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521</Words>
  <Characters>2975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Gago Maronová, Renáta, Mgr.</cp:lastModifiedBy>
  <cp:revision>4</cp:revision>
  <cp:lastPrinted>2025-03-25T10:25:00Z</cp:lastPrinted>
  <dcterms:created xsi:type="dcterms:W3CDTF">2025-09-08T12:31:00Z</dcterms:created>
  <dcterms:modified xsi:type="dcterms:W3CDTF">2025-09-09T10:42:00Z</dcterms:modified>
</cp:coreProperties>
</file>