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4D2A6D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658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4D2A6D">
        <w:t>66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4D2A6D">
        <w:t>Ladislavovi Mikušovi, bývalému členovi správnej rady Tlačovej agentúry Slovenskej republiky</w:t>
      </w:r>
      <w:r w:rsidR="004D2A6D">
        <w:t>.</w:t>
      </w:r>
    </w:p>
    <w:p w:rsidR="004D2A6D" w:rsidRPr="00DB449E" w:rsidRDefault="004D2A6D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4D2A6D">
        <w:t>uznesením č. 480</w:t>
      </w:r>
      <w:bookmarkStart w:id="0" w:name="_GoBack"/>
      <w:bookmarkEnd w:id="0"/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4D2A6D">
        <w:t>Ladislavovi Mikušovi, bývalému členovi správnej rady Tlačovej agentúry Slovenskej republiky</w:t>
      </w:r>
    </w:p>
    <w:p w:rsidR="004D2A6D" w:rsidRPr="003850F1" w:rsidRDefault="004D2A6D" w:rsidP="005855E4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2A6D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E25E7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F324-C3C0-4B60-8649-5B641285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2025-09-29T07:51:00Z</dcterms:modified>
</cp:coreProperties>
</file>