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F73F9F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582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F6547D">
        <w:t xml:space="preserve">Daliborovi </w:t>
      </w:r>
      <w:proofErr w:type="spellStart"/>
      <w:r w:rsidR="00F6547D">
        <w:t>Steindlovi</w:t>
      </w:r>
      <w:proofErr w:type="spellEnd"/>
      <w:r w:rsidR="00F6547D">
        <w:t xml:space="preserve">, bývalému členovi Rady Slovenského pozemkového fondu </w:t>
      </w:r>
      <w:r w:rsidR="00DB0600">
        <w:t>(</w:t>
      </w:r>
      <w:r w:rsidR="00F6547D">
        <w:t>verejná funkcia mu skončila 15.2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F6547D">
        <w:t xml:space="preserve">Daliborovi </w:t>
      </w:r>
      <w:proofErr w:type="spellStart"/>
      <w:r w:rsidR="00F6547D">
        <w:t>Steindlovi</w:t>
      </w:r>
      <w:proofErr w:type="spellEnd"/>
      <w:r w:rsidR="00F6547D">
        <w:t>, bývalému členovi Rady Slovenského pozemkového fondu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6547D">
        <w:t>67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6547D"/>
    <w:rsid w:val="00F71877"/>
    <w:rsid w:val="00F71EB1"/>
    <w:rsid w:val="00F73F9F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EADF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9427-D95F-4228-97A4-E5509A99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2025-06-18T09:14:00Z</dcterms:modified>
</cp:coreProperties>
</file>