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7137F1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577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146D29">
        <w:t xml:space="preserve">Ivanovi Richterovi, bývalému riaditeľovi Plemenárskej inšpekcie Slovenskej republiky Nitra </w:t>
      </w:r>
      <w:r w:rsidR="00DB0600">
        <w:t>(</w:t>
      </w:r>
      <w:r w:rsidR="00146D29">
        <w:t>verejná funkcia mu skončila 31.5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146D29">
        <w:t>Ivanovi Richterovi, bývalému riaditeľovi Plemenárskej inšpekcie Slovenskej republiky Nitra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146D29">
        <w:t>62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46D29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37F1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856F7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7164-0F6E-422B-BC7C-D92CCB88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2025-06-18T09:09:00Z</dcterms:modified>
</cp:coreProperties>
</file>