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D30258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519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CA2564">
        <w:t xml:space="preserve">Vladimírovi Zacharovi, predsedovi predstavenstva Slovenskej autobusovej dopravy Trenčín, </w:t>
      </w:r>
      <w:r w:rsidR="00CA2564">
        <w:br/>
        <w:t xml:space="preserve">a. s.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CA2564">
        <w:t>podal 15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8E2309">
        <w:t>Vladimírovi Zacharovi, predsedovi predstavenstva Slovenskej autobusovej dopravy Trenčín, a. s.</w:t>
      </w:r>
      <w:r w:rsidR="008E2309" w:rsidRPr="00110B7E">
        <w:t xml:space="preserve">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CA2564">
        <w:t>104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E2309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564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0258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8E7BA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46B1-3317-42D1-AED7-BC8E9BC4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312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63</cp:revision>
  <cp:lastPrinted>2021-12-02T13:20:00Z</cp:lastPrinted>
  <dcterms:created xsi:type="dcterms:W3CDTF">2021-09-24T06:29:00Z</dcterms:created>
  <dcterms:modified xsi:type="dcterms:W3CDTF">2025-06-18T08:35:00Z</dcterms:modified>
</cp:coreProperties>
</file>