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355C09" w:rsidRDefault="00D06AA2" w:rsidP="00355C09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8B78C1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502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355C09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355C09">
        <w:t>Michalovi Magulovi, bývalému členovi dozornej rady, TIPOS, národná lotériová spoločnosť, a. s. (odvolaný z verejnej funkcie 29.2.2024</w:t>
      </w:r>
      <w:r w:rsidR="007D2C55">
        <w:t xml:space="preserve">, oznámenie do 30 dní po uplynutí jedného roka odo dňa skončenia výkonu verejnej funkcie mal podať do </w:t>
      </w:r>
      <w:bookmarkStart w:id="0" w:name="_GoBack"/>
      <w:bookmarkEnd w:id="0"/>
      <w:r w:rsidR="00355C09">
        <w:t>31.3.2025, oznámenie podal 30.4.2025)</w:t>
      </w:r>
      <w:r w:rsidR="00DC622C" w:rsidRPr="00355C09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355C09">
        <w:t xml:space="preserve">Michalovi Magulovi, bývalému členovi dozornej rady, TIPOS, národná lotériová spoločnosť, a. s. </w:t>
      </w:r>
      <w:r w:rsidRPr="00110B7E">
        <w:t>(č. konania VP/</w:t>
      </w:r>
      <w:r w:rsidR="008B78C1">
        <w:t>88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55C09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D2C55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B78C1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2025-06-18T06:04:00Z</dcterms:modified>
</cp:coreProperties>
</file>